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rsidRPr="00DA0B4C" w:rsidP="00DA0B4C" w14:paraId="35844442" w14:textId="77777777">
      <w:pPr>
        <w:pStyle w:val="NoSpacing"/>
        <w:jc w:val="center"/>
        <w:rPr>
          <w:rFonts w:ascii="Times New Roman" w:hAnsi="Times New Roman" w:cs="Times New Roman"/>
          <w:b/>
          <w:bCs/>
        </w:rPr>
      </w:pPr>
      <w:r w:rsidRPr="00DA0B4C">
        <w:rPr>
          <w:rFonts w:ascii="Times New Roman" w:hAnsi="Times New Roman" w:cs="Times New Roman"/>
          <w:b/>
          <w:bCs/>
        </w:rPr>
        <w:t>Before the</w:t>
      </w:r>
    </w:p>
    <w:p w:rsidR="00921803" w:rsidRPr="00DA0B4C" w:rsidP="00DA0B4C" w14:paraId="2E3B6A53" w14:textId="77777777">
      <w:pPr>
        <w:pStyle w:val="NoSpacing"/>
        <w:jc w:val="center"/>
        <w:rPr>
          <w:rFonts w:ascii="Times New Roman" w:hAnsi="Times New Roman" w:cs="Times New Roman"/>
          <w:b/>
          <w:bCs/>
        </w:rPr>
      </w:pPr>
      <w:r w:rsidRPr="00DA0B4C">
        <w:rPr>
          <w:rFonts w:ascii="Times New Roman" w:hAnsi="Times New Roman" w:cs="Times New Roman"/>
          <w:b/>
          <w:bCs/>
        </w:rPr>
        <w:t>Federal Communications Commission</w:t>
      </w:r>
    </w:p>
    <w:p w:rsidR="004C2EE3" w:rsidRPr="00DA0B4C" w:rsidP="00DA0B4C" w14:paraId="386ABD88" w14:textId="77777777">
      <w:pPr>
        <w:pStyle w:val="NoSpacing"/>
        <w:jc w:val="center"/>
        <w:rPr>
          <w:rFonts w:ascii="Times New Roman" w:hAnsi="Times New Roman" w:cs="Times New Roman"/>
          <w:b/>
          <w:bCs/>
        </w:rPr>
      </w:pPr>
      <w:r w:rsidRPr="00DA0B4C">
        <w:rPr>
          <w:rFonts w:ascii="Times New Roman" w:hAnsi="Times New Roman" w:cs="Times New Roman"/>
          <w:b/>
          <w:bCs/>
        </w:rPr>
        <w:t>Washington, D.C. 20554</w:t>
      </w:r>
    </w:p>
    <w:p w:rsidR="004C2EE3" w:rsidRPr="00DA0B4C" w:rsidP="00DA0B4C" w14:paraId="71F5D9E7" w14:textId="77777777">
      <w:pPr>
        <w:pStyle w:val="NoSpacing"/>
        <w:rPr>
          <w:rFonts w:ascii="Times New Roman" w:hAnsi="Times New Roman" w:cs="Times New Roman"/>
        </w:rPr>
      </w:pPr>
    </w:p>
    <w:tbl>
      <w:tblPr>
        <w:tblW w:w="0" w:type="auto"/>
        <w:tblLayout w:type="fixed"/>
        <w:tblLook w:val="0000"/>
      </w:tblPr>
      <w:tblGrid>
        <w:gridCol w:w="4698"/>
        <w:gridCol w:w="630"/>
        <w:gridCol w:w="4248"/>
      </w:tblGrid>
      <w:tr w14:paraId="40482580" w14:textId="77777777">
        <w:tblPrEx>
          <w:tblW w:w="0" w:type="auto"/>
          <w:tblLayout w:type="fixed"/>
          <w:tblLook w:val="0000"/>
        </w:tblPrEx>
        <w:tc>
          <w:tcPr>
            <w:tcW w:w="4698" w:type="dxa"/>
          </w:tcPr>
          <w:p w:rsidR="004C2EE3" w:rsidRPr="00DA0B4C" w:rsidP="00DA0B4C" w14:paraId="7FB56867" w14:textId="77777777">
            <w:pPr>
              <w:pStyle w:val="NoSpacing"/>
              <w:rPr>
                <w:rFonts w:ascii="Times New Roman" w:hAnsi="Times New Roman" w:cs="Times New Roman"/>
                <w:spacing w:val="-2"/>
              </w:rPr>
            </w:pPr>
            <w:r w:rsidRPr="00DA0B4C">
              <w:rPr>
                <w:rFonts w:ascii="Times New Roman" w:hAnsi="Times New Roman" w:cs="Times New Roman"/>
                <w:spacing w:val="-2"/>
              </w:rPr>
              <w:t>In the Matter of</w:t>
            </w:r>
          </w:p>
          <w:p w:rsidR="004C2EE3" w:rsidRPr="00DA0B4C" w:rsidP="00DA0B4C" w14:paraId="6D73306D" w14:textId="77777777">
            <w:pPr>
              <w:pStyle w:val="NoSpacing"/>
              <w:rPr>
                <w:rFonts w:ascii="Times New Roman" w:hAnsi="Times New Roman" w:cs="Times New Roman"/>
                <w:spacing w:val="-2"/>
              </w:rPr>
            </w:pPr>
          </w:p>
          <w:p w:rsidR="00E97187" w:rsidRPr="00DA0B4C" w:rsidP="00DA0B4C" w14:paraId="7715ACEC" w14:textId="77777777">
            <w:pPr>
              <w:pStyle w:val="NoSpacing"/>
              <w:rPr>
                <w:rFonts w:ascii="Times New Roman" w:hAnsi="Times New Roman" w:cs="Times New Roman"/>
                <w:spacing w:val="-2"/>
              </w:rPr>
            </w:pPr>
            <w:r w:rsidRPr="00DA0B4C">
              <w:rPr>
                <w:rFonts w:ascii="Times New Roman" w:hAnsi="Times New Roman" w:cs="Times New Roman"/>
                <w:spacing w:val="-2"/>
              </w:rPr>
              <w:t xml:space="preserve">Amendment of </w:t>
            </w:r>
            <w:r w:rsidRPr="00DA0B4C" w:rsidR="00F23FF8">
              <w:rPr>
                <w:rFonts w:ascii="Times New Roman" w:hAnsi="Times New Roman" w:cs="Times New Roman"/>
                <w:spacing w:val="-2"/>
              </w:rPr>
              <w:t>S</w:t>
            </w:r>
            <w:r w:rsidRPr="00DA0B4C">
              <w:rPr>
                <w:rFonts w:ascii="Times New Roman" w:hAnsi="Times New Roman" w:cs="Times New Roman"/>
                <w:spacing w:val="-2"/>
              </w:rPr>
              <w:t>ection 73.622(</w:t>
            </w:r>
            <w:r w:rsidRPr="00DA0B4C">
              <w:rPr>
                <w:rFonts w:ascii="Times New Roman" w:hAnsi="Times New Roman" w:cs="Times New Roman"/>
                <w:spacing w:val="-2"/>
              </w:rPr>
              <w:t>i</w:t>
            </w:r>
            <w:r w:rsidRPr="00DA0B4C">
              <w:rPr>
                <w:rFonts w:ascii="Times New Roman" w:hAnsi="Times New Roman" w:cs="Times New Roman"/>
                <w:spacing w:val="-2"/>
              </w:rPr>
              <w:t>),</w:t>
            </w:r>
          </w:p>
          <w:p w:rsidR="00E97187" w:rsidRPr="00DA0B4C" w:rsidP="00DA0B4C" w14:paraId="1597C629" w14:textId="77777777">
            <w:pPr>
              <w:pStyle w:val="NoSpacing"/>
              <w:rPr>
                <w:rFonts w:ascii="Times New Roman" w:hAnsi="Times New Roman" w:cs="Times New Roman"/>
                <w:spacing w:val="-2"/>
              </w:rPr>
            </w:pPr>
            <w:r w:rsidRPr="00DA0B4C">
              <w:rPr>
                <w:rFonts w:ascii="Times New Roman" w:hAnsi="Times New Roman" w:cs="Times New Roman"/>
                <w:spacing w:val="-2"/>
              </w:rPr>
              <w:t>Post-Transition Table of DTV Allotments,</w:t>
            </w:r>
          </w:p>
          <w:p w:rsidR="00E97187" w:rsidRPr="00DA0B4C" w:rsidP="00DA0B4C" w14:paraId="7A99C013" w14:textId="77777777">
            <w:pPr>
              <w:pStyle w:val="NoSpacing"/>
              <w:rPr>
                <w:rFonts w:ascii="Times New Roman" w:hAnsi="Times New Roman" w:cs="Times New Roman"/>
                <w:spacing w:val="-2"/>
              </w:rPr>
            </w:pPr>
            <w:r w:rsidRPr="00DA0B4C">
              <w:rPr>
                <w:rFonts w:ascii="Times New Roman" w:hAnsi="Times New Roman" w:cs="Times New Roman"/>
                <w:spacing w:val="-2"/>
              </w:rPr>
              <w:t>Television Broadcast Stations</w:t>
            </w:r>
          </w:p>
          <w:p w:rsidR="004C2EE3" w:rsidRPr="00DA0B4C" w:rsidP="00DA0B4C" w14:paraId="776A870B" w14:textId="1AAA15EC">
            <w:pPr>
              <w:pStyle w:val="NoSpacing"/>
              <w:rPr>
                <w:rFonts w:ascii="Times New Roman" w:hAnsi="Times New Roman" w:cs="Times New Roman"/>
                <w:spacing w:val="-2"/>
              </w:rPr>
            </w:pPr>
            <w:r w:rsidRPr="00DA0B4C">
              <w:rPr>
                <w:rFonts w:ascii="Times New Roman" w:hAnsi="Times New Roman" w:cs="Times New Roman"/>
                <w:spacing w:val="-2"/>
              </w:rPr>
              <w:t>(</w:t>
            </w:r>
            <w:r w:rsidRPr="00DA0B4C" w:rsidR="004D1A3D">
              <w:rPr>
                <w:rFonts w:ascii="Times New Roman" w:hAnsi="Times New Roman" w:cs="Times New Roman"/>
                <w:spacing w:val="-2"/>
              </w:rPr>
              <w:t>Tulsa, Oklahoma</w:t>
            </w:r>
            <w:r w:rsidRPr="00DA0B4C">
              <w:rPr>
                <w:rFonts w:ascii="Times New Roman" w:hAnsi="Times New Roman" w:cs="Times New Roman"/>
                <w:spacing w:val="-2"/>
              </w:rPr>
              <w:t>)</w:t>
            </w:r>
          </w:p>
        </w:tc>
        <w:tc>
          <w:tcPr>
            <w:tcW w:w="630" w:type="dxa"/>
          </w:tcPr>
          <w:p w:rsidR="004C2EE3" w:rsidRPr="00DA0B4C" w:rsidP="00DA0B4C" w14:paraId="4CCBB1CC" w14:textId="77777777">
            <w:pPr>
              <w:pStyle w:val="NoSpacing"/>
              <w:rPr>
                <w:rFonts w:ascii="Times New Roman" w:hAnsi="Times New Roman" w:cs="Times New Roman"/>
                <w:spacing w:val="-2"/>
              </w:rPr>
            </w:pPr>
            <w:r w:rsidRPr="00DA0B4C">
              <w:rPr>
                <w:rFonts w:ascii="Times New Roman" w:hAnsi="Times New Roman" w:cs="Times New Roman"/>
                <w:spacing w:val="-2"/>
              </w:rPr>
              <w:t>)</w:t>
            </w:r>
          </w:p>
          <w:p w:rsidR="004C2EE3" w:rsidRPr="00DA0B4C" w:rsidP="00DA0B4C" w14:paraId="3D70C23D" w14:textId="77777777">
            <w:pPr>
              <w:pStyle w:val="NoSpacing"/>
              <w:rPr>
                <w:rFonts w:ascii="Times New Roman" w:hAnsi="Times New Roman" w:cs="Times New Roman"/>
                <w:spacing w:val="-2"/>
              </w:rPr>
            </w:pPr>
            <w:r w:rsidRPr="00DA0B4C">
              <w:rPr>
                <w:rFonts w:ascii="Times New Roman" w:hAnsi="Times New Roman" w:cs="Times New Roman"/>
                <w:spacing w:val="-2"/>
              </w:rPr>
              <w:t>)</w:t>
            </w:r>
          </w:p>
          <w:p w:rsidR="004C2EE3" w:rsidRPr="00DA0B4C" w:rsidP="00DA0B4C" w14:paraId="29D883EA" w14:textId="77777777">
            <w:pPr>
              <w:pStyle w:val="NoSpacing"/>
              <w:rPr>
                <w:rFonts w:ascii="Times New Roman" w:hAnsi="Times New Roman" w:cs="Times New Roman"/>
                <w:spacing w:val="-2"/>
              </w:rPr>
            </w:pPr>
            <w:r w:rsidRPr="00DA0B4C">
              <w:rPr>
                <w:rFonts w:ascii="Times New Roman" w:hAnsi="Times New Roman" w:cs="Times New Roman"/>
                <w:spacing w:val="-2"/>
              </w:rPr>
              <w:t>)</w:t>
            </w:r>
          </w:p>
          <w:p w:rsidR="004C2EE3" w:rsidRPr="00DA0B4C" w:rsidP="00DA0B4C" w14:paraId="7249751B" w14:textId="77777777">
            <w:pPr>
              <w:pStyle w:val="NoSpacing"/>
              <w:rPr>
                <w:rFonts w:ascii="Times New Roman" w:hAnsi="Times New Roman" w:cs="Times New Roman"/>
                <w:spacing w:val="-2"/>
              </w:rPr>
            </w:pPr>
            <w:r w:rsidRPr="00DA0B4C">
              <w:rPr>
                <w:rFonts w:ascii="Times New Roman" w:hAnsi="Times New Roman" w:cs="Times New Roman"/>
                <w:spacing w:val="-2"/>
              </w:rPr>
              <w:t>)</w:t>
            </w:r>
          </w:p>
          <w:p w:rsidR="004C2EE3" w:rsidRPr="00DA0B4C" w:rsidP="00DA0B4C" w14:paraId="071E897E" w14:textId="77777777">
            <w:pPr>
              <w:pStyle w:val="NoSpacing"/>
              <w:rPr>
                <w:rFonts w:ascii="Times New Roman" w:hAnsi="Times New Roman" w:cs="Times New Roman"/>
                <w:spacing w:val="-2"/>
              </w:rPr>
            </w:pPr>
            <w:r w:rsidRPr="00DA0B4C">
              <w:rPr>
                <w:rFonts w:ascii="Times New Roman" w:hAnsi="Times New Roman" w:cs="Times New Roman"/>
                <w:spacing w:val="-2"/>
              </w:rPr>
              <w:t>)</w:t>
            </w:r>
          </w:p>
          <w:p w:rsidR="004C2EE3" w:rsidRPr="00DA0B4C" w:rsidP="00DA0B4C" w14:paraId="398D63D7" w14:textId="77777777">
            <w:pPr>
              <w:pStyle w:val="NoSpacing"/>
              <w:rPr>
                <w:rFonts w:ascii="Times New Roman" w:hAnsi="Times New Roman" w:cs="Times New Roman"/>
                <w:spacing w:val="-2"/>
              </w:rPr>
            </w:pPr>
            <w:r w:rsidRPr="00DA0B4C">
              <w:rPr>
                <w:rFonts w:ascii="Times New Roman" w:hAnsi="Times New Roman" w:cs="Times New Roman"/>
                <w:spacing w:val="-2"/>
              </w:rPr>
              <w:t>)</w:t>
            </w:r>
          </w:p>
        </w:tc>
        <w:tc>
          <w:tcPr>
            <w:tcW w:w="4248" w:type="dxa"/>
          </w:tcPr>
          <w:p w:rsidR="004C2EE3" w:rsidRPr="00DA0B4C" w:rsidP="00DA0B4C" w14:paraId="003C0A5F" w14:textId="77777777">
            <w:pPr>
              <w:pStyle w:val="NoSpacing"/>
              <w:rPr>
                <w:rFonts w:ascii="Times New Roman" w:hAnsi="Times New Roman" w:cs="Times New Roman"/>
                <w:spacing w:val="-2"/>
              </w:rPr>
            </w:pPr>
          </w:p>
          <w:p w:rsidR="004C2EE3" w:rsidRPr="00DA0B4C" w:rsidP="00DA0B4C" w14:paraId="1A669B22" w14:textId="77777777">
            <w:pPr>
              <w:pStyle w:val="NoSpacing"/>
              <w:rPr>
                <w:rFonts w:ascii="Times New Roman" w:hAnsi="Times New Roman" w:cs="Times New Roman"/>
                <w:spacing w:val="-2"/>
              </w:rPr>
            </w:pPr>
          </w:p>
          <w:p w:rsidR="00E97187" w:rsidRPr="00DA0B4C" w:rsidP="00DA0B4C" w14:paraId="6D5A18CE" w14:textId="4AF70976">
            <w:pPr>
              <w:pStyle w:val="NoSpacing"/>
              <w:rPr>
                <w:rFonts w:ascii="Times New Roman" w:hAnsi="Times New Roman" w:cs="Times New Roman"/>
                <w:spacing w:val="-2"/>
              </w:rPr>
            </w:pPr>
            <w:r w:rsidRPr="00DA0B4C">
              <w:rPr>
                <w:rFonts w:ascii="Times New Roman" w:hAnsi="Times New Roman" w:cs="Times New Roman"/>
                <w:spacing w:val="-2"/>
              </w:rPr>
              <w:t>MB Docket No. 2</w:t>
            </w:r>
            <w:r w:rsidRPr="00DA0B4C" w:rsidR="00D711F6">
              <w:rPr>
                <w:rFonts w:ascii="Times New Roman" w:hAnsi="Times New Roman" w:cs="Times New Roman"/>
                <w:spacing w:val="-2"/>
              </w:rPr>
              <w:t>1-</w:t>
            </w:r>
            <w:r w:rsidRPr="00DA0B4C" w:rsidR="004D1A3D">
              <w:rPr>
                <w:rFonts w:ascii="Times New Roman" w:hAnsi="Times New Roman" w:cs="Times New Roman"/>
                <w:spacing w:val="-2"/>
              </w:rPr>
              <w:t>9</w:t>
            </w:r>
          </w:p>
          <w:p w:rsidR="004C2EE3" w:rsidRPr="00DA0B4C" w:rsidP="00DA0B4C" w14:paraId="34767A8C" w14:textId="7107B610">
            <w:pPr>
              <w:pStyle w:val="NoSpacing"/>
              <w:rPr>
                <w:rFonts w:ascii="Times New Roman" w:hAnsi="Times New Roman" w:cs="Times New Roman"/>
                <w:spacing w:val="-2"/>
              </w:rPr>
            </w:pPr>
            <w:r w:rsidRPr="00DA0B4C">
              <w:rPr>
                <w:rFonts w:ascii="Times New Roman" w:hAnsi="Times New Roman" w:cs="Times New Roman"/>
                <w:spacing w:val="-2"/>
              </w:rPr>
              <w:t>RM-118</w:t>
            </w:r>
            <w:r w:rsidRPr="00DA0B4C" w:rsidR="004D1A3D">
              <w:rPr>
                <w:rFonts w:ascii="Times New Roman" w:hAnsi="Times New Roman" w:cs="Times New Roman"/>
                <w:spacing w:val="-2"/>
              </w:rPr>
              <w:t>72</w:t>
            </w:r>
          </w:p>
        </w:tc>
      </w:tr>
    </w:tbl>
    <w:p w:rsidR="004C2EE3" w:rsidP="0070224F" w14:paraId="2AD374C5" w14:textId="77777777"/>
    <w:p w:rsidR="004C2EE3" w:rsidRPr="00DA0B4C" w:rsidP="00DA0B4C" w14:paraId="0A95D1DB" w14:textId="433667F4">
      <w:pPr>
        <w:pStyle w:val="StyleBoldCentered"/>
        <w:rPr>
          <w:rFonts w:ascii="Times New Roman" w:hAnsi="Times New Roman" w:cs="Times New Roman"/>
        </w:rPr>
      </w:pPr>
      <w:r w:rsidRPr="0051167B">
        <w:rPr>
          <w:rFonts w:ascii="Times New Roman" w:hAnsi="Times New Roman" w:cs="Times New Roman"/>
        </w:rPr>
        <w:t>report and order</w:t>
      </w:r>
    </w:p>
    <w:p w:rsidR="00E97187" w:rsidRPr="0051167B" w:rsidP="00E97187" w14:paraId="30A075EF" w14:textId="77777777">
      <w:pPr>
        <w:tabs>
          <w:tab w:val="left" w:pos="720"/>
          <w:tab w:val="right" w:pos="9360"/>
        </w:tabs>
        <w:suppressAutoHyphens/>
        <w:spacing w:line="227" w:lineRule="auto"/>
        <w:jc w:val="center"/>
        <w:rPr>
          <w:rFonts w:ascii="Times New Roman" w:hAnsi="Times New Roman" w:cs="Times New Roman"/>
          <w:b/>
          <w:spacing w:val="-2"/>
        </w:rPr>
      </w:pPr>
      <w:r w:rsidRPr="0051167B">
        <w:rPr>
          <w:rFonts w:ascii="Times New Roman" w:hAnsi="Times New Roman" w:cs="Times New Roman"/>
          <w:b/>
          <w:spacing w:val="-2"/>
        </w:rPr>
        <w:t>(Proceeding Terminated)</w:t>
      </w:r>
    </w:p>
    <w:p w:rsidR="00E97187" w:rsidP="00133F79" w14:paraId="16D90E38" w14:textId="77777777">
      <w:pPr>
        <w:tabs>
          <w:tab w:val="left" w:pos="720"/>
          <w:tab w:val="right" w:pos="9360"/>
        </w:tabs>
        <w:suppressAutoHyphens/>
        <w:spacing w:line="227" w:lineRule="auto"/>
        <w:rPr>
          <w:b/>
          <w:spacing w:val="-2"/>
        </w:rPr>
      </w:pPr>
    </w:p>
    <w:p w:rsidR="00822CE0" w:rsidP="00D172A0" w14:paraId="3751C852" w14:textId="12FAADAB">
      <w:pPr>
        <w:tabs>
          <w:tab w:val="left" w:pos="720"/>
          <w:tab w:val="right" w:pos="9360"/>
        </w:tabs>
        <w:suppressAutoHyphens/>
        <w:spacing w:line="240" w:lineRule="auto"/>
      </w:pPr>
      <w:r w:rsidRPr="0051167B">
        <w:rPr>
          <w:rFonts w:ascii="Times New Roman" w:hAnsi="Times New Roman" w:cs="Times New Roman"/>
          <w:b/>
          <w:spacing w:val="-2"/>
        </w:rPr>
        <w:t xml:space="preserve">Adopted:  </w:t>
      </w:r>
      <w:r w:rsidRPr="0051167B" w:rsidR="003F2F96">
        <w:rPr>
          <w:rFonts w:ascii="Times New Roman" w:hAnsi="Times New Roman" w:cs="Times New Roman"/>
          <w:b/>
          <w:spacing w:val="-2"/>
        </w:rPr>
        <w:t>September</w:t>
      </w:r>
      <w:r w:rsidRPr="0051167B" w:rsidR="006409B6">
        <w:rPr>
          <w:rFonts w:ascii="Times New Roman" w:hAnsi="Times New Roman" w:cs="Times New Roman"/>
          <w:b/>
          <w:spacing w:val="-2"/>
        </w:rPr>
        <w:t xml:space="preserve"> </w:t>
      </w:r>
      <w:r w:rsidR="00D27F55">
        <w:rPr>
          <w:rFonts w:ascii="Times New Roman" w:hAnsi="Times New Roman" w:cs="Times New Roman"/>
          <w:b/>
          <w:spacing w:val="-2"/>
        </w:rPr>
        <w:t>15</w:t>
      </w:r>
      <w:r w:rsidRPr="0051167B" w:rsidR="006409B6">
        <w:rPr>
          <w:rFonts w:ascii="Times New Roman" w:hAnsi="Times New Roman" w:cs="Times New Roman"/>
          <w:b/>
          <w:spacing w:val="-2"/>
        </w:rPr>
        <w:t>, 2021</w:t>
      </w:r>
      <w:r>
        <w:rPr>
          <w:b/>
          <w:spacing w:val="-2"/>
        </w:rPr>
        <w:tab/>
      </w:r>
      <w:r w:rsidRPr="0051167B">
        <w:rPr>
          <w:rFonts w:ascii="Times New Roman" w:hAnsi="Times New Roman" w:cs="Times New Roman"/>
          <w:b/>
          <w:spacing w:val="-2"/>
        </w:rPr>
        <w:t>Released</w:t>
      </w:r>
      <w:r w:rsidRPr="0051167B">
        <w:rPr>
          <w:rFonts w:ascii="Times New Roman" w:hAnsi="Times New Roman" w:cs="Times New Roman"/>
          <w:b/>
          <w:spacing w:val="-2"/>
        </w:rPr>
        <w:t>:</w:t>
      </w:r>
      <w:r w:rsidRPr="0051167B">
        <w:rPr>
          <w:rFonts w:ascii="Times New Roman" w:hAnsi="Times New Roman" w:cs="Times New Roman"/>
          <w:b/>
          <w:spacing w:val="-2"/>
        </w:rPr>
        <w:t xml:space="preserve"> </w:t>
      </w:r>
      <w:r w:rsidRPr="0051167B">
        <w:rPr>
          <w:rFonts w:ascii="Times New Roman" w:hAnsi="Times New Roman" w:cs="Times New Roman"/>
          <w:b/>
          <w:spacing w:val="-2"/>
        </w:rPr>
        <w:t xml:space="preserve"> </w:t>
      </w:r>
      <w:r w:rsidRPr="0051167B" w:rsidR="003F2F96">
        <w:rPr>
          <w:rFonts w:ascii="Times New Roman" w:hAnsi="Times New Roman" w:cs="Times New Roman"/>
          <w:b/>
          <w:spacing w:val="-2"/>
        </w:rPr>
        <w:t>September</w:t>
      </w:r>
      <w:r w:rsidRPr="0051167B" w:rsidR="006409B6">
        <w:rPr>
          <w:rFonts w:ascii="Times New Roman" w:hAnsi="Times New Roman" w:cs="Times New Roman"/>
          <w:b/>
          <w:spacing w:val="-2"/>
        </w:rPr>
        <w:t xml:space="preserve"> </w:t>
      </w:r>
      <w:r w:rsidR="00D27F55">
        <w:rPr>
          <w:rFonts w:ascii="Times New Roman" w:hAnsi="Times New Roman" w:cs="Times New Roman"/>
          <w:b/>
          <w:spacing w:val="-2"/>
        </w:rPr>
        <w:t>16</w:t>
      </w:r>
      <w:r w:rsidRPr="0051167B" w:rsidR="006409B6">
        <w:rPr>
          <w:rFonts w:ascii="Times New Roman" w:hAnsi="Times New Roman" w:cs="Times New Roman"/>
          <w:b/>
          <w:spacing w:val="-2"/>
        </w:rPr>
        <w:t>, 2021</w:t>
      </w:r>
    </w:p>
    <w:p w:rsidR="004C2EE3" w:rsidRPr="0051167B" w:rsidP="00A76717" w14:paraId="577EC63B" w14:textId="77777777">
      <w:pPr>
        <w:spacing w:line="240" w:lineRule="auto"/>
        <w:rPr>
          <w:rFonts w:ascii="Times New Roman" w:hAnsi="Times New Roman" w:cs="Times New Roman"/>
          <w:spacing w:val="-2"/>
        </w:rPr>
      </w:pPr>
      <w:r w:rsidRPr="0051167B">
        <w:rPr>
          <w:rFonts w:ascii="Times New Roman" w:hAnsi="Times New Roman" w:cs="Times New Roman"/>
        </w:rPr>
        <w:t xml:space="preserve">By </w:t>
      </w:r>
      <w:r w:rsidRPr="0051167B" w:rsidR="004E4A22">
        <w:rPr>
          <w:rFonts w:ascii="Times New Roman" w:hAnsi="Times New Roman" w:cs="Times New Roman"/>
        </w:rPr>
        <w:t>the</w:t>
      </w:r>
      <w:r w:rsidRPr="0051167B" w:rsidR="002A2D2E">
        <w:rPr>
          <w:rFonts w:ascii="Times New Roman" w:hAnsi="Times New Roman" w:cs="Times New Roman"/>
        </w:rPr>
        <w:t xml:space="preserve"> </w:t>
      </w:r>
      <w:r w:rsidRPr="0051167B" w:rsidR="00E97187">
        <w:rPr>
          <w:rFonts w:ascii="Times New Roman" w:hAnsi="Times New Roman" w:cs="Times New Roman"/>
          <w:spacing w:val="-2"/>
        </w:rPr>
        <w:t>Chief, Video Division, Media Bureau</w:t>
      </w:r>
      <w:r w:rsidRPr="0051167B">
        <w:rPr>
          <w:rFonts w:ascii="Times New Roman" w:hAnsi="Times New Roman" w:cs="Times New Roman"/>
          <w:spacing w:val="-2"/>
        </w:rPr>
        <w:t>:</w:t>
      </w:r>
    </w:p>
    <w:p w:rsidR="00822CE0" w14:paraId="3587BA79" w14:textId="77777777">
      <w:pPr>
        <w:rPr>
          <w:spacing w:val="-2"/>
        </w:rPr>
      </w:pPr>
    </w:p>
    <w:p w:rsidR="00ED2F72" w:rsidRPr="00ED2F72" w:rsidP="00ED2F72" w14:paraId="1795626C" w14:textId="77777777">
      <w:pPr>
        <w:pStyle w:val="Heading1"/>
      </w:pPr>
      <w:r>
        <w:rPr>
          <w:spacing w:val="-2"/>
        </w:rPr>
        <w:t>INTRODUCTION.</w:t>
      </w:r>
    </w:p>
    <w:p w:rsidR="00E97187" w:rsidRPr="00DA0B4C" w:rsidP="00ED2F72" w14:paraId="33098328" w14:textId="13F5DF22">
      <w:pPr>
        <w:pStyle w:val="ParaNum"/>
        <w:rPr>
          <w:rFonts w:ascii="Times New Roman" w:hAnsi="Times New Roman" w:cs="Times New Roman"/>
        </w:rPr>
      </w:pPr>
      <w:r w:rsidRPr="00DA0B4C">
        <w:rPr>
          <w:rFonts w:ascii="Times New Roman" w:hAnsi="Times New Roman" w:cs="Times New Roman"/>
          <w:spacing w:val="-2"/>
        </w:rPr>
        <w:t>The</w:t>
      </w:r>
      <w:r w:rsidRPr="00DA0B4C">
        <w:rPr>
          <w:rFonts w:ascii="Times New Roman" w:hAnsi="Times New Roman" w:cs="Times New Roman"/>
          <w:spacing w:val="-7"/>
        </w:rPr>
        <w:t xml:space="preserve"> Video Division, </w:t>
      </w:r>
      <w:r w:rsidRPr="00DA0B4C">
        <w:rPr>
          <w:rFonts w:ascii="Times New Roman" w:hAnsi="Times New Roman" w:cs="Times New Roman"/>
        </w:rPr>
        <w:t>Media Bureau (Bureau),</w:t>
      </w:r>
      <w:r w:rsidRPr="00DA0B4C">
        <w:rPr>
          <w:rFonts w:ascii="Times New Roman" w:hAnsi="Times New Roman" w:cs="Times New Roman"/>
          <w:spacing w:val="-8"/>
        </w:rPr>
        <w:t xml:space="preserve"> </w:t>
      </w:r>
      <w:r w:rsidRPr="00DA0B4C">
        <w:rPr>
          <w:rFonts w:ascii="Times New Roman" w:hAnsi="Times New Roman" w:cs="Times New Roman"/>
          <w:spacing w:val="-3"/>
        </w:rPr>
        <w:t>has</w:t>
      </w:r>
      <w:r w:rsidRPr="00DA0B4C">
        <w:rPr>
          <w:rFonts w:ascii="Times New Roman" w:hAnsi="Times New Roman" w:cs="Times New Roman"/>
          <w:spacing w:val="-7"/>
        </w:rPr>
        <w:t xml:space="preserve"> </w:t>
      </w:r>
      <w:r w:rsidRPr="00DA0B4C">
        <w:rPr>
          <w:rFonts w:ascii="Times New Roman" w:hAnsi="Times New Roman" w:cs="Times New Roman"/>
          <w:spacing w:val="-3"/>
        </w:rPr>
        <w:t>before</w:t>
      </w:r>
      <w:r w:rsidRPr="00DA0B4C">
        <w:rPr>
          <w:rFonts w:ascii="Times New Roman" w:hAnsi="Times New Roman" w:cs="Times New Roman"/>
          <w:spacing w:val="-7"/>
        </w:rPr>
        <w:t xml:space="preserve"> </w:t>
      </w:r>
      <w:r w:rsidRPr="00DA0B4C">
        <w:rPr>
          <w:rFonts w:ascii="Times New Roman" w:hAnsi="Times New Roman" w:cs="Times New Roman"/>
          <w:spacing w:val="-2"/>
        </w:rPr>
        <w:t>it</w:t>
      </w:r>
      <w:r w:rsidRPr="00DA0B4C">
        <w:rPr>
          <w:rFonts w:ascii="Times New Roman" w:hAnsi="Times New Roman" w:cs="Times New Roman"/>
        </w:rPr>
        <w:t xml:space="preserve"> a Notice of Proposed Rulemaking</w:t>
      </w:r>
      <w:r>
        <w:rPr>
          <w:rStyle w:val="FootnoteReference"/>
          <w:rFonts w:cs="Times New Roman"/>
          <w:sz w:val="22"/>
        </w:rPr>
        <w:footnoteReference w:id="3"/>
      </w:r>
      <w:r w:rsidRPr="00DA0B4C">
        <w:rPr>
          <w:rFonts w:ascii="Times New Roman" w:hAnsi="Times New Roman" w:cs="Times New Roman"/>
        </w:rPr>
        <w:t xml:space="preserve"> issued in response to a</w:t>
      </w:r>
      <w:r w:rsidRPr="00DA0B4C">
        <w:rPr>
          <w:rFonts w:ascii="Times New Roman" w:hAnsi="Times New Roman" w:cs="Times New Roman"/>
          <w:spacing w:val="-7"/>
        </w:rPr>
        <w:t xml:space="preserve"> </w:t>
      </w:r>
      <w:r w:rsidRPr="00DA0B4C" w:rsidR="00B66A30">
        <w:rPr>
          <w:rFonts w:ascii="Times New Roman" w:hAnsi="Times New Roman" w:cs="Times New Roman"/>
        </w:rPr>
        <w:t>P</w:t>
      </w:r>
      <w:r w:rsidRPr="00DA0B4C">
        <w:rPr>
          <w:rFonts w:ascii="Times New Roman" w:hAnsi="Times New Roman" w:cs="Times New Roman"/>
        </w:rPr>
        <w:t>etition</w:t>
      </w:r>
      <w:r w:rsidRPr="00DA0B4C">
        <w:rPr>
          <w:rFonts w:ascii="Times New Roman" w:hAnsi="Times New Roman" w:cs="Times New Roman"/>
          <w:spacing w:val="-8"/>
        </w:rPr>
        <w:t xml:space="preserve"> </w:t>
      </w:r>
      <w:r w:rsidRPr="00DA0B4C">
        <w:rPr>
          <w:rFonts w:ascii="Times New Roman" w:hAnsi="Times New Roman" w:cs="Times New Roman"/>
          <w:spacing w:val="-3"/>
        </w:rPr>
        <w:t>for</w:t>
      </w:r>
      <w:r w:rsidRPr="00DA0B4C">
        <w:rPr>
          <w:rFonts w:ascii="Times New Roman" w:hAnsi="Times New Roman" w:cs="Times New Roman"/>
          <w:spacing w:val="-7"/>
        </w:rPr>
        <w:t xml:space="preserve"> </w:t>
      </w:r>
      <w:r w:rsidRPr="00DA0B4C" w:rsidR="00B66A30">
        <w:rPr>
          <w:rFonts w:ascii="Times New Roman" w:hAnsi="Times New Roman" w:cs="Times New Roman"/>
        </w:rPr>
        <w:t>R</w:t>
      </w:r>
      <w:r w:rsidRPr="00DA0B4C">
        <w:rPr>
          <w:rFonts w:ascii="Times New Roman" w:hAnsi="Times New Roman" w:cs="Times New Roman"/>
        </w:rPr>
        <w:t>ulemaking</w:t>
      </w:r>
      <w:r w:rsidRPr="00DA0B4C">
        <w:rPr>
          <w:rFonts w:ascii="Times New Roman" w:hAnsi="Times New Roman" w:cs="Times New Roman"/>
          <w:spacing w:val="-8"/>
        </w:rPr>
        <w:t xml:space="preserve"> </w:t>
      </w:r>
      <w:r w:rsidRPr="00DA0B4C">
        <w:rPr>
          <w:rFonts w:ascii="Times New Roman" w:hAnsi="Times New Roman" w:cs="Times New Roman"/>
          <w:spacing w:val="-3"/>
        </w:rPr>
        <w:t>filed</w:t>
      </w:r>
      <w:r w:rsidRPr="00DA0B4C">
        <w:rPr>
          <w:rFonts w:ascii="Times New Roman" w:hAnsi="Times New Roman" w:cs="Times New Roman"/>
          <w:spacing w:val="-5"/>
        </w:rPr>
        <w:t xml:space="preserve"> </w:t>
      </w:r>
      <w:r w:rsidRPr="00DA0B4C">
        <w:rPr>
          <w:rFonts w:ascii="Times New Roman" w:hAnsi="Times New Roman" w:cs="Times New Roman"/>
          <w:spacing w:val="-3"/>
        </w:rPr>
        <w:t>by</w:t>
      </w:r>
      <w:r w:rsidRPr="00DA0B4C">
        <w:rPr>
          <w:rFonts w:ascii="Times New Roman" w:hAnsi="Times New Roman" w:cs="Times New Roman"/>
          <w:spacing w:val="-7"/>
        </w:rPr>
        <w:t xml:space="preserve"> </w:t>
      </w:r>
      <w:r w:rsidRPr="00DA0B4C" w:rsidR="00965E3E">
        <w:rPr>
          <w:rFonts w:ascii="Times New Roman" w:hAnsi="Times New Roman" w:cs="Times New Roman"/>
          <w:spacing w:val="-7"/>
        </w:rPr>
        <w:t>KTUL Licensee, LLC</w:t>
      </w:r>
      <w:r w:rsidRPr="00DA0B4C" w:rsidR="00092AB5">
        <w:rPr>
          <w:rFonts w:ascii="Times New Roman" w:hAnsi="Times New Roman" w:cs="Times New Roman"/>
        </w:rPr>
        <w:t xml:space="preserve"> (</w:t>
      </w:r>
      <w:r w:rsidRPr="00DA0B4C" w:rsidR="000709BB">
        <w:rPr>
          <w:rFonts w:ascii="Times New Roman" w:hAnsi="Times New Roman" w:cs="Times New Roman"/>
        </w:rPr>
        <w:t>Licensee</w:t>
      </w:r>
      <w:r w:rsidRPr="00DA0B4C" w:rsidR="00092AB5">
        <w:rPr>
          <w:rFonts w:ascii="Times New Roman" w:hAnsi="Times New Roman" w:cs="Times New Roman"/>
        </w:rPr>
        <w:t xml:space="preserve">), the licensee of </w:t>
      </w:r>
      <w:r w:rsidRPr="00DA0B4C" w:rsidR="00965E3E">
        <w:rPr>
          <w:rFonts w:ascii="Times New Roman" w:hAnsi="Times New Roman" w:cs="Times New Roman"/>
        </w:rPr>
        <w:t>KT</w:t>
      </w:r>
      <w:r w:rsidRPr="00DA0B4C" w:rsidR="00E00DE8">
        <w:rPr>
          <w:rFonts w:ascii="Times New Roman" w:hAnsi="Times New Roman" w:cs="Times New Roman"/>
        </w:rPr>
        <w:t>U</w:t>
      </w:r>
      <w:r w:rsidRPr="00DA0B4C" w:rsidR="00965E3E">
        <w:rPr>
          <w:rFonts w:ascii="Times New Roman" w:hAnsi="Times New Roman" w:cs="Times New Roman"/>
        </w:rPr>
        <w:t>L</w:t>
      </w:r>
      <w:r w:rsidRPr="00DA0B4C" w:rsidR="00092AB5">
        <w:rPr>
          <w:rFonts w:ascii="Times New Roman" w:hAnsi="Times New Roman" w:cs="Times New Roman"/>
        </w:rPr>
        <w:t xml:space="preserve"> (</w:t>
      </w:r>
      <w:r w:rsidRPr="00DA0B4C" w:rsidR="00C802E6">
        <w:rPr>
          <w:rFonts w:ascii="Times New Roman" w:hAnsi="Times New Roman" w:cs="Times New Roman"/>
        </w:rPr>
        <w:t>A</w:t>
      </w:r>
      <w:r w:rsidRPr="00DA0B4C" w:rsidR="00092AB5">
        <w:rPr>
          <w:rFonts w:ascii="Times New Roman" w:hAnsi="Times New Roman" w:cs="Times New Roman"/>
        </w:rPr>
        <w:t xml:space="preserve">BC), channel </w:t>
      </w:r>
      <w:r w:rsidRPr="00DA0B4C" w:rsidR="00965E3E">
        <w:rPr>
          <w:rFonts w:ascii="Times New Roman" w:hAnsi="Times New Roman" w:cs="Times New Roman"/>
        </w:rPr>
        <w:t>10</w:t>
      </w:r>
      <w:r w:rsidRPr="00DA0B4C" w:rsidR="00092AB5">
        <w:rPr>
          <w:rFonts w:ascii="Times New Roman" w:hAnsi="Times New Roman" w:cs="Times New Roman"/>
        </w:rPr>
        <w:t xml:space="preserve">, </w:t>
      </w:r>
      <w:r w:rsidRPr="00DA0B4C" w:rsidR="00965E3E">
        <w:rPr>
          <w:rFonts w:ascii="Times New Roman" w:hAnsi="Times New Roman" w:cs="Times New Roman"/>
        </w:rPr>
        <w:t>Tulsa, Oklahoma</w:t>
      </w:r>
      <w:r w:rsidRPr="00DA0B4C" w:rsidR="0080033E">
        <w:rPr>
          <w:rFonts w:ascii="Times New Roman" w:hAnsi="Times New Roman" w:cs="Times New Roman"/>
        </w:rPr>
        <w:t xml:space="preserve"> (Tulsa)</w:t>
      </w:r>
      <w:r w:rsidRPr="00DA0B4C" w:rsidR="00092AB5">
        <w:rPr>
          <w:rFonts w:ascii="Times New Roman" w:hAnsi="Times New Roman" w:cs="Times New Roman"/>
        </w:rPr>
        <w:t>.</w:t>
      </w:r>
      <w:r w:rsidRPr="00DA0B4C" w:rsidR="006945ED">
        <w:rPr>
          <w:rFonts w:ascii="Times New Roman" w:hAnsi="Times New Roman" w:cs="Times New Roman"/>
        </w:rPr>
        <w:t xml:space="preserve"> </w:t>
      </w:r>
      <w:r w:rsidRPr="00DA0B4C">
        <w:rPr>
          <w:rFonts w:ascii="Times New Roman" w:hAnsi="Times New Roman" w:cs="Times New Roman"/>
        </w:rPr>
        <w:t xml:space="preserve"> </w:t>
      </w:r>
      <w:r w:rsidRPr="00DA0B4C" w:rsidR="000709BB">
        <w:rPr>
          <w:rFonts w:ascii="Times New Roman" w:hAnsi="Times New Roman" w:cs="Times New Roman"/>
        </w:rPr>
        <w:t>The Licensee</w:t>
      </w:r>
      <w:r w:rsidRPr="00DA0B4C">
        <w:rPr>
          <w:rFonts w:ascii="Times New Roman" w:hAnsi="Times New Roman" w:cs="Times New Roman"/>
          <w:spacing w:val="-7"/>
        </w:rPr>
        <w:t xml:space="preserve"> has </w:t>
      </w:r>
      <w:r w:rsidRPr="00DA0B4C">
        <w:rPr>
          <w:rFonts w:ascii="Times New Roman" w:hAnsi="Times New Roman" w:cs="Times New Roman"/>
        </w:rPr>
        <w:t>requested</w:t>
      </w:r>
      <w:r w:rsidRPr="00DA0B4C">
        <w:rPr>
          <w:rFonts w:ascii="Times New Roman" w:hAnsi="Times New Roman" w:cs="Times New Roman"/>
          <w:spacing w:val="-7"/>
        </w:rPr>
        <w:t xml:space="preserve"> </w:t>
      </w:r>
      <w:r w:rsidRPr="00DA0B4C">
        <w:rPr>
          <w:rFonts w:ascii="Times New Roman" w:hAnsi="Times New Roman" w:cs="Times New Roman"/>
          <w:spacing w:val="-3"/>
        </w:rPr>
        <w:t>the</w:t>
      </w:r>
      <w:r w:rsidRPr="00DA0B4C">
        <w:rPr>
          <w:rFonts w:ascii="Times New Roman" w:hAnsi="Times New Roman" w:cs="Times New Roman"/>
          <w:spacing w:val="-7"/>
        </w:rPr>
        <w:t xml:space="preserve"> </w:t>
      </w:r>
      <w:r w:rsidRPr="00DA0B4C">
        <w:rPr>
          <w:rFonts w:ascii="Times New Roman" w:hAnsi="Times New Roman" w:cs="Times New Roman"/>
        </w:rPr>
        <w:t>substitution</w:t>
      </w:r>
      <w:r w:rsidRPr="00DA0B4C">
        <w:rPr>
          <w:rFonts w:ascii="Times New Roman" w:hAnsi="Times New Roman" w:cs="Times New Roman"/>
          <w:spacing w:val="-5"/>
        </w:rPr>
        <w:t xml:space="preserve"> </w:t>
      </w:r>
      <w:r w:rsidRPr="00DA0B4C">
        <w:rPr>
          <w:rFonts w:ascii="Times New Roman" w:hAnsi="Times New Roman" w:cs="Times New Roman"/>
          <w:spacing w:val="-3"/>
        </w:rPr>
        <w:t>of</w:t>
      </w:r>
      <w:r w:rsidRPr="00DA0B4C">
        <w:rPr>
          <w:rFonts w:ascii="Times New Roman" w:hAnsi="Times New Roman" w:cs="Times New Roman"/>
          <w:spacing w:val="-7"/>
        </w:rPr>
        <w:t xml:space="preserve"> UHF </w:t>
      </w:r>
      <w:r w:rsidRPr="00DA0B4C">
        <w:rPr>
          <w:rFonts w:ascii="Times New Roman" w:hAnsi="Times New Roman" w:cs="Times New Roman"/>
          <w:spacing w:val="-3"/>
        </w:rPr>
        <w:t>channel</w:t>
      </w:r>
      <w:r w:rsidRPr="00DA0B4C">
        <w:rPr>
          <w:rFonts w:ascii="Times New Roman" w:hAnsi="Times New Roman" w:cs="Times New Roman"/>
          <w:spacing w:val="-6"/>
        </w:rPr>
        <w:t xml:space="preserve"> </w:t>
      </w:r>
      <w:r w:rsidRPr="00DA0B4C" w:rsidR="000709BB">
        <w:rPr>
          <w:rFonts w:ascii="Times New Roman" w:hAnsi="Times New Roman" w:cs="Times New Roman"/>
          <w:spacing w:val="-2"/>
        </w:rPr>
        <w:t>1</w:t>
      </w:r>
      <w:r w:rsidRPr="00DA0B4C" w:rsidR="00965E3E">
        <w:rPr>
          <w:rFonts w:ascii="Times New Roman" w:hAnsi="Times New Roman" w:cs="Times New Roman"/>
          <w:spacing w:val="-2"/>
        </w:rPr>
        <w:t>4</w:t>
      </w:r>
      <w:r w:rsidRPr="00DA0B4C">
        <w:rPr>
          <w:rFonts w:ascii="Times New Roman" w:hAnsi="Times New Roman" w:cs="Times New Roman"/>
          <w:spacing w:val="-7"/>
        </w:rPr>
        <w:t xml:space="preserve"> </w:t>
      </w:r>
      <w:r w:rsidRPr="00DA0B4C">
        <w:rPr>
          <w:rFonts w:ascii="Times New Roman" w:hAnsi="Times New Roman" w:cs="Times New Roman"/>
          <w:spacing w:val="-3"/>
        </w:rPr>
        <w:t>for</w:t>
      </w:r>
      <w:r w:rsidRPr="00DA0B4C">
        <w:rPr>
          <w:rFonts w:ascii="Times New Roman" w:hAnsi="Times New Roman" w:cs="Times New Roman"/>
        </w:rPr>
        <w:t xml:space="preserve"> VHF channel</w:t>
      </w:r>
      <w:r w:rsidRPr="00DA0B4C">
        <w:rPr>
          <w:rFonts w:ascii="Times New Roman" w:hAnsi="Times New Roman" w:cs="Times New Roman"/>
          <w:spacing w:val="-6"/>
        </w:rPr>
        <w:t xml:space="preserve"> </w:t>
      </w:r>
      <w:r w:rsidRPr="00DA0B4C" w:rsidR="00752E7E">
        <w:rPr>
          <w:rFonts w:ascii="Times New Roman" w:hAnsi="Times New Roman" w:cs="Times New Roman"/>
          <w:spacing w:val="-2"/>
        </w:rPr>
        <w:t>1</w:t>
      </w:r>
      <w:r w:rsidRPr="00DA0B4C" w:rsidR="00965E3E">
        <w:rPr>
          <w:rFonts w:ascii="Times New Roman" w:hAnsi="Times New Roman" w:cs="Times New Roman"/>
          <w:spacing w:val="-2"/>
        </w:rPr>
        <w:t>0</w:t>
      </w:r>
      <w:r w:rsidRPr="00DA0B4C">
        <w:rPr>
          <w:rFonts w:ascii="Times New Roman" w:hAnsi="Times New Roman" w:cs="Times New Roman"/>
          <w:spacing w:val="-7"/>
        </w:rPr>
        <w:t xml:space="preserve"> </w:t>
      </w:r>
      <w:r w:rsidRPr="00DA0B4C">
        <w:rPr>
          <w:rFonts w:ascii="Times New Roman" w:hAnsi="Times New Roman" w:cs="Times New Roman"/>
          <w:spacing w:val="-1"/>
        </w:rPr>
        <w:t>in</w:t>
      </w:r>
      <w:r w:rsidRPr="00DA0B4C">
        <w:rPr>
          <w:rFonts w:ascii="Times New Roman" w:hAnsi="Times New Roman" w:cs="Times New Roman"/>
          <w:spacing w:val="-10"/>
        </w:rPr>
        <w:t xml:space="preserve"> </w:t>
      </w:r>
      <w:r w:rsidRPr="00DA0B4C">
        <w:rPr>
          <w:rFonts w:ascii="Times New Roman" w:hAnsi="Times New Roman" w:cs="Times New Roman"/>
          <w:spacing w:val="-3"/>
        </w:rPr>
        <w:t>the</w:t>
      </w:r>
      <w:r w:rsidRPr="00DA0B4C">
        <w:rPr>
          <w:rFonts w:ascii="Times New Roman" w:hAnsi="Times New Roman" w:cs="Times New Roman"/>
          <w:spacing w:val="-5"/>
        </w:rPr>
        <w:t xml:space="preserve"> </w:t>
      </w:r>
      <w:r w:rsidRPr="00DA0B4C">
        <w:rPr>
          <w:rFonts w:ascii="Times New Roman" w:hAnsi="Times New Roman" w:cs="Times New Roman"/>
          <w:spacing w:val="-3"/>
        </w:rPr>
        <w:t>DTV</w:t>
      </w:r>
      <w:r w:rsidRPr="00DA0B4C">
        <w:rPr>
          <w:rFonts w:ascii="Times New Roman" w:hAnsi="Times New Roman" w:cs="Times New Roman"/>
          <w:spacing w:val="-8"/>
        </w:rPr>
        <w:t xml:space="preserve"> </w:t>
      </w:r>
      <w:r w:rsidRPr="00DA0B4C">
        <w:rPr>
          <w:rFonts w:ascii="Times New Roman" w:hAnsi="Times New Roman" w:cs="Times New Roman"/>
          <w:spacing w:val="-3"/>
        </w:rPr>
        <w:t>Table</w:t>
      </w:r>
      <w:r w:rsidRPr="00DA0B4C">
        <w:rPr>
          <w:rFonts w:ascii="Times New Roman" w:hAnsi="Times New Roman" w:cs="Times New Roman"/>
          <w:spacing w:val="-7"/>
        </w:rPr>
        <w:t xml:space="preserve"> </w:t>
      </w:r>
      <w:r w:rsidRPr="00DA0B4C" w:rsidR="007E31D4">
        <w:rPr>
          <w:rFonts w:ascii="Times New Roman" w:hAnsi="Times New Roman" w:cs="Times New Roman"/>
          <w:spacing w:val="-3"/>
        </w:rPr>
        <w:t>of Allotments</w:t>
      </w:r>
      <w:r w:rsidRPr="00DA0B4C">
        <w:rPr>
          <w:rFonts w:ascii="Times New Roman" w:hAnsi="Times New Roman" w:cs="Times New Roman"/>
        </w:rPr>
        <w:t>.</w:t>
      </w:r>
      <w:r>
        <w:rPr>
          <w:rStyle w:val="FootnoteReference"/>
          <w:rFonts w:cs="Times New Roman"/>
          <w:sz w:val="22"/>
        </w:rPr>
        <w:footnoteReference w:id="4"/>
      </w:r>
      <w:r w:rsidRPr="00DA0B4C">
        <w:rPr>
          <w:rFonts w:ascii="Times New Roman" w:hAnsi="Times New Roman" w:cs="Times New Roman"/>
          <w:position w:val="8"/>
        </w:rPr>
        <w:t xml:space="preserve">  </w:t>
      </w:r>
    </w:p>
    <w:p w:rsidR="00E97187" w:rsidRPr="009919F5" w:rsidP="009919F5" w14:paraId="0EF96F26" w14:textId="5A7DD8B7">
      <w:pPr>
        <w:pStyle w:val="ParaNum"/>
        <w:rPr>
          <w:rFonts w:ascii="TimesNewRomanPSMT" w:hAnsi="TimesNewRomanPSMT" w:cs="TimesNewRomanPSMT"/>
          <w:sz w:val="20"/>
        </w:rPr>
      </w:pPr>
      <w:r w:rsidRPr="00DA0B4C">
        <w:rPr>
          <w:rFonts w:ascii="Times New Roman" w:hAnsi="Times New Roman" w:cs="Times New Roman"/>
        </w:rPr>
        <w:t>The Licensee</w:t>
      </w:r>
      <w:r w:rsidRPr="00DA0B4C" w:rsidR="00F86933">
        <w:rPr>
          <w:rFonts w:ascii="Times New Roman" w:hAnsi="Times New Roman" w:cs="Times New Roman"/>
        </w:rPr>
        <w:t xml:space="preserve"> filed comments in support of the petition, as required by the Commission’s rules,</w:t>
      </w:r>
      <w:r>
        <w:rPr>
          <w:rStyle w:val="FootnoteReference"/>
          <w:rFonts w:cs="Times New Roman"/>
          <w:iCs/>
          <w:sz w:val="22"/>
        </w:rPr>
        <w:footnoteReference w:id="5"/>
      </w:r>
      <w:r w:rsidRPr="00DA0B4C" w:rsidR="00F86933">
        <w:rPr>
          <w:rFonts w:ascii="Times New Roman" w:hAnsi="Times New Roman" w:cs="Times New Roman"/>
        </w:rPr>
        <w:t xml:space="preserve"> reaffirming its commitment to apply for channel </w:t>
      </w:r>
      <w:r w:rsidRPr="00DA0B4C">
        <w:rPr>
          <w:rFonts w:ascii="Times New Roman" w:hAnsi="Times New Roman" w:cs="Times New Roman"/>
        </w:rPr>
        <w:t>1</w:t>
      </w:r>
      <w:r w:rsidRPr="00DA0B4C" w:rsidR="00D76DA2">
        <w:rPr>
          <w:rFonts w:ascii="Times New Roman" w:hAnsi="Times New Roman" w:cs="Times New Roman"/>
        </w:rPr>
        <w:t>4</w:t>
      </w:r>
      <w:r w:rsidRPr="00DA0B4C" w:rsidR="00F372C7">
        <w:rPr>
          <w:rFonts w:ascii="Times New Roman" w:hAnsi="Times New Roman" w:cs="Times New Roman"/>
        </w:rPr>
        <w:t xml:space="preserve">. </w:t>
      </w:r>
      <w:r w:rsidRPr="00DA0B4C" w:rsidR="00F86933">
        <w:rPr>
          <w:rFonts w:ascii="Times New Roman" w:hAnsi="Times New Roman" w:cs="Times New Roman"/>
        </w:rPr>
        <w:t xml:space="preserve"> </w:t>
      </w:r>
      <w:r w:rsidRPr="00DA0B4C" w:rsidR="00B934DF">
        <w:rPr>
          <w:rFonts w:ascii="Times New Roman" w:hAnsi="Times New Roman" w:cs="Times New Roman"/>
        </w:rPr>
        <w:t>The Land Mobile Communications Council (LMCC) filed opposition comments,</w:t>
      </w:r>
      <w:r>
        <w:rPr>
          <w:rStyle w:val="FootnoteReference"/>
          <w:rFonts w:cs="Times New Roman"/>
          <w:sz w:val="22"/>
        </w:rPr>
        <w:footnoteReference w:id="6"/>
      </w:r>
      <w:r w:rsidRPr="00DA0B4C" w:rsidR="00B934DF">
        <w:rPr>
          <w:rFonts w:ascii="Times New Roman" w:hAnsi="Times New Roman" w:cs="Times New Roman"/>
        </w:rPr>
        <w:t xml:space="preserve"> to which the Licensee filed a reply.</w:t>
      </w:r>
      <w:r>
        <w:rPr>
          <w:rStyle w:val="FootnoteReference"/>
          <w:rFonts w:cs="Times New Roman"/>
          <w:sz w:val="22"/>
        </w:rPr>
        <w:footnoteReference w:id="7"/>
      </w:r>
      <w:r w:rsidRPr="00DA0B4C" w:rsidR="009336AA">
        <w:rPr>
          <w:rFonts w:ascii="Times New Roman" w:hAnsi="Times New Roman" w:cs="Times New Roman"/>
        </w:rPr>
        <w:t xml:space="preserve">  For the reasons set </w:t>
      </w:r>
      <w:r w:rsidRPr="00DA0B4C" w:rsidR="002069AD">
        <w:rPr>
          <w:rFonts w:ascii="Times New Roman" w:hAnsi="Times New Roman" w:cs="Times New Roman"/>
        </w:rPr>
        <w:t>forth</w:t>
      </w:r>
      <w:r w:rsidRPr="00267690" w:rsidR="002069AD">
        <w:rPr>
          <w:rFonts w:ascii="Times New Roman" w:hAnsi="Times New Roman" w:cs="Times New Roman"/>
        </w:rPr>
        <w:t xml:space="preserve"> </w:t>
      </w:r>
      <w:r w:rsidRPr="00267690" w:rsidR="009336AA">
        <w:rPr>
          <w:rFonts w:ascii="Times New Roman" w:hAnsi="Times New Roman" w:cs="Times New Roman"/>
        </w:rPr>
        <w:t>be</w:t>
      </w:r>
      <w:r w:rsidRPr="00267690" w:rsidR="00C1621D">
        <w:rPr>
          <w:rFonts w:ascii="Times New Roman" w:hAnsi="Times New Roman" w:cs="Times New Roman"/>
        </w:rPr>
        <w:t>l</w:t>
      </w:r>
      <w:r w:rsidRPr="00267690" w:rsidR="009336AA">
        <w:rPr>
          <w:rFonts w:ascii="Times New Roman" w:hAnsi="Times New Roman" w:cs="Times New Roman"/>
        </w:rPr>
        <w:t>ow, we believe that the Licensee’s proposal complies with all pertinent technical rules and that</w:t>
      </w:r>
      <w:r w:rsidRPr="00267690" w:rsidR="00F86933">
        <w:rPr>
          <w:rFonts w:ascii="Times New Roman" w:hAnsi="Times New Roman" w:cs="Times New Roman"/>
        </w:rPr>
        <w:t xml:space="preserve"> the public interest would be served by substituting channel </w:t>
      </w:r>
      <w:r w:rsidRPr="00267690">
        <w:rPr>
          <w:rFonts w:ascii="Times New Roman" w:hAnsi="Times New Roman" w:cs="Times New Roman"/>
        </w:rPr>
        <w:t>1</w:t>
      </w:r>
      <w:r w:rsidRPr="00267690" w:rsidR="009336AA">
        <w:rPr>
          <w:rFonts w:ascii="Times New Roman" w:hAnsi="Times New Roman" w:cs="Times New Roman"/>
        </w:rPr>
        <w:t>4</w:t>
      </w:r>
      <w:r w:rsidRPr="00267690" w:rsidR="00F86933">
        <w:rPr>
          <w:rFonts w:ascii="Times New Roman" w:hAnsi="Times New Roman" w:cs="Times New Roman"/>
        </w:rPr>
        <w:t xml:space="preserve"> for channel </w:t>
      </w:r>
      <w:r w:rsidRPr="00267690" w:rsidR="00424EA6">
        <w:rPr>
          <w:rFonts w:ascii="Times New Roman" w:hAnsi="Times New Roman" w:cs="Times New Roman"/>
        </w:rPr>
        <w:t>1</w:t>
      </w:r>
      <w:r w:rsidRPr="00267690" w:rsidR="009336AA">
        <w:rPr>
          <w:rFonts w:ascii="Times New Roman" w:hAnsi="Times New Roman" w:cs="Times New Roman"/>
        </w:rPr>
        <w:t>0</w:t>
      </w:r>
      <w:r w:rsidRPr="00267690" w:rsidR="00424EA6">
        <w:rPr>
          <w:rFonts w:ascii="Times New Roman" w:hAnsi="Times New Roman" w:cs="Times New Roman"/>
        </w:rPr>
        <w:t xml:space="preserve"> </w:t>
      </w:r>
      <w:r w:rsidRPr="00267690" w:rsidR="00F86933">
        <w:rPr>
          <w:rFonts w:ascii="Times New Roman" w:hAnsi="Times New Roman" w:cs="Times New Roman"/>
        </w:rPr>
        <w:t xml:space="preserve">at </w:t>
      </w:r>
      <w:r w:rsidRPr="00267690" w:rsidR="009336AA">
        <w:rPr>
          <w:rFonts w:ascii="Times New Roman" w:hAnsi="Times New Roman" w:cs="Times New Roman"/>
        </w:rPr>
        <w:t>Tulsa</w:t>
      </w:r>
      <w:r w:rsidRPr="00267690" w:rsidR="00EC4DB1">
        <w:rPr>
          <w:rFonts w:ascii="Times New Roman" w:hAnsi="Times New Roman" w:cs="Times New Roman"/>
        </w:rPr>
        <w:t>, Oklahoma</w:t>
      </w:r>
      <w:r w:rsidRPr="00267690" w:rsidR="009336AA">
        <w:rPr>
          <w:rFonts w:ascii="Times New Roman" w:hAnsi="Times New Roman" w:cs="Times New Roman"/>
        </w:rPr>
        <w:t>.</w:t>
      </w:r>
      <w:r w:rsidRPr="00267690" w:rsidR="00F86933">
        <w:rPr>
          <w:rFonts w:ascii="Times New Roman" w:hAnsi="Times New Roman" w:cs="Times New Roman"/>
        </w:rPr>
        <w:t xml:space="preserve"> </w:t>
      </w:r>
      <w:r w:rsidRPr="00267690" w:rsidR="00FE7CD5">
        <w:rPr>
          <w:rFonts w:ascii="Times New Roman" w:hAnsi="Times New Roman" w:cs="Times New Roman"/>
        </w:rPr>
        <w:t>Accordingly, we will substitute channel 14 for channel 10</w:t>
      </w:r>
      <w:r w:rsidRPr="00267690" w:rsidR="001B709E">
        <w:rPr>
          <w:rFonts w:ascii="Times New Roman" w:hAnsi="Times New Roman" w:cs="Times New Roman"/>
        </w:rPr>
        <w:t xml:space="preserve"> in the DTV Table of Allotments</w:t>
      </w:r>
      <w:r w:rsidRPr="00267690" w:rsidR="00676695">
        <w:rPr>
          <w:rFonts w:ascii="Times New Roman" w:hAnsi="Times New Roman" w:cs="Times New Roman"/>
        </w:rPr>
        <w:t xml:space="preserve"> as requested</w:t>
      </w:r>
      <w:r w:rsidR="00FE7CD5">
        <w:t>.</w:t>
      </w:r>
    </w:p>
    <w:p w:rsidR="00ED2F72" w:rsidP="00ED2F72" w14:paraId="777CD957" w14:textId="4093E20B">
      <w:pPr>
        <w:pStyle w:val="Heading1"/>
        <w:rPr>
          <w:spacing w:val="-7"/>
        </w:rPr>
      </w:pPr>
      <w:r>
        <w:rPr>
          <w:spacing w:val="-7"/>
        </w:rPr>
        <w:t>BACKGROUND.</w:t>
      </w:r>
    </w:p>
    <w:p w:rsidR="00433AF7" w:rsidRPr="00267690" w:rsidP="00433AF7" w14:paraId="5A4335B5" w14:textId="189C5B2C">
      <w:pPr>
        <w:pStyle w:val="ParaNum"/>
        <w:rPr>
          <w:rFonts w:ascii="Times New Roman" w:hAnsi="Times New Roman" w:cs="Times New Roman"/>
        </w:rPr>
      </w:pPr>
      <w:r w:rsidRPr="00267690">
        <w:rPr>
          <w:rFonts w:ascii="Times New Roman" w:hAnsi="Times New Roman" w:cs="Times New Roman"/>
        </w:rPr>
        <w:t xml:space="preserve">In the </w:t>
      </w:r>
      <w:r w:rsidRPr="00267690">
        <w:rPr>
          <w:rFonts w:ascii="Times New Roman" w:hAnsi="Times New Roman" w:cs="Times New Roman"/>
          <w:i/>
          <w:iCs/>
        </w:rPr>
        <w:t>NPRM</w:t>
      </w:r>
      <w:r w:rsidRPr="00267690">
        <w:rPr>
          <w:rFonts w:ascii="Times New Roman" w:hAnsi="Times New Roman" w:cs="Times New Roman"/>
        </w:rPr>
        <w:t xml:space="preserve">, </w:t>
      </w:r>
      <w:r w:rsidRPr="00267690" w:rsidR="00E01E31">
        <w:rPr>
          <w:rFonts w:ascii="Times New Roman" w:hAnsi="Times New Roman" w:cs="Times New Roman"/>
        </w:rPr>
        <w:t>the Bureau</w:t>
      </w:r>
      <w:r w:rsidRPr="00267690">
        <w:rPr>
          <w:rFonts w:ascii="Times New Roman" w:hAnsi="Times New Roman" w:cs="Times New Roman"/>
        </w:rPr>
        <w:t xml:space="preserve"> </w:t>
      </w:r>
      <w:r w:rsidRPr="00267690" w:rsidR="00DF0BBF">
        <w:rPr>
          <w:rFonts w:ascii="Times New Roman" w:hAnsi="Times New Roman" w:cs="Times New Roman"/>
        </w:rPr>
        <w:t xml:space="preserve">stated that </w:t>
      </w:r>
      <w:r w:rsidRPr="00267690">
        <w:rPr>
          <w:rFonts w:ascii="Times New Roman" w:hAnsi="Times New Roman" w:cs="Times New Roman"/>
        </w:rPr>
        <w:t xml:space="preserve">substituting channel </w:t>
      </w:r>
      <w:r w:rsidRPr="00267690" w:rsidR="00C1621D">
        <w:rPr>
          <w:rFonts w:ascii="Times New Roman" w:hAnsi="Times New Roman" w:cs="Times New Roman"/>
        </w:rPr>
        <w:t>14</w:t>
      </w:r>
      <w:r w:rsidRPr="00267690">
        <w:rPr>
          <w:rFonts w:ascii="Times New Roman" w:hAnsi="Times New Roman" w:cs="Times New Roman"/>
        </w:rPr>
        <w:t xml:space="preserve"> for channel 1</w:t>
      </w:r>
      <w:r w:rsidRPr="00267690" w:rsidR="00C1621D">
        <w:rPr>
          <w:rFonts w:ascii="Times New Roman" w:hAnsi="Times New Roman" w:cs="Times New Roman"/>
        </w:rPr>
        <w:t>0</w:t>
      </w:r>
      <w:r w:rsidRPr="00267690">
        <w:rPr>
          <w:rFonts w:ascii="Times New Roman" w:hAnsi="Times New Roman" w:cs="Times New Roman"/>
        </w:rPr>
        <w:t xml:space="preserve"> at </w:t>
      </w:r>
      <w:r w:rsidRPr="00267690" w:rsidR="00C1621D">
        <w:rPr>
          <w:rFonts w:ascii="Times New Roman" w:hAnsi="Times New Roman" w:cs="Times New Roman"/>
        </w:rPr>
        <w:t>Tulsa</w:t>
      </w:r>
      <w:r w:rsidRPr="00267690" w:rsidR="00DF0BBF">
        <w:rPr>
          <w:rFonts w:ascii="Times New Roman" w:hAnsi="Times New Roman" w:cs="Times New Roman"/>
        </w:rPr>
        <w:t xml:space="preserve"> warrants consideration</w:t>
      </w:r>
      <w:r w:rsidRPr="00267690" w:rsidR="00AB0804">
        <w:rPr>
          <w:rFonts w:ascii="Times New Roman" w:hAnsi="Times New Roman" w:cs="Times New Roman"/>
        </w:rPr>
        <w:t>.</w:t>
      </w:r>
      <w:r w:rsidRPr="00267690" w:rsidR="00D76DA2">
        <w:rPr>
          <w:rFonts w:ascii="Times New Roman" w:hAnsi="Times New Roman" w:cs="Times New Roman"/>
        </w:rPr>
        <w:t xml:space="preserve"> </w:t>
      </w:r>
      <w:r w:rsidRPr="00267690" w:rsidR="00AB0804">
        <w:rPr>
          <w:rFonts w:ascii="Times New Roman" w:hAnsi="Times New Roman" w:cs="Times New Roman"/>
        </w:rPr>
        <w:t>T</w:t>
      </w:r>
      <w:r w:rsidRPr="00267690" w:rsidR="00D76DA2">
        <w:rPr>
          <w:rFonts w:ascii="Times New Roman" w:hAnsi="Times New Roman" w:cs="Times New Roman"/>
        </w:rPr>
        <w:t>he Licensee explained that</w:t>
      </w:r>
      <w:r w:rsidRPr="00267690">
        <w:rPr>
          <w:rFonts w:ascii="Times New Roman" w:hAnsi="Times New Roman" w:cs="Times New Roman"/>
        </w:rPr>
        <w:t xml:space="preserve"> </w:t>
      </w:r>
      <w:r w:rsidRPr="00267690" w:rsidR="002069AD">
        <w:rPr>
          <w:rFonts w:ascii="Times New Roman" w:hAnsi="Times New Roman" w:cs="Times New Roman"/>
        </w:rPr>
        <w:t>t</w:t>
      </w:r>
      <w:r w:rsidRPr="00267690">
        <w:rPr>
          <w:rFonts w:ascii="Times New Roman" w:hAnsi="Times New Roman" w:cs="Times New Roman"/>
        </w:rPr>
        <w:t>he channel substitution w</w:t>
      </w:r>
      <w:r w:rsidRPr="00267690" w:rsidR="002069AD">
        <w:rPr>
          <w:rFonts w:ascii="Times New Roman" w:hAnsi="Times New Roman" w:cs="Times New Roman"/>
        </w:rPr>
        <w:t>ould</w:t>
      </w:r>
      <w:r w:rsidRPr="00267690">
        <w:rPr>
          <w:rFonts w:ascii="Times New Roman" w:hAnsi="Times New Roman" w:cs="Times New Roman"/>
        </w:rPr>
        <w:t xml:space="preserve"> permit </w:t>
      </w:r>
      <w:r w:rsidRPr="00267690" w:rsidR="002069AD">
        <w:rPr>
          <w:rFonts w:ascii="Times New Roman" w:hAnsi="Times New Roman" w:cs="Times New Roman"/>
        </w:rPr>
        <w:t>KTUL</w:t>
      </w:r>
      <w:r w:rsidRPr="00267690">
        <w:rPr>
          <w:rFonts w:ascii="Times New Roman" w:hAnsi="Times New Roman" w:cs="Times New Roman"/>
        </w:rPr>
        <w:t xml:space="preserve"> to better serve its viewers, who have experienced reception problems with VHF channel 1</w:t>
      </w:r>
      <w:r w:rsidRPr="00267690" w:rsidR="00C1621D">
        <w:rPr>
          <w:rFonts w:ascii="Times New Roman" w:hAnsi="Times New Roman" w:cs="Times New Roman"/>
        </w:rPr>
        <w:t>0</w:t>
      </w:r>
      <w:r w:rsidRPr="00267690">
        <w:rPr>
          <w:rFonts w:ascii="Times New Roman" w:hAnsi="Times New Roman" w:cs="Times New Roman"/>
        </w:rPr>
        <w:t>.</w:t>
      </w:r>
      <w:r>
        <w:rPr>
          <w:rStyle w:val="FootnoteReference"/>
          <w:rFonts w:cs="Times New Roman"/>
          <w:sz w:val="22"/>
        </w:rPr>
        <w:footnoteReference w:id="8"/>
      </w:r>
      <w:r w:rsidRPr="00267690">
        <w:rPr>
          <w:rFonts w:ascii="Times New Roman" w:hAnsi="Times New Roman" w:cs="Times New Roman"/>
        </w:rPr>
        <w:t xml:space="preserve">  According to the Licensee, KTUL, as a VHF channel station, has a long history of dealing with severe reception problems</w:t>
      </w:r>
      <w:r w:rsidRPr="00267690" w:rsidR="00AB0804">
        <w:rPr>
          <w:rFonts w:ascii="Times New Roman" w:hAnsi="Times New Roman" w:cs="Times New Roman"/>
        </w:rPr>
        <w:t>,</w:t>
      </w:r>
      <w:r w:rsidRPr="00267690">
        <w:rPr>
          <w:rFonts w:ascii="Times New Roman" w:hAnsi="Times New Roman" w:cs="Times New Roman"/>
        </w:rPr>
        <w:t xml:space="preserve"> exacerbated by the analog to digital conversion.</w:t>
      </w:r>
      <w:r>
        <w:rPr>
          <w:rStyle w:val="FootnoteReference"/>
          <w:rFonts w:cs="Times New Roman"/>
          <w:sz w:val="22"/>
        </w:rPr>
        <w:footnoteReference w:id="9"/>
      </w:r>
      <w:r w:rsidRPr="00267690">
        <w:rPr>
          <w:rFonts w:ascii="Times New Roman" w:hAnsi="Times New Roman" w:cs="Times New Roman"/>
        </w:rPr>
        <w:t xml:space="preserve">  </w:t>
      </w:r>
      <w:r w:rsidRPr="00267690" w:rsidR="00C1621D">
        <w:rPr>
          <w:rFonts w:ascii="Times New Roman" w:hAnsi="Times New Roman" w:cs="Times New Roman"/>
        </w:rPr>
        <w:t>In addition, operation on channel 14 w</w:t>
      </w:r>
      <w:r w:rsidRPr="00267690" w:rsidR="002069AD">
        <w:rPr>
          <w:rFonts w:ascii="Times New Roman" w:hAnsi="Times New Roman" w:cs="Times New Roman"/>
        </w:rPr>
        <w:t>ould</w:t>
      </w:r>
      <w:r w:rsidRPr="00267690" w:rsidR="00C1621D">
        <w:rPr>
          <w:rFonts w:ascii="Times New Roman" w:hAnsi="Times New Roman" w:cs="Times New Roman"/>
        </w:rPr>
        <w:t xml:space="preserve"> not result in any predicted loss of </w:t>
      </w:r>
      <w:r w:rsidRPr="00267690" w:rsidR="002069AD">
        <w:rPr>
          <w:rFonts w:ascii="Times New Roman" w:hAnsi="Times New Roman" w:cs="Times New Roman"/>
        </w:rPr>
        <w:t>television</w:t>
      </w:r>
      <w:r w:rsidRPr="00267690" w:rsidR="00047752">
        <w:rPr>
          <w:rFonts w:ascii="Times New Roman" w:hAnsi="Times New Roman" w:cs="Times New Roman"/>
        </w:rPr>
        <w:t xml:space="preserve"> </w:t>
      </w:r>
      <w:r w:rsidRPr="00267690" w:rsidR="00C1621D">
        <w:rPr>
          <w:rFonts w:ascii="Times New Roman" w:hAnsi="Times New Roman" w:cs="Times New Roman"/>
        </w:rPr>
        <w:t>service</w:t>
      </w:r>
      <w:r w:rsidRPr="00267690" w:rsidR="00A65FC4">
        <w:rPr>
          <w:rFonts w:ascii="Times New Roman" w:hAnsi="Times New Roman" w:cs="Times New Roman"/>
        </w:rPr>
        <w:t xml:space="preserve"> to KTUL viewers</w:t>
      </w:r>
      <w:r w:rsidRPr="00267690" w:rsidR="00C1621D">
        <w:rPr>
          <w:rFonts w:ascii="Times New Roman" w:hAnsi="Times New Roman" w:cs="Times New Roman"/>
        </w:rPr>
        <w:t>, and would result in a substantial increase in signal receivability for KTUL viewers.</w:t>
      </w:r>
      <w:r>
        <w:rPr>
          <w:rStyle w:val="FootnoteReference"/>
          <w:rFonts w:cs="Times New Roman"/>
          <w:spacing w:val="-3"/>
          <w:sz w:val="22"/>
        </w:rPr>
        <w:footnoteReference w:id="10"/>
      </w:r>
      <w:r w:rsidRPr="00267690" w:rsidR="00C1621D">
        <w:rPr>
          <w:rFonts w:ascii="Times New Roman" w:hAnsi="Times New Roman" w:cs="Times New Roman"/>
        </w:rPr>
        <w:t xml:space="preserve">  The Licensee further stated that with respect to operations on channel 14 and nearby land mobile services, it determined that it can install the appropriate mask filter and antenna needed to avoid interference to land mobile operations.</w:t>
      </w:r>
      <w:r>
        <w:rPr>
          <w:rStyle w:val="FootnoteReference"/>
          <w:rFonts w:cs="Times New Roman"/>
          <w:spacing w:val="-3"/>
          <w:sz w:val="22"/>
        </w:rPr>
        <w:footnoteReference w:id="11"/>
      </w:r>
      <w:r w:rsidRPr="00267690" w:rsidR="00C1621D">
        <w:rPr>
          <w:rFonts w:ascii="Times New Roman" w:hAnsi="Times New Roman" w:cs="Times New Roman"/>
          <w:spacing w:val="-3"/>
        </w:rPr>
        <w:t xml:space="preserve"> </w:t>
      </w:r>
      <w:r w:rsidRPr="00267690" w:rsidR="00C1621D">
        <w:rPr>
          <w:rFonts w:ascii="Times New Roman" w:hAnsi="Times New Roman" w:cs="Times New Roman"/>
        </w:rPr>
        <w:t xml:space="preserve"> </w:t>
      </w:r>
    </w:p>
    <w:p w:rsidR="003103A5" w:rsidP="00E25A83" w14:paraId="2BAD691F" w14:textId="586305F2">
      <w:pPr>
        <w:pStyle w:val="ParaNum"/>
      </w:pPr>
      <w:r w:rsidRPr="00267690">
        <w:rPr>
          <w:rFonts w:ascii="Times New Roman" w:hAnsi="Times New Roman" w:cs="Times New Roman"/>
        </w:rPr>
        <w:t>In its Opposition,</w:t>
      </w:r>
      <w:r>
        <w:rPr>
          <w:rStyle w:val="FootnoteReference"/>
          <w:rFonts w:cs="Times New Roman"/>
          <w:sz w:val="22"/>
        </w:rPr>
        <w:footnoteReference w:id="12"/>
      </w:r>
      <w:r w:rsidRPr="00267690" w:rsidR="007460D0">
        <w:rPr>
          <w:rFonts w:ascii="Times New Roman" w:hAnsi="Times New Roman" w:cs="Times New Roman"/>
        </w:rPr>
        <w:t xml:space="preserve"> </w:t>
      </w:r>
      <w:r w:rsidRPr="00267690">
        <w:rPr>
          <w:rFonts w:ascii="Times New Roman" w:hAnsi="Times New Roman" w:cs="Times New Roman"/>
        </w:rPr>
        <w:t>LMCC states that</w:t>
      </w:r>
      <w:r w:rsidRPr="00267690" w:rsidR="00955554">
        <w:rPr>
          <w:rFonts w:ascii="Times New Roman" w:hAnsi="Times New Roman" w:cs="Times New Roman"/>
        </w:rPr>
        <w:t xml:space="preserve"> it represents at least 140 Public Safety (PS) and Industrial/Business (I/B) sy</w:t>
      </w:r>
      <w:r w:rsidRPr="00267690" w:rsidR="00087724">
        <w:rPr>
          <w:rFonts w:ascii="Times New Roman" w:hAnsi="Times New Roman" w:cs="Times New Roman"/>
        </w:rPr>
        <w:t>s</w:t>
      </w:r>
      <w:r w:rsidRPr="00267690" w:rsidR="00955554">
        <w:rPr>
          <w:rFonts w:ascii="Times New Roman" w:hAnsi="Times New Roman" w:cs="Times New Roman"/>
        </w:rPr>
        <w:t>tems whose UHF operation</w:t>
      </w:r>
      <w:r w:rsidRPr="00267690" w:rsidR="000917D9">
        <w:rPr>
          <w:rFonts w:ascii="Times New Roman" w:hAnsi="Times New Roman" w:cs="Times New Roman"/>
        </w:rPr>
        <w:t>s</w:t>
      </w:r>
      <w:r w:rsidRPr="00267690" w:rsidR="00955554">
        <w:rPr>
          <w:rFonts w:ascii="Times New Roman" w:hAnsi="Times New Roman" w:cs="Times New Roman"/>
        </w:rPr>
        <w:t xml:space="preserve"> are authorized pursuant to section</w:t>
      </w:r>
      <w:r w:rsidRPr="00267690" w:rsidR="00087724">
        <w:rPr>
          <w:rFonts w:ascii="Times New Roman" w:hAnsi="Times New Roman" w:cs="Times New Roman"/>
        </w:rPr>
        <w:t>s</w:t>
      </w:r>
      <w:r w:rsidRPr="00267690" w:rsidR="00955554">
        <w:rPr>
          <w:rFonts w:ascii="Times New Roman" w:hAnsi="Times New Roman" w:cs="Times New Roman"/>
        </w:rPr>
        <w:t xml:space="preserve"> 90.20 and 90.35 of the Commission’s rules</w:t>
      </w:r>
      <w:r w:rsidRPr="00267690" w:rsidR="0080033E">
        <w:rPr>
          <w:rFonts w:ascii="Times New Roman" w:hAnsi="Times New Roman" w:cs="Times New Roman"/>
        </w:rPr>
        <w:t xml:space="preserve"> (</w:t>
      </w:r>
      <w:r w:rsidRPr="00267690" w:rsidR="000A1BDE">
        <w:rPr>
          <w:rFonts w:ascii="Times New Roman" w:hAnsi="Times New Roman" w:cs="Times New Roman"/>
        </w:rPr>
        <w:t>r</w:t>
      </w:r>
      <w:r w:rsidRPr="00267690" w:rsidR="0080033E">
        <w:rPr>
          <w:rFonts w:ascii="Times New Roman" w:hAnsi="Times New Roman" w:cs="Times New Roman"/>
        </w:rPr>
        <w:t>ules)</w:t>
      </w:r>
      <w:r w:rsidRPr="00267690" w:rsidR="002174AB">
        <w:rPr>
          <w:rFonts w:ascii="Times New Roman" w:hAnsi="Times New Roman" w:cs="Times New Roman"/>
        </w:rPr>
        <w:t>,</w:t>
      </w:r>
      <w:r>
        <w:rPr>
          <w:rStyle w:val="FootnoteReference"/>
          <w:rFonts w:cs="Times New Roman"/>
          <w:sz w:val="22"/>
        </w:rPr>
        <w:footnoteReference w:id="13"/>
      </w:r>
      <w:r w:rsidRPr="00267690" w:rsidR="00E25A83">
        <w:rPr>
          <w:rFonts w:ascii="Times New Roman" w:hAnsi="Times New Roman" w:cs="Times New Roman"/>
        </w:rPr>
        <w:t xml:space="preserve"> </w:t>
      </w:r>
      <w:r w:rsidRPr="00267690" w:rsidR="0088691D">
        <w:rPr>
          <w:rFonts w:ascii="Times New Roman" w:hAnsi="Times New Roman" w:cs="Times New Roman"/>
        </w:rPr>
        <w:t>and which provide essential services to the community.</w:t>
      </w:r>
      <w:r>
        <w:rPr>
          <w:rStyle w:val="FootnoteReference"/>
          <w:rFonts w:cs="Times New Roman"/>
          <w:sz w:val="22"/>
        </w:rPr>
        <w:footnoteReference w:id="14"/>
      </w:r>
      <w:r w:rsidR="00087724">
        <w:t xml:space="preserve">  </w:t>
      </w:r>
      <w:r w:rsidRPr="00267690" w:rsidR="00087724">
        <w:rPr>
          <w:rFonts w:ascii="Times New Roman" w:hAnsi="Times New Roman" w:cs="Times New Roman"/>
        </w:rPr>
        <w:t>LMCC</w:t>
      </w:r>
      <w:r w:rsidRPr="00267690" w:rsidR="008D43B6">
        <w:rPr>
          <w:rFonts w:ascii="Times New Roman" w:hAnsi="Times New Roman" w:cs="Times New Roman"/>
        </w:rPr>
        <w:t xml:space="preserve"> </w:t>
      </w:r>
      <w:r w:rsidRPr="00267690" w:rsidR="00397A31">
        <w:rPr>
          <w:rFonts w:ascii="Times New Roman" w:hAnsi="Times New Roman" w:cs="Times New Roman"/>
        </w:rPr>
        <w:t>states that there are “well over 100 land mobile systems authorized within 40 miles of KTUL’s site” that could be impacted by KTUL’s proposed operation on channel 14,</w:t>
      </w:r>
      <w:r>
        <w:rPr>
          <w:rStyle w:val="FootnoteReference"/>
          <w:rFonts w:cs="Times New Roman"/>
          <w:sz w:val="22"/>
        </w:rPr>
        <w:footnoteReference w:id="15"/>
      </w:r>
      <w:r w:rsidRPr="00D172A0" w:rsidR="00397A31">
        <w:rPr>
          <w:rFonts w:ascii="Times New Roman" w:hAnsi="Times New Roman" w:cs="Times New Roman"/>
        </w:rPr>
        <w:t xml:space="preserve"> and </w:t>
      </w:r>
      <w:r w:rsidRPr="00D172A0" w:rsidR="008D43B6">
        <w:rPr>
          <w:rFonts w:ascii="Times New Roman" w:hAnsi="Times New Roman" w:cs="Times New Roman"/>
        </w:rPr>
        <w:t>opposes the proposed channel substitution because it believes</w:t>
      </w:r>
      <w:r w:rsidRPr="00D172A0" w:rsidR="00087724">
        <w:rPr>
          <w:rFonts w:ascii="Times New Roman" w:hAnsi="Times New Roman" w:cs="Times New Roman"/>
        </w:rPr>
        <w:t xml:space="preserve"> that KTUL’s operation on channel 14 at</w:t>
      </w:r>
      <w:r w:rsidRPr="00D172A0" w:rsidR="001B709E">
        <w:rPr>
          <w:rFonts w:ascii="Times New Roman" w:hAnsi="Times New Roman" w:cs="Times New Roman"/>
        </w:rPr>
        <w:t xml:space="preserve"> an effective radiated power (ERP) of</w:t>
      </w:r>
      <w:r w:rsidRPr="00D172A0" w:rsidR="00087724">
        <w:rPr>
          <w:rFonts w:ascii="Times New Roman" w:hAnsi="Times New Roman" w:cs="Times New Roman"/>
        </w:rPr>
        <w:t xml:space="preserve"> 1000 kW</w:t>
      </w:r>
      <w:r w:rsidRPr="00D172A0" w:rsidR="008D43B6">
        <w:rPr>
          <w:rFonts w:ascii="Times New Roman" w:hAnsi="Times New Roman" w:cs="Times New Roman"/>
        </w:rPr>
        <w:t xml:space="preserve"> “poses an unacceptably high risk of causing harmful interference</w:t>
      </w:r>
      <w:r w:rsidRPr="00D172A0" w:rsidR="007D2A92">
        <w:rPr>
          <w:rFonts w:ascii="Times New Roman" w:hAnsi="Times New Roman" w:cs="Times New Roman"/>
        </w:rPr>
        <w:t xml:space="preserve"> to protected land mobile operations [under section 73.687(e)(4) of the Commission’s rules]</w:t>
      </w:r>
      <w:r w:rsidRPr="00D172A0" w:rsidR="00397A31">
        <w:rPr>
          <w:rFonts w:ascii="Times New Roman" w:hAnsi="Times New Roman" w:cs="Times New Roman"/>
        </w:rPr>
        <w:t>.</w:t>
      </w:r>
      <w:r w:rsidRPr="00D172A0" w:rsidR="0080033E">
        <w:rPr>
          <w:rFonts w:ascii="Times New Roman" w:hAnsi="Times New Roman" w:cs="Times New Roman"/>
        </w:rPr>
        <w:t>”</w:t>
      </w:r>
      <w:r>
        <w:rPr>
          <w:rStyle w:val="FootnoteReference"/>
          <w:rFonts w:cs="Times New Roman"/>
          <w:sz w:val="22"/>
        </w:rPr>
        <w:footnoteReference w:id="16"/>
      </w:r>
      <w:r w:rsidRPr="00D172A0" w:rsidR="007D2A92">
        <w:rPr>
          <w:rFonts w:ascii="Times New Roman" w:hAnsi="Times New Roman" w:cs="Times New Roman"/>
        </w:rPr>
        <w:t xml:space="preserve"> </w:t>
      </w:r>
      <w:r w:rsidRPr="00D172A0" w:rsidR="00397A31">
        <w:rPr>
          <w:rFonts w:ascii="Times New Roman" w:hAnsi="Times New Roman" w:cs="Times New Roman"/>
        </w:rPr>
        <w:t xml:space="preserve"> LMCC proposes</w:t>
      </w:r>
      <w:r w:rsidRPr="00D172A0" w:rsidR="007D2A92">
        <w:rPr>
          <w:rFonts w:ascii="Times New Roman" w:hAnsi="Times New Roman" w:cs="Times New Roman"/>
        </w:rPr>
        <w:t xml:space="preserve"> that </w:t>
      </w:r>
      <w:r w:rsidRPr="00D172A0" w:rsidR="007D2A92">
        <w:rPr>
          <w:rFonts w:ascii="Times New Roman" w:hAnsi="Times New Roman" w:cs="Times New Roman"/>
        </w:rPr>
        <w:t xml:space="preserve">the Commission </w:t>
      </w:r>
      <w:r w:rsidRPr="00D172A0" w:rsidR="00DF2EB3">
        <w:rPr>
          <w:rFonts w:ascii="Times New Roman" w:hAnsi="Times New Roman" w:cs="Times New Roman"/>
        </w:rPr>
        <w:t>“</w:t>
      </w:r>
      <w:r w:rsidRPr="00D172A0" w:rsidR="007D2A92">
        <w:rPr>
          <w:rFonts w:ascii="Times New Roman" w:hAnsi="Times New Roman" w:cs="Times New Roman"/>
        </w:rPr>
        <w:t>investigate whether alternative</w:t>
      </w:r>
      <w:r w:rsidRPr="00D172A0" w:rsidR="00955554">
        <w:rPr>
          <w:rFonts w:ascii="Times New Roman" w:hAnsi="Times New Roman" w:cs="Times New Roman"/>
        </w:rPr>
        <w:t xml:space="preserve"> UHF channels are viable substitutes for channel 10 in the Tulsa market</w:t>
      </w:r>
      <w:r w:rsidRPr="00D172A0" w:rsidR="00704459">
        <w:rPr>
          <w:rFonts w:ascii="Times New Roman" w:hAnsi="Times New Roman" w:cs="Times New Roman"/>
        </w:rPr>
        <w:t>,</w:t>
      </w:r>
      <w:r w:rsidRPr="00D172A0" w:rsidR="00955554">
        <w:rPr>
          <w:rFonts w:ascii="Times New Roman" w:hAnsi="Times New Roman" w:cs="Times New Roman"/>
        </w:rPr>
        <w:t>”</w:t>
      </w:r>
      <w:r w:rsidRPr="00D172A0" w:rsidR="00704459">
        <w:rPr>
          <w:rFonts w:ascii="Times New Roman" w:hAnsi="Times New Roman" w:cs="Times New Roman"/>
        </w:rPr>
        <w:t xml:space="preserve"> specifically, channels 18, 19 and 20.</w:t>
      </w:r>
      <w:r>
        <w:rPr>
          <w:rStyle w:val="FootnoteReference"/>
          <w:rFonts w:cs="Times New Roman"/>
          <w:sz w:val="22"/>
        </w:rPr>
        <w:footnoteReference w:id="17"/>
      </w:r>
      <w:r w:rsidRPr="00D172A0" w:rsidR="00087724">
        <w:rPr>
          <w:rFonts w:ascii="Times New Roman" w:hAnsi="Times New Roman" w:cs="Times New Roman"/>
        </w:rPr>
        <w:t xml:space="preserve"> </w:t>
      </w:r>
      <w:r w:rsidR="00087724">
        <w:t xml:space="preserve"> </w:t>
      </w:r>
      <w:r w:rsidR="00907B80">
        <w:t xml:space="preserve"> </w:t>
      </w:r>
    </w:p>
    <w:p w:rsidR="00E25A83" w:rsidRPr="00095107" w:rsidP="00E25A83" w14:paraId="26BD947D" w14:textId="10EEE8E0">
      <w:pPr>
        <w:pStyle w:val="ParaNum"/>
        <w:rPr>
          <w:rFonts w:ascii="Times New Roman" w:hAnsi="Times New Roman" w:cs="Times New Roman"/>
        </w:rPr>
      </w:pPr>
      <w:r>
        <w:t xml:space="preserve"> </w:t>
      </w:r>
      <w:r w:rsidRPr="00095107" w:rsidR="00087724">
        <w:rPr>
          <w:rFonts w:ascii="Times New Roman" w:hAnsi="Times New Roman" w:cs="Times New Roman"/>
        </w:rPr>
        <w:t>LMCC</w:t>
      </w:r>
      <w:r w:rsidRPr="00095107" w:rsidR="005C2035">
        <w:rPr>
          <w:rFonts w:ascii="Times New Roman" w:hAnsi="Times New Roman" w:cs="Times New Roman"/>
        </w:rPr>
        <w:t xml:space="preserve"> </w:t>
      </w:r>
      <w:r w:rsidRPr="00095107" w:rsidR="00D4160A">
        <w:rPr>
          <w:rFonts w:ascii="Times New Roman" w:hAnsi="Times New Roman" w:cs="Times New Roman"/>
        </w:rPr>
        <w:t xml:space="preserve">expresses concern about </w:t>
      </w:r>
      <w:r w:rsidRPr="00095107" w:rsidR="00DB6831">
        <w:rPr>
          <w:rFonts w:ascii="Times New Roman" w:hAnsi="Times New Roman" w:cs="Times New Roman"/>
        </w:rPr>
        <w:t>potential interference to land mobile operations</w:t>
      </w:r>
      <w:r w:rsidRPr="00095107" w:rsidR="00087724">
        <w:rPr>
          <w:rFonts w:ascii="Times New Roman" w:hAnsi="Times New Roman" w:cs="Times New Roman"/>
        </w:rPr>
        <w:t>.</w:t>
      </w:r>
      <w:r>
        <w:rPr>
          <w:rStyle w:val="FootnoteReference"/>
          <w:rFonts w:cs="Times New Roman"/>
        </w:rPr>
        <w:footnoteReference w:id="18"/>
      </w:r>
      <w:r w:rsidRPr="00095107" w:rsidR="00087724">
        <w:rPr>
          <w:rFonts w:ascii="Times New Roman" w:hAnsi="Times New Roman" w:cs="Times New Roman"/>
        </w:rPr>
        <w:t xml:space="preserve">  </w:t>
      </w:r>
      <w:r w:rsidRPr="00095107" w:rsidR="003103A5">
        <w:rPr>
          <w:rFonts w:ascii="Times New Roman" w:hAnsi="Times New Roman" w:cs="Times New Roman"/>
        </w:rPr>
        <w:t>LMCC believes</w:t>
      </w:r>
      <w:r w:rsidRPr="00095107" w:rsidR="00FA32C7">
        <w:rPr>
          <w:rFonts w:ascii="Times New Roman" w:hAnsi="Times New Roman" w:cs="Times New Roman"/>
        </w:rPr>
        <w:t xml:space="preserve"> that while</w:t>
      </w:r>
      <w:r w:rsidRPr="00095107" w:rsidR="008C309F">
        <w:rPr>
          <w:rFonts w:ascii="Times New Roman" w:hAnsi="Times New Roman" w:cs="Times New Roman"/>
        </w:rPr>
        <w:t xml:space="preserve"> </w:t>
      </w:r>
      <w:r w:rsidRPr="00095107" w:rsidR="003103A5">
        <w:rPr>
          <w:rFonts w:ascii="Times New Roman" w:hAnsi="Times New Roman" w:cs="Times New Roman"/>
        </w:rPr>
        <w:t xml:space="preserve">installing filtering, as the Licensee proposes, may be effective at preventing </w:t>
      </w:r>
      <w:r w:rsidR="00095107">
        <w:rPr>
          <w:rFonts w:ascii="Times New Roman" w:hAnsi="Times New Roman" w:cs="Times New Roman"/>
        </w:rPr>
        <w:t>out-of-band emis</w:t>
      </w:r>
      <w:r w:rsidR="000E1294">
        <w:rPr>
          <w:rFonts w:ascii="Times New Roman" w:hAnsi="Times New Roman" w:cs="Times New Roman"/>
        </w:rPr>
        <w:t>s</w:t>
      </w:r>
      <w:r w:rsidR="00095107">
        <w:rPr>
          <w:rFonts w:ascii="Times New Roman" w:hAnsi="Times New Roman" w:cs="Times New Roman"/>
        </w:rPr>
        <w:t>ion</w:t>
      </w:r>
      <w:r w:rsidR="000E1294">
        <w:rPr>
          <w:rFonts w:ascii="Times New Roman" w:hAnsi="Times New Roman" w:cs="Times New Roman"/>
        </w:rPr>
        <w:t>s</w:t>
      </w:r>
      <w:r w:rsidR="00095107">
        <w:rPr>
          <w:rFonts w:ascii="Times New Roman" w:hAnsi="Times New Roman" w:cs="Times New Roman"/>
        </w:rPr>
        <w:t xml:space="preserve"> (</w:t>
      </w:r>
      <w:r w:rsidRPr="00095107" w:rsidR="003103A5">
        <w:rPr>
          <w:rFonts w:ascii="Times New Roman" w:hAnsi="Times New Roman" w:cs="Times New Roman"/>
        </w:rPr>
        <w:t>O</w:t>
      </w:r>
      <w:r w:rsidRPr="00095107" w:rsidR="00F36305">
        <w:rPr>
          <w:rFonts w:ascii="Times New Roman" w:hAnsi="Times New Roman" w:cs="Times New Roman"/>
        </w:rPr>
        <w:t>OBE</w:t>
      </w:r>
      <w:r w:rsidR="00095107">
        <w:rPr>
          <w:rFonts w:ascii="Times New Roman" w:hAnsi="Times New Roman" w:cs="Times New Roman"/>
        </w:rPr>
        <w:t>)</w:t>
      </w:r>
      <w:r w:rsidRPr="00095107" w:rsidR="003103A5">
        <w:rPr>
          <w:rFonts w:ascii="Times New Roman" w:hAnsi="Times New Roman" w:cs="Times New Roman"/>
        </w:rPr>
        <w:t xml:space="preserve"> issues</w:t>
      </w:r>
      <w:r w:rsidRPr="00095107" w:rsidR="00FA32C7">
        <w:rPr>
          <w:rFonts w:ascii="Times New Roman" w:hAnsi="Times New Roman" w:cs="Times New Roman"/>
        </w:rPr>
        <w:t>, it will have</w:t>
      </w:r>
      <w:r w:rsidRPr="00095107" w:rsidR="003103A5">
        <w:rPr>
          <w:rFonts w:ascii="Times New Roman" w:hAnsi="Times New Roman" w:cs="Times New Roman"/>
        </w:rPr>
        <w:t xml:space="preserve"> no impact on the receiver desensitization it expects will occur from the Licensee’s proposed operation at 1000 kW.</w:t>
      </w:r>
      <w:r>
        <w:rPr>
          <w:rStyle w:val="FootnoteReference"/>
          <w:rFonts w:cs="Times New Roman"/>
        </w:rPr>
        <w:footnoteReference w:id="19"/>
      </w:r>
      <w:r w:rsidRPr="00095107" w:rsidR="002B2158">
        <w:rPr>
          <w:rFonts w:ascii="Times New Roman" w:hAnsi="Times New Roman" w:cs="Times New Roman"/>
        </w:rPr>
        <w:t xml:space="preserve">  </w:t>
      </w:r>
      <w:r w:rsidRPr="00095107" w:rsidR="00087724">
        <w:rPr>
          <w:rFonts w:ascii="Times New Roman" w:hAnsi="Times New Roman" w:cs="Times New Roman"/>
        </w:rPr>
        <w:t xml:space="preserve">Finally, LMCC </w:t>
      </w:r>
      <w:r w:rsidRPr="00095107">
        <w:rPr>
          <w:rFonts w:ascii="Times New Roman" w:hAnsi="Times New Roman" w:cs="Times New Roman"/>
        </w:rPr>
        <w:t>proposes</w:t>
      </w:r>
      <w:r w:rsidRPr="00095107" w:rsidR="00087724">
        <w:rPr>
          <w:rFonts w:ascii="Times New Roman" w:hAnsi="Times New Roman" w:cs="Times New Roman"/>
        </w:rPr>
        <w:t xml:space="preserve"> that if the Bureau grant</w:t>
      </w:r>
      <w:r w:rsidRPr="00095107" w:rsidR="000A06B7">
        <w:rPr>
          <w:rFonts w:ascii="Times New Roman" w:hAnsi="Times New Roman" w:cs="Times New Roman"/>
        </w:rPr>
        <w:t>s</w:t>
      </w:r>
      <w:r w:rsidRPr="00095107" w:rsidR="00087724">
        <w:rPr>
          <w:rFonts w:ascii="Times New Roman" w:hAnsi="Times New Roman" w:cs="Times New Roman"/>
        </w:rPr>
        <w:t xml:space="preserve"> the Licensee’s proposed channel substitution, it should </w:t>
      </w:r>
      <w:r w:rsidRPr="00095107" w:rsidR="000A06B7">
        <w:rPr>
          <w:rFonts w:ascii="Times New Roman" w:hAnsi="Times New Roman" w:cs="Times New Roman"/>
        </w:rPr>
        <w:t xml:space="preserve">require </w:t>
      </w:r>
      <w:r w:rsidRPr="00095107" w:rsidR="00087724">
        <w:rPr>
          <w:rFonts w:ascii="Times New Roman" w:hAnsi="Times New Roman" w:cs="Times New Roman"/>
        </w:rPr>
        <w:t>the Licensee to designate “a ‘stop buzzer’ contact</w:t>
      </w:r>
      <w:r w:rsidRPr="00095107" w:rsidR="00A02814">
        <w:rPr>
          <w:rFonts w:ascii="Times New Roman" w:hAnsi="Times New Roman" w:cs="Times New Roman"/>
        </w:rPr>
        <w:t xml:space="preserve">, </w:t>
      </w:r>
      <w:r w:rsidR="00095107">
        <w:rPr>
          <w:rFonts w:ascii="Times New Roman" w:hAnsi="Times New Roman" w:cs="Times New Roman"/>
        </w:rPr>
        <w:t>which it claims i</w:t>
      </w:r>
      <w:r w:rsidRPr="00095107" w:rsidR="00A02814">
        <w:rPr>
          <w:rFonts w:ascii="Times New Roman" w:hAnsi="Times New Roman" w:cs="Times New Roman"/>
        </w:rPr>
        <w:t xml:space="preserve">s typically required for experimental authorizations </w:t>
      </w:r>
      <w:r w:rsidRPr="00095107" w:rsidR="00BE281F">
        <w:rPr>
          <w:rFonts w:ascii="Times New Roman" w:hAnsi="Times New Roman" w:cs="Times New Roman"/>
        </w:rPr>
        <w:t>so that interference can be reported 2</w:t>
      </w:r>
      <w:r w:rsidRPr="00095107" w:rsidR="000A06B7">
        <w:rPr>
          <w:rFonts w:ascii="Times New Roman" w:hAnsi="Times New Roman" w:cs="Times New Roman"/>
        </w:rPr>
        <w:t>4</w:t>
      </w:r>
      <w:r w:rsidRPr="00095107" w:rsidR="00BE281F">
        <w:rPr>
          <w:rFonts w:ascii="Times New Roman" w:hAnsi="Times New Roman" w:cs="Times New Roman"/>
        </w:rPr>
        <w:t xml:space="preserve">/7 to an individual </w:t>
      </w:r>
      <w:r w:rsidRPr="00095107" w:rsidR="002B2158">
        <w:rPr>
          <w:rFonts w:ascii="Times New Roman" w:hAnsi="Times New Roman" w:cs="Times New Roman"/>
        </w:rPr>
        <w:t>w</w:t>
      </w:r>
      <w:r w:rsidRPr="00095107" w:rsidR="00BE281F">
        <w:rPr>
          <w:rFonts w:ascii="Times New Roman" w:hAnsi="Times New Roman" w:cs="Times New Roman"/>
        </w:rPr>
        <w:t>ith the ability to stop the testing until the matter is addressed.”</w:t>
      </w:r>
      <w:r>
        <w:rPr>
          <w:rStyle w:val="FootnoteReference"/>
          <w:rFonts w:cs="Times New Roman"/>
        </w:rPr>
        <w:footnoteReference w:id="20"/>
      </w:r>
    </w:p>
    <w:p w:rsidR="0079668C" w:rsidP="00AD66C0" w14:paraId="6A00262F" w14:textId="46DFC3DD">
      <w:pPr>
        <w:pStyle w:val="ParaNum"/>
      </w:pPr>
      <w:r w:rsidRPr="00D172A0">
        <w:rPr>
          <w:rFonts w:ascii="Times New Roman" w:hAnsi="Times New Roman" w:cs="Times New Roman"/>
        </w:rPr>
        <w:t xml:space="preserve">In </w:t>
      </w:r>
      <w:r w:rsidRPr="00D172A0" w:rsidR="002E3756">
        <w:rPr>
          <w:rFonts w:ascii="Times New Roman" w:hAnsi="Times New Roman" w:cs="Times New Roman"/>
        </w:rPr>
        <w:t xml:space="preserve">its </w:t>
      </w:r>
      <w:r w:rsidRPr="00D172A0" w:rsidR="002C00C7">
        <w:rPr>
          <w:rFonts w:ascii="Times New Roman" w:hAnsi="Times New Roman" w:cs="Times New Roman"/>
        </w:rPr>
        <w:t>R</w:t>
      </w:r>
      <w:r w:rsidRPr="00D172A0" w:rsidR="00E25A83">
        <w:rPr>
          <w:rFonts w:ascii="Times New Roman" w:hAnsi="Times New Roman" w:cs="Times New Roman"/>
        </w:rPr>
        <w:t>eply</w:t>
      </w:r>
      <w:r w:rsidRPr="00D172A0">
        <w:rPr>
          <w:rFonts w:ascii="Times New Roman" w:hAnsi="Times New Roman" w:cs="Times New Roman"/>
        </w:rPr>
        <w:t>, the Licensee asserts that</w:t>
      </w:r>
      <w:r w:rsidRPr="00D172A0" w:rsidR="002C00C7">
        <w:rPr>
          <w:rFonts w:ascii="Times New Roman" w:hAnsi="Times New Roman" w:cs="Times New Roman"/>
        </w:rPr>
        <w:t xml:space="preserve"> “the Commission has long understood that with proper filtering, land mobile facilities and Channel 14 television stations can coexist on a non-interfering basis</w:t>
      </w:r>
      <w:r w:rsidRPr="00D172A0" w:rsidR="0062065C">
        <w:rPr>
          <w:rFonts w:ascii="Times New Roman" w:hAnsi="Times New Roman" w:cs="Times New Roman"/>
        </w:rPr>
        <w:t>,</w:t>
      </w:r>
      <w:r w:rsidRPr="00D172A0" w:rsidR="002C00C7">
        <w:rPr>
          <w:rFonts w:ascii="Times New Roman" w:hAnsi="Times New Roman" w:cs="Times New Roman"/>
        </w:rPr>
        <w:t>” and</w:t>
      </w:r>
      <w:r w:rsidRPr="00D172A0" w:rsidR="009111F0">
        <w:rPr>
          <w:rFonts w:ascii="Times New Roman" w:hAnsi="Times New Roman" w:cs="Times New Roman"/>
        </w:rPr>
        <w:t xml:space="preserve"> that </w:t>
      </w:r>
      <w:r w:rsidRPr="00D172A0" w:rsidR="00660DDD">
        <w:rPr>
          <w:rFonts w:ascii="Times New Roman" w:hAnsi="Times New Roman" w:cs="Times New Roman"/>
        </w:rPr>
        <w:t>“</w:t>
      </w:r>
      <w:r w:rsidRPr="00D172A0" w:rsidR="002C00C7">
        <w:rPr>
          <w:rFonts w:ascii="Times New Roman" w:hAnsi="Times New Roman" w:cs="Times New Roman"/>
        </w:rPr>
        <w:t>LMCC requests that the Commission impose a draconian approach to manage potential interference which is wholly inconsistent with the Commission’s rules and precedents, and seeks to rectify prospective interference issues which are unlikely to arise and which, if they did arise, could be addressed through well-established technical resolutions and longstanding FCC rules and policies.”</w:t>
      </w:r>
      <w:r>
        <w:rPr>
          <w:rStyle w:val="FootnoteReference"/>
          <w:rFonts w:cs="Times New Roman"/>
          <w:sz w:val="22"/>
        </w:rPr>
        <w:footnoteReference w:id="21"/>
      </w:r>
      <w:r w:rsidR="000A06B7">
        <w:t xml:space="preserve">  </w:t>
      </w:r>
      <w:r w:rsidRPr="00095107" w:rsidR="000A06B7">
        <w:rPr>
          <w:rFonts w:ascii="Times New Roman" w:hAnsi="Times New Roman" w:cs="Times New Roman"/>
        </w:rPr>
        <w:t xml:space="preserve">The </w:t>
      </w:r>
      <w:r w:rsidRPr="00ED24FC" w:rsidR="000A06B7">
        <w:rPr>
          <w:rFonts w:ascii="Times New Roman" w:hAnsi="Times New Roman" w:cs="Times New Roman"/>
        </w:rPr>
        <w:t>Licensee</w:t>
      </w:r>
      <w:r w:rsidRPr="00ED24FC" w:rsidR="00DF32E4">
        <w:rPr>
          <w:rFonts w:ascii="Times New Roman" w:hAnsi="Times New Roman" w:cs="Times New Roman"/>
        </w:rPr>
        <w:t xml:space="preserve"> asserts that it </w:t>
      </w:r>
      <w:r w:rsidRPr="00ED24FC" w:rsidR="00DF5C1A">
        <w:rPr>
          <w:rFonts w:ascii="Times New Roman" w:hAnsi="Times New Roman" w:cs="Times New Roman"/>
        </w:rPr>
        <w:t xml:space="preserve">is </w:t>
      </w:r>
      <w:r w:rsidRPr="00ED24FC" w:rsidR="00DF32E4">
        <w:rPr>
          <w:rFonts w:ascii="Times New Roman" w:hAnsi="Times New Roman" w:cs="Times New Roman"/>
        </w:rPr>
        <w:t xml:space="preserve">clear from the plain language of </w:t>
      </w:r>
      <w:r w:rsidRPr="00ED24FC" w:rsidR="007250C3">
        <w:rPr>
          <w:rFonts w:ascii="Times New Roman" w:hAnsi="Times New Roman" w:cs="Times New Roman"/>
        </w:rPr>
        <w:t>section 73.687(e)(4)(ii) of the rules</w:t>
      </w:r>
      <w:r>
        <w:rPr>
          <w:rStyle w:val="FootnoteReference"/>
          <w:rFonts w:cs="Times New Roman"/>
          <w:sz w:val="22"/>
        </w:rPr>
        <w:footnoteReference w:id="22"/>
      </w:r>
      <w:r w:rsidRPr="00ED24FC" w:rsidR="00DF32E4">
        <w:rPr>
          <w:rFonts w:ascii="Times New Roman" w:hAnsi="Times New Roman" w:cs="Times New Roman"/>
        </w:rPr>
        <w:t xml:space="preserve"> that once </w:t>
      </w:r>
      <w:r w:rsidRPr="00ED24FC" w:rsidR="00040F28">
        <w:rPr>
          <w:rFonts w:ascii="Times New Roman" w:hAnsi="Times New Roman" w:cs="Times New Roman"/>
        </w:rPr>
        <w:t>a channel 14 permittee</w:t>
      </w:r>
      <w:r w:rsidRPr="00ED24FC" w:rsidR="00DF32E4">
        <w:rPr>
          <w:rFonts w:ascii="Times New Roman" w:hAnsi="Times New Roman" w:cs="Times New Roman"/>
        </w:rPr>
        <w:t xml:space="preserve"> has performed the required pre-operational steps - as the Licensee has pledged to do, including installing filters, taking other precautions to avoid land mobile interference, and mak</w:t>
      </w:r>
      <w:r w:rsidRPr="00ED24FC" w:rsidR="000A1402">
        <w:rPr>
          <w:rFonts w:ascii="Times New Roman" w:hAnsi="Times New Roman" w:cs="Times New Roman"/>
        </w:rPr>
        <w:t>ing</w:t>
      </w:r>
      <w:r w:rsidRPr="00ED24FC" w:rsidR="00DF32E4">
        <w:rPr>
          <w:rFonts w:ascii="Times New Roman" w:hAnsi="Times New Roman" w:cs="Times New Roman"/>
        </w:rPr>
        <w:t xml:space="preserve"> outreach efforts to local operators - its obligation is to co-operate with land mobile operators to resolve interference issues that may arise that are caused by the Station after it begins operations.</w:t>
      </w:r>
      <w:r>
        <w:rPr>
          <w:rStyle w:val="FootnoteReference"/>
          <w:rFonts w:cs="Times New Roman"/>
          <w:sz w:val="22"/>
        </w:rPr>
        <w:footnoteReference w:id="23"/>
      </w:r>
      <w:r w:rsidRPr="00ED24FC" w:rsidR="00DF32E4">
        <w:rPr>
          <w:rFonts w:ascii="Times New Roman" w:hAnsi="Times New Roman" w:cs="Times New Roman"/>
        </w:rPr>
        <w:t xml:space="preserve">  With respect to LMCC’s assertion that the Commission should identify an alternative UHF channel for KTUL to use,</w:t>
      </w:r>
      <w:r w:rsidRPr="00ED24FC" w:rsidR="00133ECA">
        <w:rPr>
          <w:rFonts w:ascii="Times New Roman" w:hAnsi="Times New Roman" w:cs="Times New Roman"/>
        </w:rPr>
        <w:t xml:space="preserve"> </w:t>
      </w:r>
      <w:r w:rsidRPr="00ED24FC" w:rsidR="00DF32E4">
        <w:rPr>
          <w:rFonts w:ascii="Times New Roman" w:hAnsi="Times New Roman" w:cs="Times New Roman"/>
        </w:rPr>
        <w:t>the Licensee</w:t>
      </w:r>
      <w:r w:rsidRPr="00ED24FC" w:rsidR="001C0375">
        <w:rPr>
          <w:rFonts w:ascii="Times New Roman" w:hAnsi="Times New Roman" w:cs="Times New Roman"/>
        </w:rPr>
        <w:t>’s Engineering Consultant state</w:t>
      </w:r>
      <w:r w:rsidRPr="00ED24FC" w:rsidR="00AE7B72">
        <w:rPr>
          <w:rFonts w:ascii="Times New Roman" w:hAnsi="Times New Roman" w:cs="Times New Roman"/>
        </w:rPr>
        <w:t>s</w:t>
      </w:r>
      <w:r w:rsidRPr="00ED24FC" w:rsidR="001C0375">
        <w:rPr>
          <w:rFonts w:ascii="Times New Roman" w:hAnsi="Times New Roman" w:cs="Times New Roman"/>
        </w:rPr>
        <w:t xml:space="preserve"> th</w:t>
      </w:r>
      <w:r w:rsidRPr="00ED24FC" w:rsidR="00AE7B72">
        <w:rPr>
          <w:rFonts w:ascii="Times New Roman" w:hAnsi="Times New Roman" w:cs="Times New Roman"/>
        </w:rPr>
        <w:t>at</w:t>
      </w:r>
      <w:r w:rsidRPr="00ED24FC" w:rsidR="001C0375">
        <w:rPr>
          <w:rFonts w:ascii="Times New Roman" w:hAnsi="Times New Roman" w:cs="Times New Roman"/>
        </w:rPr>
        <w:t xml:space="preserve"> his office, “on behalf of the KTUL licensee has already searched the UHF spectrum for any other viable channel and there is none.”</w:t>
      </w:r>
      <w:r>
        <w:rPr>
          <w:rStyle w:val="FootnoteReference"/>
          <w:rFonts w:cs="Times New Roman"/>
          <w:sz w:val="22"/>
        </w:rPr>
        <w:footnoteReference w:id="24"/>
      </w:r>
      <w:r w:rsidR="00DF32E4">
        <w:t xml:space="preserve"> </w:t>
      </w:r>
    </w:p>
    <w:p w:rsidR="00F35705" w:rsidRPr="00ED24FC" w:rsidP="00AD66C0" w14:paraId="032E2BE8" w14:textId="6964F8ED">
      <w:pPr>
        <w:pStyle w:val="ParaNum"/>
        <w:rPr>
          <w:rFonts w:ascii="Times New Roman" w:hAnsi="Times New Roman" w:cs="Times New Roman"/>
        </w:rPr>
      </w:pPr>
      <w:r>
        <w:t xml:space="preserve"> </w:t>
      </w:r>
      <w:r w:rsidRPr="00ED24FC" w:rsidR="00AC3F46">
        <w:rPr>
          <w:rFonts w:ascii="Times New Roman" w:hAnsi="Times New Roman" w:cs="Times New Roman"/>
        </w:rPr>
        <w:t>The Licensee also states that its affiliate</w:t>
      </w:r>
      <w:r w:rsidRPr="00ED24FC" w:rsidR="00013187">
        <w:rPr>
          <w:rFonts w:ascii="Times New Roman" w:hAnsi="Times New Roman" w:cs="Times New Roman"/>
        </w:rPr>
        <w:t xml:space="preserve">d </w:t>
      </w:r>
      <w:r w:rsidRPr="00ED24FC" w:rsidR="00AC3F46">
        <w:rPr>
          <w:rFonts w:ascii="Times New Roman" w:hAnsi="Times New Roman" w:cs="Times New Roman"/>
        </w:rPr>
        <w:t>stations have considerable experience operating television stations on channel 14, and submitted the declaration from the Vice President of Engineering of the Licensee’s parent company, stating that</w:t>
      </w:r>
      <w:r w:rsidRPr="00ED24FC" w:rsidR="009F65AF">
        <w:rPr>
          <w:rFonts w:ascii="Times New Roman" w:hAnsi="Times New Roman" w:cs="Times New Roman"/>
        </w:rPr>
        <w:t xml:space="preserve"> with respect </w:t>
      </w:r>
      <w:r w:rsidRPr="00ED24FC" w:rsidR="00013187">
        <w:rPr>
          <w:rFonts w:ascii="Times New Roman" w:hAnsi="Times New Roman" w:cs="Times New Roman"/>
        </w:rPr>
        <w:t xml:space="preserve">to </w:t>
      </w:r>
      <w:r w:rsidRPr="00ED24FC" w:rsidR="009F65AF">
        <w:rPr>
          <w:rFonts w:ascii="Times New Roman" w:hAnsi="Times New Roman" w:cs="Times New Roman"/>
        </w:rPr>
        <w:t xml:space="preserve">the </w:t>
      </w:r>
      <w:r w:rsidRPr="00ED24FC" w:rsidR="001D6735">
        <w:rPr>
          <w:rFonts w:ascii="Times New Roman" w:hAnsi="Times New Roman" w:cs="Times New Roman"/>
        </w:rPr>
        <w:t xml:space="preserve">six </w:t>
      </w:r>
      <w:r w:rsidRPr="00ED24FC" w:rsidR="009F65AF">
        <w:rPr>
          <w:rFonts w:ascii="Times New Roman" w:hAnsi="Times New Roman" w:cs="Times New Roman"/>
        </w:rPr>
        <w:t>channel 14 facilities the company has operated, “</w:t>
      </w:r>
      <w:r w:rsidRPr="00ED24FC" w:rsidR="001D6735">
        <w:rPr>
          <w:rFonts w:ascii="Times New Roman" w:hAnsi="Times New Roman" w:cs="Times New Roman"/>
        </w:rPr>
        <w:t>in no case has there been any known instances of interference to land mobile operations</w:t>
      </w:r>
      <w:r w:rsidRPr="00ED24FC" w:rsidR="009F65AF">
        <w:rPr>
          <w:rFonts w:ascii="Times New Roman" w:hAnsi="Times New Roman" w:cs="Times New Roman"/>
        </w:rPr>
        <w:t>” and</w:t>
      </w:r>
      <w:r w:rsidRPr="00ED24FC" w:rsidR="00AC3F46">
        <w:rPr>
          <w:rFonts w:ascii="Times New Roman" w:hAnsi="Times New Roman" w:cs="Times New Roman"/>
        </w:rPr>
        <w:t xml:space="preserve"> </w:t>
      </w:r>
      <w:r w:rsidRPr="00ED24FC" w:rsidR="001D6735">
        <w:rPr>
          <w:rFonts w:ascii="Times New Roman" w:hAnsi="Times New Roman" w:cs="Times New Roman"/>
        </w:rPr>
        <w:t>“the stations involved . . . have always been willing to work with land mobile operators to ensure that no interference has occurred.”</w:t>
      </w:r>
      <w:r>
        <w:rPr>
          <w:rStyle w:val="FootnoteReference"/>
          <w:rFonts w:cs="Times New Roman"/>
          <w:sz w:val="22"/>
        </w:rPr>
        <w:footnoteReference w:id="25"/>
      </w:r>
      <w:r w:rsidRPr="00ED24FC" w:rsidR="00A14B38">
        <w:rPr>
          <w:rFonts w:ascii="Times New Roman" w:hAnsi="Times New Roman" w:cs="Times New Roman"/>
        </w:rPr>
        <w:t xml:space="preserve">  </w:t>
      </w:r>
      <w:r w:rsidRPr="00ED24FC" w:rsidR="00013187">
        <w:rPr>
          <w:rFonts w:ascii="Times New Roman" w:hAnsi="Times New Roman" w:cs="Times New Roman"/>
        </w:rPr>
        <w:t>The Licensee also provided technical information regarding the</w:t>
      </w:r>
      <w:r w:rsidRPr="00ED24FC" w:rsidR="00A14B38">
        <w:rPr>
          <w:rFonts w:ascii="Times New Roman" w:hAnsi="Times New Roman" w:cs="Times New Roman"/>
        </w:rPr>
        <w:t xml:space="preserve"> common use of band stop filters</w:t>
      </w:r>
      <w:r w:rsidRPr="00ED24FC" w:rsidR="00DD2786">
        <w:rPr>
          <w:rFonts w:ascii="Times New Roman" w:hAnsi="Times New Roman" w:cs="Times New Roman"/>
        </w:rPr>
        <w:t xml:space="preserve"> by land mobile systems</w:t>
      </w:r>
      <w:r w:rsidRPr="00ED24FC" w:rsidR="00A14B38">
        <w:rPr>
          <w:rFonts w:ascii="Times New Roman" w:hAnsi="Times New Roman" w:cs="Times New Roman"/>
        </w:rPr>
        <w:t xml:space="preserve"> to deal with desensitization</w:t>
      </w:r>
      <w:r w:rsidRPr="00ED24FC" w:rsidR="00DD2786">
        <w:rPr>
          <w:rFonts w:ascii="Times New Roman" w:hAnsi="Times New Roman" w:cs="Times New Roman"/>
        </w:rPr>
        <w:t xml:space="preserve"> and intermodulation interference</w:t>
      </w:r>
      <w:r w:rsidRPr="00ED24FC" w:rsidR="007B393D">
        <w:rPr>
          <w:rFonts w:ascii="Times New Roman" w:hAnsi="Times New Roman" w:cs="Times New Roman"/>
        </w:rPr>
        <w:t>,</w:t>
      </w:r>
      <w:r>
        <w:rPr>
          <w:rStyle w:val="FootnoteReference"/>
          <w:rFonts w:cs="Times New Roman"/>
          <w:sz w:val="22"/>
        </w:rPr>
        <w:footnoteReference w:id="26"/>
      </w:r>
      <w:r w:rsidRPr="00ED24FC" w:rsidR="007B393D">
        <w:rPr>
          <w:rFonts w:ascii="Times New Roman" w:hAnsi="Times New Roman" w:cs="Times New Roman"/>
        </w:rPr>
        <w:t xml:space="preserve"> and points out that LMCC does not dispute that the use of filters at the television station’s transmitter site effectively deal with </w:t>
      </w:r>
      <w:r w:rsidRPr="00ED24FC" w:rsidR="005C2035">
        <w:rPr>
          <w:rFonts w:ascii="Times New Roman" w:hAnsi="Times New Roman" w:cs="Times New Roman"/>
        </w:rPr>
        <w:t xml:space="preserve">potential </w:t>
      </w:r>
      <w:r w:rsidRPr="00ED24FC" w:rsidR="007B393D">
        <w:rPr>
          <w:rFonts w:ascii="Times New Roman" w:hAnsi="Times New Roman" w:cs="Times New Roman"/>
        </w:rPr>
        <w:t>OBEE</w:t>
      </w:r>
      <w:r w:rsidRPr="00ED24FC" w:rsidR="005C2035">
        <w:rPr>
          <w:rFonts w:ascii="Times New Roman" w:hAnsi="Times New Roman" w:cs="Times New Roman"/>
        </w:rPr>
        <w:t xml:space="preserve"> issues</w:t>
      </w:r>
      <w:r w:rsidRPr="00ED24FC" w:rsidR="007B393D">
        <w:rPr>
          <w:rFonts w:ascii="Times New Roman" w:hAnsi="Times New Roman" w:cs="Times New Roman"/>
        </w:rPr>
        <w:t>.</w:t>
      </w:r>
      <w:r>
        <w:rPr>
          <w:rStyle w:val="FootnoteReference"/>
          <w:rFonts w:cs="Times New Roman"/>
          <w:sz w:val="22"/>
        </w:rPr>
        <w:footnoteReference w:id="27"/>
      </w:r>
    </w:p>
    <w:p w:rsidR="00F35705" w:rsidP="00AC7016" w14:paraId="1C87F29E" w14:textId="2E434CAD">
      <w:pPr>
        <w:pStyle w:val="ParaNum"/>
      </w:pPr>
      <w:r w:rsidRPr="003D1FF7">
        <w:rPr>
          <w:rFonts w:ascii="Times New Roman" w:hAnsi="Times New Roman" w:cs="Times New Roman"/>
        </w:rPr>
        <w:t xml:space="preserve">In its </w:t>
      </w:r>
      <w:r w:rsidRPr="003D1FF7" w:rsidR="00203929">
        <w:rPr>
          <w:rFonts w:ascii="Times New Roman" w:hAnsi="Times New Roman" w:cs="Times New Roman"/>
          <w:i/>
          <w:iCs/>
        </w:rPr>
        <w:t>E</w:t>
      </w:r>
      <w:r w:rsidRPr="003D1FF7">
        <w:rPr>
          <w:rFonts w:ascii="Times New Roman" w:hAnsi="Times New Roman" w:cs="Times New Roman"/>
          <w:i/>
          <w:iCs/>
        </w:rPr>
        <w:t xml:space="preserve">x </w:t>
      </w:r>
      <w:r w:rsidRPr="003D1FF7" w:rsidR="00203929">
        <w:rPr>
          <w:rFonts w:ascii="Times New Roman" w:hAnsi="Times New Roman" w:cs="Times New Roman"/>
          <w:i/>
          <w:iCs/>
        </w:rPr>
        <w:t>P</w:t>
      </w:r>
      <w:r w:rsidRPr="003D1FF7">
        <w:rPr>
          <w:rFonts w:ascii="Times New Roman" w:hAnsi="Times New Roman" w:cs="Times New Roman"/>
          <w:i/>
          <w:iCs/>
        </w:rPr>
        <w:t>arte</w:t>
      </w:r>
      <w:r w:rsidRPr="003D1FF7" w:rsidR="003918D1">
        <w:rPr>
          <w:rFonts w:ascii="Times New Roman" w:hAnsi="Times New Roman" w:cs="Times New Roman"/>
        </w:rPr>
        <w:t xml:space="preserve"> filing</w:t>
      </w:r>
      <w:r w:rsidRPr="003D1FF7" w:rsidR="00203929">
        <w:rPr>
          <w:rFonts w:ascii="Times New Roman" w:hAnsi="Times New Roman" w:cs="Times New Roman"/>
          <w:i/>
          <w:iCs/>
        </w:rPr>
        <w:t>,</w:t>
      </w:r>
      <w:r w:rsidRPr="003D1FF7" w:rsidR="003918D1">
        <w:rPr>
          <w:rFonts w:ascii="Times New Roman" w:hAnsi="Times New Roman" w:cs="Times New Roman"/>
          <w:i/>
          <w:iCs/>
        </w:rPr>
        <w:t xml:space="preserve"> </w:t>
      </w:r>
      <w:r w:rsidRPr="003D1FF7" w:rsidR="00203929">
        <w:rPr>
          <w:rFonts w:ascii="Times New Roman" w:hAnsi="Times New Roman" w:cs="Times New Roman"/>
        </w:rPr>
        <w:t>LMCC</w:t>
      </w:r>
      <w:r w:rsidRPr="003D1FF7" w:rsidR="003918D1">
        <w:rPr>
          <w:rFonts w:ascii="Times New Roman" w:hAnsi="Times New Roman" w:cs="Times New Roman"/>
        </w:rPr>
        <w:t xml:space="preserve"> asserts that the Licensee “misstates the LMCC’s recommendation and understates the challenge of adopting KTUL’s proposed solution for land mobile receiver desensitization.”</w:t>
      </w:r>
      <w:r>
        <w:rPr>
          <w:rStyle w:val="FootnoteReference"/>
          <w:rFonts w:cs="Times New Roman"/>
          <w:sz w:val="22"/>
        </w:rPr>
        <w:footnoteReference w:id="28"/>
      </w:r>
      <w:r w:rsidRPr="003D1FF7" w:rsidR="003D592A">
        <w:rPr>
          <w:rFonts w:ascii="Times New Roman" w:hAnsi="Times New Roman" w:cs="Times New Roman"/>
        </w:rPr>
        <w:t xml:space="preserve">  LMCC questions the Licensee’s statement that there are no other “technically feasible” channels for it to use and “urges the FCC to conduct its own assessment of Tulsa channel availability prior to taking action in this proceeding.”</w:t>
      </w:r>
      <w:r>
        <w:rPr>
          <w:rStyle w:val="FootnoteReference"/>
          <w:rFonts w:cs="Times New Roman"/>
          <w:sz w:val="22"/>
        </w:rPr>
        <w:footnoteReference w:id="29"/>
      </w:r>
      <w:r w:rsidRPr="003D1FF7" w:rsidR="003D592A">
        <w:rPr>
          <w:rFonts w:ascii="Times New Roman" w:hAnsi="Times New Roman" w:cs="Times New Roman"/>
        </w:rPr>
        <w:t xml:space="preserve">  It also clarifies that it only suggested a “stop buzzer” contact during the </w:t>
      </w:r>
      <w:r w:rsidRPr="003D1FF7" w:rsidR="00B61212">
        <w:rPr>
          <w:rFonts w:ascii="Times New Roman" w:hAnsi="Times New Roman" w:cs="Times New Roman"/>
        </w:rPr>
        <w:t xml:space="preserve">interference </w:t>
      </w:r>
      <w:r w:rsidRPr="003D1FF7" w:rsidR="003D592A">
        <w:rPr>
          <w:rFonts w:ascii="Times New Roman" w:hAnsi="Times New Roman" w:cs="Times New Roman"/>
        </w:rPr>
        <w:t>testing period when, it states, KTUL would not be authorized to transmit programming until it provided evidence of no interference, and thus, the public</w:t>
      </w:r>
      <w:r w:rsidR="003D592A">
        <w:t xml:space="preserve"> </w:t>
      </w:r>
      <w:r w:rsidRPr="003D1FF7" w:rsidR="003D592A">
        <w:rPr>
          <w:rFonts w:ascii="Times New Roman" w:hAnsi="Times New Roman" w:cs="Times New Roman"/>
        </w:rPr>
        <w:t>would not be at</w:t>
      </w:r>
      <w:r w:rsidR="003D592A">
        <w:t xml:space="preserve"> </w:t>
      </w:r>
      <w:r w:rsidRPr="000E67F9" w:rsidR="003D592A">
        <w:rPr>
          <w:rFonts w:ascii="Times New Roman" w:hAnsi="Times New Roman" w:cs="Times New Roman"/>
        </w:rPr>
        <w:t>risk of losing ABC network service.</w:t>
      </w:r>
      <w:r>
        <w:rPr>
          <w:rStyle w:val="FootnoteReference"/>
          <w:rFonts w:cs="Times New Roman"/>
          <w:sz w:val="22"/>
        </w:rPr>
        <w:footnoteReference w:id="30"/>
      </w:r>
      <w:r w:rsidRPr="000E67F9" w:rsidR="006C73C6">
        <w:rPr>
          <w:rFonts w:ascii="Times New Roman" w:hAnsi="Times New Roman" w:cs="Times New Roman"/>
        </w:rPr>
        <w:t xml:space="preserve">  </w:t>
      </w:r>
      <w:r w:rsidRPr="000E67F9" w:rsidR="003B5D93">
        <w:rPr>
          <w:rFonts w:ascii="Times New Roman" w:hAnsi="Times New Roman" w:cs="Times New Roman"/>
        </w:rPr>
        <w:t xml:space="preserve">LMCC </w:t>
      </w:r>
      <w:r w:rsidRPr="000E67F9" w:rsidR="006C73C6">
        <w:rPr>
          <w:rFonts w:ascii="Times New Roman" w:hAnsi="Times New Roman" w:cs="Times New Roman"/>
        </w:rPr>
        <w:t>affirms its Opposition was</w:t>
      </w:r>
      <w:r w:rsidRPr="000E67F9" w:rsidR="00A87670">
        <w:rPr>
          <w:rFonts w:ascii="Times New Roman" w:hAnsi="Times New Roman" w:cs="Times New Roman"/>
        </w:rPr>
        <w:t xml:space="preserve"> primarily focused</w:t>
      </w:r>
      <w:r w:rsidRPr="000E67F9" w:rsidR="003960F9">
        <w:rPr>
          <w:rFonts w:ascii="Times New Roman" w:hAnsi="Times New Roman" w:cs="Times New Roman"/>
        </w:rPr>
        <w:t xml:space="preserve"> on the “likelihood of front end overload of land mobile receivers,” and that while </w:t>
      </w:r>
      <w:r w:rsidRPr="000E67F9" w:rsidR="0049235A">
        <w:rPr>
          <w:rFonts w:ascii="Times New Roman" w:hAnsi="Times New Roman" w:cs="Times New Roman"/>
        </w:rPr>
        <w:t>LMCC and its members</w:t>
      </w:r>
      <w:r w:rsidRPr="000E67F9" w:rsidR="003960F9">
        <w:rPr>
          <w:rFonts w:ascii="Times New Roman" w:hAnsi="Times New Roman" w:cs="Times New Roman"/>
        </w:rPr>
        <w:t xml:space="preserve"> </w:t>
      </w:r>
      <w:r w:rsidRPr="000E67F9" w:rsidR="0049235A">
        <w:rPr>
          <w:rFonts w:ascii="Times New Roman" w:hAnsi="Times New Roman" w:cs="Times New Roman"/>
        </w:rPr>
        <w:t xml:space="preserve">“are </w:t>
      </w:r>
      <w:r w:rsidRPr="000E67F9" w:rsidR="003960F9">
        <w:rPr>
          <w:rFonts w:ascii="Times New Roman" w:hAnsi="Times New Roman" w:cs="Times New Roman"/>
        </w:rPr>
        <w:t xml:space="preserve">fully aware of band stop filters, it does not consider </w:t>
      </w:r>
      <w:r w:rsidRPr="000E67F9" w:rsidR="0049235A">
        <w:rPr>
          <w:rFonts w:ascii="Times New Roman" w:hAnsi="Times New Roman" w:cs="Times New Roman"/>
        </w:rPr>
        <w:t>[these filters]</w:t>
      </w:r>
      <w:r w:rsidRPr="000E67F9" w:rsidR="003960F9">
        <w:rPr>
          <w:rFonts w:ascii="Times New Roman" w:hAnsi="Times New Roman" w:cs="Times New Roman"/>
        </w:rPr>
        <w:t xml:space="preserve"> a viable solution in a situation like this where a large number of systems and even larger numbers of associated mobiles and portables are involved.”</w:t>
      </w:r>
      <w:r>
        <w:rPr>
          <w:rStyle w:val="FootnoteReference"/>
          <w:rFonts w:cs="Times New Roman"/>
          <w:sz w:val="22"/>
        </w:rPr>
        <w:footnoteReference w:id="31"/>
      </w:r>
      <w:r w:rsidRPr="000E67F9" w:rsidR="005C1ECA">
        <w:rPr>
          <w:rFonts w:ascii="Times New Roman" w:hAnsi="Times New Roman" w:cs="Times New Roman"/>
        </w:rPr>
        <w:t xml:space="preserve">  LMCC concludes that </w:t>
      </w:r>
      <w:r w:rsidRPr="000E67F9" w:rsidR="00890654">
        <w:rPr>
          <w:rFonts w:ascii="Times New Roman" w:hAnsi="Times New Roman" w:cs="Times New Roman"/>
        </w:rPr>
        <w:t>“KTUL should be required to address</w:t>
      </w:r>
      <w:r w:rsidRPr="000E67F9" w:rsidR="00000C05">
        <w:rPr>
          <w:rFonts w:ascii="Times New Roman" w:hAnsi="Times New Roman" w:cs="Times New Roman"/>
        </w:rPr>
        <w:t xml:space="preserve"> the land mobile interference </w:t>
      </w:r>
      <w:r w:rsidRPr="000E67F9" w:rsidR="00000C05">
        <w:rPr>
          <w:rFonts w:ascii="Times New Roman" w:hAnsi="Times New Roman" w:cs="Times New Roman"/>
        </w:rPr>
        <w:t>concerns through on-air testing and should not be gr</w:t>
      </w:r>
      <w:r w:rsidRPr="000E67F9" w:rsidR="00D77BE9">
        <w:rPr>
          <w:rFonts w:ascii="Times New Roman" w:hAnsi="Times New Roman" w:cs="Times New Roman"/>
        </w:rPr>
        <w:t>a</w:t>
      </w:r>
      <w:r w:rsidRPr="000E67F9" w:rsidR="00000C05">
        <w:rPr>
          <w:rFonts w:ascii="Times New Roman" w:hAnsi="Times New Roman" w:cs="Times New Roman"/>
        </w:rPr>
        <w:t>nted programming authority until the land mobile interference question is fully resolved</w:t>
      </w:r>
      <w:r w:rsidR="00000C05">
        <w:t>.”</w:t>
      </w:r>
      <w:r>
        <w:rPr>
          <w:rStyle w:val="FootnoteReference"/>
        </w:rPr>
        <w:footnoteReference w:id="32"/>
      </w:r>
    </w:p>
    <w:p w:rsidR="00F35705" w:rsidP="00AC7016" w14:paraId="30AA5DEF" w14:textId="468AA48E">
      <w:pPr>
        <w:pStyle w:val="Heading1"/>
      </w:pPr>
      <w:r>
        <w:t xml:space="preserve">discussion. </w:t>
      </w:r>
    </w:p>
    <w:p w:rsidR="00C1621D" w:rsidRPr="0051167B" w14:paraId="234408C9" w14:textId="168D2515">
      <w:pPr>
        <w:pStyle w:val="ParaNum"/>
        <w:rPr>
          <w:rFonts w:ascii="Times New Roman" w:hAnsi="Times New Roman" w:cs="Times New Roman"/>
        </w:rPr>
      </w:pPr>
      <w:r w:rsidRPr="0051167B">
        <w:rPr>
          <w:rFonts w:ascii="Times New Roman" w:hAnsi="Times New Roman" w:cs="Times New Roman"/>
        </w:rPr>
        <w:t xml:space="preserve">We conclude that the Licensee’s proposal to substitute channel 14 for channel 10 at Tulsa, Oklahoma meets the Commission’s technical and interference rules, and that grant would serve the public interest.  While </w:t>
      </w:r>
      <w:r w:rsidRPr="0051167B" w:rsidR="00EA52F5">
        <w:rPr>
          <w:rFonts w:ascii="Times New Roman" w:hAnsi="Times New Roman" w:cs="Times New Roman"/>
        </w:rPr>
        <w:t>LMCC</w:t>
      </w:r>
      <w:r w:rsidRPr="0051167B" w:rsidR="00C329AC">
        <w:rPr>
          <w:rFonts w:ascii="Times New Roman" w:hAnsi="Times New Roman" w:cs="Times New Roman"/>
        </w:rPr>
        <w:t xml:space="preserve"> states that</w:t>
      </w:r>
      <w:r w:rsidRPr="0051167B" w:rsidR="00245098">
        <w:rPr>
          <w:rFonts w:ascii="Times New Roman" w:hAnsi="Times New Roman" w:cs="Times New Roman"/>
        </w:rPr>
        <w:t xml:space="preserve"> it</w:t>
      </w:r>
      <w:r w:rsidRPr="0051167B" w:rsidR="00C329AC">
        <w:rPr>
          <w:rFonts w:ascii="Times New Roman" w:hAnsi="Times New Roman" w:cs="Times New Roman"/>
        </w:rPr>
        <w:t xml:space="preserve"> is concerned that there will be </w:t>
      </w:r>
      <w:r w:rsidRPr="0051167B" w:rsidR="00EA52F5">
        <w:rPr>
          <w:rFonts w:ascii="Times New Roman" w:hAnsi="Times New Roman" w:cs="Times New Roman"/>
        </w:rPr>
        <w:t>interference to large numbers of land mobile systems within 40 miles of the channel 14 proposed transmission site</w:t>
      </w:r>
      <w:r w:rsidRPr="0051167B">
        <w:rPr>
          <w:rFonts w:ascii="Times New Roman" w:hAnsi="Times New Roman" w:cs="Times New Roman"/>
        </w:rPr>
        <w:t>, we find those concerns unavailing</w:t>
      </w:r>
      <w:r w:rsidRPr="0051167B" w:rsidR="00245098">
        <w:rPr>
          <w:rFonts w:ascii="Times New Roman" w:hAnsi="Times New Roman" w:cs="Times New Roman"/>
        </w:rPr>
        <w:t>.</w:t>
      </w:r>
      <w:r w:rsidRPr="0051167B" w:rsidR="00EA52F5">
        <w:rPr>
          <w:rFonts w:ascii="Times New Roman" w:hAnsi="Times New Roman" w:cs="Times New Roman"/>
        </w:rPr>
        <w:t xml:space="preserve">  As the Commission pointed out in the </w:t>
      </w:r>
      <w:r w:rsidRPr="0051167B" w:rsidR="00EA52F5">
        <w:rPr>
          <w:rFonts w:ascii="Times New Roman" w:hAnsi="Times New Roman" w:cs="Times New Roman"/>
          <w:i/>
          <w:iCs/>
        </w:rPr>
        <w:t>Land Mobile Interference Order</w:t>
      </w:r>
      <w:r w:rsidRPr="0051167B" w:rsidR="00EA52F5">
        <w:rPr>
          <w:rFonts w:ascii="Times New Roman" w:hAnsi="Times New Roman" w:cs="Times New Roman"/>
        </w:rPr>
        <w:t xml:space="preserve">, </w:t>
      </w:r>
      <w:r w:rsidRPr="0051167B" w:rsidR="00A64148">
        <w:rPr>
          <w:rFonts w:ascii="Times New Roman" w:hAnsi="Times New Roman" w:cs="Times New Roman"/>
        </w:rPr>
        <w:t>“[t]he vast majority of these interference cases occur where the land mobile base receiver is within 8 kilometers (5 miles) of the TV transmitter site” and “[o]</w:t>
      </w:r>
      <w:r w:rsidRPr="0051167B" w:rsidR="00A64148">
        <w:rPr>
          <w:rFonts w:ascii="Times New Roman" w:hAnsi="Times New Roman" w:cs="Times New Roman"/>
        </w:rPr>
        <w:t>ur</w:t>
      </w:r>
      <w:r w:rsidRPr="0051167B" w:rsidR="00A64148">
        <w:rPr>
          <w:rFonts w:ascii="Times New Roman" w:hAnsi="Times New Roman" w:cs="Times New Roman"/>
        </w:rPr>
        <w:t xml:space="preserve"> experience has also been that the few instances of reported interference where the separation was great</w:t>
      </w:r>
      <w:r w:rsidRPr="0051167B" w:rsidR="00457563">
        <w:rPr>
          <w:rFonts w:ascii="Times New Roman" w:hAnsi="Times New Roman" w:cs="Times New Roman"/>
        </w:rPr>
        <w:t>er</w:t>
      </w:r>
      <w:r w:rsidRPr="0051167B" w:rsidR="00A64148">
        <w:rPr>
          <w:rFonts w:ascii="Times New Roman" w:hAnsi="Times New Roman" w:cs="Times New Roman"/>
        </w:rPr>
        <w:t xml:space="preserve"> than 8 km have been readily resolved by the installation of appropriate filters.”</w:t>
      </w:r>
      <w:r>
        <w:rPr>
          <w:rStyle w:val="FootnoteReference"/>
          <w:rFonts w:cs="Times New Roman"/>
          <w:sz w:val="22"/>
        </w:rPr>
        <w:footnoteReference w:id="33"/>
      </w:r>
      <w:r w:rsidRPr="0051167B" w:rsidR="00A64148">
        <w:rPr>
          <w:rFonts w:ascii="Times New Roman" w:hAnsi="Times New Roman" w:cs="Times New Roman"/>
        </w:rPr>
        <w:t xml:space="preserve">  The Commission also recognized that use of band</w:t>
      </w:r>
      <w:r w:rsidRPr="0051167B" w:rsidR="0035130A">
        <w:rPr>
          <w:rFonts w:ascii="Times New Roman" w:hAnsi="Times New Roman" w:cs="Times New Roman"/>
        </w:rPr>
        <w:t>-stop</w:t>
      </w:r>
      <w:r w:rsidRPr="0051167B" w:rsidR="00A64148">
        <w:rPr>
          <w:rFonts w:ascii="Times New Roman" w:hAnsi="Times New Roman" w:cs="Times New Roman"/>
        </w:rPr>
        <w:t xml:space="preserve"> filters at the land mobile receiver</w:t>
      </w:r>
      <w:r w:rsidRPr="0051167B" w:rsidR="00182D3D">
        <w:rPr>
          <w:rFonts w:ascii="Times New Roman" w:hAnsi="Times New Roman" w:cs="Times New Roman"/>
        </w:rPr>
        <w:t xml:space="preserve"> is an effective procedure to reduce interference caused by receiver desensitization</w:t>
      </w:r>
      <w:r w:rsidRPr="0051167B" w:rsidR="00CB1130">
        <w:rPr>
          <w:rFonts w:ascii="Times New Roman" w:hAnsi="Times New Roman" w:cs="Times New Roman"/>
        </w:rPr>
        <w:t>,</w:t>
      </w:r>
      <w:r>
        <w:rPr>
          <w:rStyle w:val="FootnoteReference"/>
          <w:rFonts w:cs="Times New Roman"/>
          <w:sz w:val="22"/>
        </w:rPr>
        <w:footnoteReference w:id="34"/>
      </w:r>
      <w:r w:rsidRPr="0051167B" w:rsidR="00CB1130">
        <w:rPr>
          <w:rFonts w:ascii="Times New Roman" w:hAnsi="Times New Roman" w:cs="Times New Roman"/>
        </w:rPr>
        <w:t xml:space="preserve"> and section 73.</w:t>
      </w:r>
      <w:r w:rsidRPr="0051167B" w:rsidR="001A2175">
        <w:rPr>
          <w:rFonts w:ascii="Times New Roman" w:hAnsi="Times New Roman" w:cs="Times New Roman"/>
        </w:rPr>
        <w:t>687</w:t>
      </w:r>
      <w:r w:rsidRPr="0051167B" w:rsidR="00CF5548">
        <w:rPr>
          <w:rFonts w:ascii="Times New Roman" w:hAnsi="Times New Roman" w:cs="Times New Roman"/>
        </w:rPr>
        <w:t>(e)(4)(ii)</w:t>
      </w:r>
      <w:r w:rsidRPr="0051167B" w:rsidR="001A2175">
        <w:rPr>
          <w:rFonts w:ascii="Times New Roman" w:hAnsi="Times New Roman" w:cs="Times New Roman"/>
        </w:rPr>
        <w:t xml:space="preserve"> specifically requires a television permittee to “correct a desensitization problem if its occurrence can be directly linked to the start of the TV operations and the land mobile station is using facilities with typical desensitization rejection characteristics.”</w:t>
      </w:r>
      <w:r>
        <w:rPr>
          <w:rStyle w:val="FootnoteReference"/>
          <w:rFonts w:cs="Times New Roman"/>
          <w:sz w:val="22"/>
        </w:rPr>
        <w:footnoteReference w:id="35"/>
      </w:r>
    </w:p>
    <w:p w:rsidR="001F325F" w:rsidRPr="00DB24D7" w:rsidP="00AC7016" w14:paraId="0C450988" w14:textId="212BD2DB">
      <w:pPr>
        <w:pStyle w:val="ParaNum"/>
        <w:rPr>
          <w:rFonts w:ascii="Times New Roman" w:hAnsi="Times New Roman" w:cs="Times New Roman"/>
        </w:rPr>
      </w:pPr>
      <w:r w:rsidRPr="00DB24D7">
        <w:rPr>
          <w:rFonts w:ascii="Times New Roman" w:hAnsi="Times New Roman" w:cs="Times New Roman"/>
        </w:rPr>
        <w:t xml:space="preserve">LMCC, in effect, asks that the Bureau refuse to permit the use of channel 14 in the Tulsa area.  In the </w:t>
      </w:r>
      <w:r w:rsidRPr="00DB24D7">
        <w:rPr>
          <w:rFonts w:ascii="Times New Roman" w:hAnsi="Times New Roman" w:cs="Times New Roman"/>
          <w:i/>
          <w:iCs/>
        </w:rPr>
        <w:t>Land Mobile Interference Order</w:t>
      </w:r>
      <w:r w:rsidRPr="00DB24D7">
        <w:rPr>
          <w:rFonts w:ascii="Times New Roman" w:hAnsi="Times New Roman" w:cs="Times New Roman"/>
        </w:rPr>
        <w:t xml:space="preserve">, </w:t>
      </w:r>
      <w:r w:rsidRPr="00DB24D7" w:rsidR="00182D3D">
        <w:rPr>
          <w:rFonts w:ascii="Times New Roman" w:hAnsi="Times New Roman" w:cs="Times New Roman"/>
        </w:rPr>
        <w:t xml:space="preserve">however, </w:t>
      </w:r>
      <w:r w:rsidRPr="00DB24D7">
        <w:rPr>
          <w:rFonts w:ascii="Times New Roman" w:hAnsi="Times New Roman" w:cs="Times New Roman"/>
        </w:rPr>
        <w:t>the Commission refused</w:t>
      </w:r>
      <w:r w:rsidRPr="00DB24D7" w:rsidR="00182D3D">
        <w:rPr>
          <w:rFonts w:ascii="Times New Roman" w:hAnsi="Times New Roman" w:cs="Times New Roman"/>
        </w:rPr>
        <w:t xml:space="preserve"> to adopt separation distances that would effectively preclude new television service on channel 14</w:t>
      </w:r>
      <w:r w:rsidRPr="00DB24D7" w:rsidR="008811AB">
        <w:rPr>
          <w:rFonts w:ascii="Times New Roman" w:hAnsi="Times New Roman" w:cs="Times New Roman"/>
        </w:rPr>
        <w:t>.</w:t>
      </w:r>
      <w:r>
        <w:rPr>
          <w:rStyle w:val="FootnoteReference"/>
          <w:rFonts w:cs="Times New Roman"/>
          <w:sz w:val="22"/>
        </w:rPr>
        <w:footnoteReference w:id="36"/>
      </w:r>
      <w:r w:rsidRPr="00DB24D7">
        <w:rPr>
          <w:rFonts w:ascii="Times New Roman" w:hAnsi="Times New Roman" w:cs="Times New Roman"/>
        </w:rPr>
        <w:t xml:space="preserve"> </w:t>
      </w:r>
      <w:r w:rsidRPr="00DB24D7" w:rsidR="0079668C">
        <w:rPr>
          <w:rFonts w:ascii="Times New Roman" w:hAnsi="Times New Roman" w:cs="Times New Roman"/>
        </w:rPr>
        <w:t xml:space="preserve"> </w:t>
      </w:r>
      <w:r w:rsidRPr="00DB24D7" w:rsidR="00427DA4">
        <w:rPr>
          <w:rFonts w:ascii="Times New Roman" w:hAnsi="Times New Roman" w:cs="Times New Roman"/>
        </w:rPr>
        <w:t xml:space="preserve">With respect to LMCC’s request that the Bureau find an alternative channel for KTUL, </w:t>
      </w:r>
      <w:r w:rsidRPr="00DB24D7" w:rsidR="00A40533">
        <w:rPr>
          <w:rFonts w:ascii="Times New Roman" w:hAnsi="Times New Roman" w:cs="Times New Roman"/>
        </w:rPr>
        <w:t xml:space="preserve">the </w:t>
      </w:r>
      <w:r w:rsidRPr="00DB24D7" w:rsidR="00427DA4">
        <w:rPr>
          <w:rFonts w:ascii="Times New Roman" w:hAnsi="Times New Roman" w:cs="Times New Roman"/>
        </w:rPr>
        <w:t>Licensee</w:t>
      </w:r>
      <w:r w:rsidRPr="00DB24D7" w:rsidR="00A40533">
        <w:rPr>
          <w:rFonts w:ascii="Times New Roman" w:hAnsi="Times New Roman" w:cs="Times New Roman"/>
        </w:rPr>
        <w:t xml:space="preserve"> states </w:t>
      </w:r>
      <w:r w:rsidRPr="00DB24D7" w:rsidR="00A40533">
        <w:rPr>
          <w:rFonts w:ascii="Times New Roman" w:hAnsi="Times New Roman" w:cs="Times New Roman"/>
          <w:color w:val="000000" w:themeColor="text1"/>
        </w:rPr>
        <w:t>that it has m</w:t>
      </w:r>
      <w:r w:rsidRPr="00DB24D7" w:rsidR="00A40533">
        <w:rPr>
          <w:rFonts w:ascii="Times New Roman" w:hAnsi="Times New Roman" w:cs="Times New Roman"/>
        </w:rPr>
        <w:t>ade a diligent search and there is no “other channel available in the Tulsa market to which it is technically feasible for the Station to move.”</w:t>
      </w:r>
      <w:r>
        <w:rPr>
          <w:rStyle w:val="FootnoteReference"/>
          <w:rFonts w:cs="Times New Roman"/>
          <w:sz w:val="22"/>
        </w:rPr>
        <w:footnoteReference w:id="37"/>
      </w:r>
      <w:r w:rsidRPr="00DB24D7" w:rsidR="009B4AA3">
        <w:rPr>
          <w:rFonts w:ascii="Times New Roman" w:hAnsi="Times New Roman" w:cs="Times New Roman"/>
        </w:rPr>
        <w:t xml:space="preserve">  If LMCC believes there is another in-core UHF channel available for the Licensee</w:t>
      </w:r>
      <w:r w:rsidR="00975C76">
        <w:rPr>
          <w:rFonts w:ascii="Times New Roman" w:hAnsi="Times New Roman" w:cs="Times New Roman"/>
        </w:rPr>
        <w:t>’s</w:t>
      </w:r>
      <w:r w:rsidRPr="00DB24D7" w:rsidR="009B4AA3">
        <w:rPr>
          <w:rFonts w:ascii="Times New Roman" w:hAnsi="Times New Roman" w:cs="Times New Roman"/>
        </w:rPr>
        <w:t xml:space="preserve"> use at its current site, it should have made a counterproposal with the requisite engineering.</w:t>
      </w:r>
      <w:r>
        <w:rPr>
          <w:rStyle w:val="FootnoteReference"/>
          <w:rFonts w:cs="Times New Roman"/>
          <w:sz w:val="22"/>
        </w:rPr>
        <w:footnoteReference w:id="38"/>
      </w:r>
      <w:r w:rsidRPr="00DB24D7" w:rsidR="00013187">
        <w:rPr>
          <w:rFonts w:ascii="Times New Roman" w:hAnsi="Times New Roman" w:cs="Times New Roman"/>
        </w:rPr>
        <w:t xml:space="preserve">  </w:t>
      </w:r>
    </w:p>
    <w:p w:rsidR="00C1621D" w:rsidRPr="00DB24D7" w:rsidP="009D5D45" w14:paraId="37408AE7" w14:textId="2944D0D6">
      <w:pPr>
        <w:pStyle w:val="ParaNum"/>
        <w:rPr>
          <w:rFonts w:ascii="Times New Roman" w:hAnsi="Times New Roman" w:cs="Times New Roman"/>
        </w:rPr>
      </w:pPr>
      <w:r w:rsidRPr="00DB24D7">
        <w:rPr>
          <w:rFonts w:ascii="Times New Roman" w:hAnsi="Times New Roman" w:cs="Times New Roman"/>
        </w:rPr>
        <w:t>The Licensee has committed to perform the steps required by the rule</w:t>
      </w:r>
      <w:r w:rsidRPr="00DB24D7" w:rsidR="009A48F4">
        <w:rPr>
          <w:rFonts w:ascii="Times New Roman" w:hAnsi="Times New Roman" w:cs="Times New Roman"/>
        </w:rPr>
        <w:t xml:space="preserve"> to address interference</w:t>
      </w:r>
      <w:r w:rsidRPr="00DB24D7">
        <w:rPr>
          <w:rFonts w:ascii="Times New Roman" w:hAnsi="Times New Roman" w:cs="Times New Roman"/>
        </w:rPr>
        <w:t xml:space="preserve">.  Specifically, </w:t>
      </w:r>
      <w:r w:rsidRPr="00DB24D7" w:rsidR="0093055F">
        <w:rPr>
          <w:rFonts w:ascii="Times New Roman" w:hAnsi="Times New Roman" w:cs="Times New Roman"/>
        </w:rPr>
        <w:t>Section 73.687(e)(4)(ii) of the rules provides, in part, that a television permittee on channel 14 must take steps prior to construction to identify potential interference to normal land mobile operation of a protected land mobile facility</w:t>
      </w:r>
      <w:r>
        <w:rPr>
          <w:rStyle w:val="FootnoteReference"/>
          <w:rFonts w:cs="Times New Roman"/>
          <w:sz w:val="22"/>
        </w:rPr>
        <w:footnoteReference w:id="39"/>
      </w:r>
      <w:r w:rsidRPr="00DB24D7" w:rsidR="0093055F">
        <w:rPr>
          <w:rFonts w:ascii="Times New Roman" w:hAnsi="Times New Roman" w:cs="Times New Roman"/>
        </w:rPr>
        <w:t xml:space="preserve"> that could be caused by television emissions outside the authorized channel, land mobile receiver desensitization, or intermodulation.</w:t>
      </w:r>
      <w:r>
        <w:rPr>
          <w:rStyle w:val="FootnoteReference"/>
          <w:rFonts w:cs="Times New Roman"/>
          <w:sz w:val="22"/>
        </w:rPr>
        <w:footnoteReference w:id="40"/>
      </w:r>
      <w:r w:rsidRPr="00DB24D7" w:rsidR="0093055F">
        <w:rPr>
          <w:rFonts w:ascii="Times New Roman" w:hAnsi="Times New Roman" w:cs="Times New Roman"/>
        </w:rPr>
        <w:t xml:space="preserve">  These steps include installing filters and taking other precautions as necessary</w:t>
      </w:r>
      <w:r w:rsidRPr="00DB24D7">
        <w:rPr>
          <w:rFonts w:ascii="Times New Roman" w:hAnsi="Times New Roman" w:cs="Times New Roman"/>
        </w:rPr>
        <w:t>.</w:t>
      </w:r>
      <w:r>
        <w:rPr>
          <w:rStyle w:val="FootnoteReference"/>
          <w:rFonts w:cs="Times New Roman"/>
          <w:sz w:val="22"/>
        </w:rPr>
        <w:footnoteReference w:id="41"/>
      </w:r>
      <w:r w:rsidRPr="00DB24D7">
        <w:rPr>
          <w:rFonts w:ascii="Times New Roman" w:hAnsi="Times New Roman" w:cs="Times New Roman"/>
        </w:rPr>
        <w:t xml:space="preserve">  In addition, Section 73.687(e)(4)(ii) requires the permittee to </w:t>
      </w:r>
      <w:r w:rsidRPr="00DB24D7" w:rsidR="0093055F">
        <w:rPr>
          <w:rFonts w:ascii="Times New Roman" w:hAnsi="Times New Roman" w:cs="Times New Roman"/>
        </w:rPr>
        <w:t>submit evidence that no interference is being caused before the station is permitted to transmit programming pursuant to sections 73.1615 and 73.1620 of the rules.</w:t>
      </w:r>
      <w:r>
        <w:rPr>
          <w:rStyle w:val="FootnoteReference"/>
          <w:rFonts w:cs="Times New Roman"/>
          <w:sz w:val="22"/>
        </w:rPr>
        <w:footnoteReference w:id="42"/>
      </w:r>
      <w:r w:rsidRPr="00DB24D7" w:rsidR="0093055F">
        <w:rPr>
          <w:rFonts w:ascii="Times New Roman" w:hAnsi="Times New Roman" w:cs="Times New Roman"/>
        </w:rPr>
        <w:t xml:space="preserve">  Section 73.687 also describes the responsibilities of the television station to resolve interference issues once it commences operations and the need for the station and the land mobile system to cooperate to resolve any problems arising from the television station operation.</w:t>
      </w:r>
      <w:r>
        <w:rPr>
          <w:rStyle w:val="FootnoteReference"/>
          <w:rFonts w:cs="Times New Roman"/>
          <w:sz w:val="22"/>
        </w:rPr>
        <w:footnoteReference w:id="43"/>
      </w:r>
      <w:r w:rsidR="00FA6BB4">
        <w:rPr>
          <w:rFonts w:ascii="Times New Roman" w:hAnsi="Times New Roman" w:cs="Times New Roman"/>
        </w:rPr>
        <w:t xml:space="preserve"> </w:t>
      </w:r>
      <w:r w:rsidRPr="00DB24D7" w:rsidR="0079668C">
        <w:rPr>
          <w:rFonts w:ascii="Times New Roman" w:hAnsi="Times New Roman" w:cs="Times New Roman"/>
        </w:rPr>
        <w:t>The Licensee has committed to perform the</w:t>
      </w:r>
      <w:r w:rsidRPr="00DB24D7" w:rsidR="009D5D45">
        <w:rPr>
          <w:rFonts w:ascii="Times New Roman" w:hAnsi="Times New Roman" w:cs="Times New Roman"/>
        </w:rPr>
        <w:t xml:space="preserve"> </w:t>
      </w:r>
      <w:r w:rsidRPr="00DB24D7" w:rsidR="0079668C">
        <w:rPr>
          <w:rFonts w:ascii="Times New Roman" w:hAnsi="Times New Roman" w:cs="Times New Roman"/>
        </w:rPr>
        <w:t xml:space="preserve">steps </w:t>
      </w:r>
      <w:r w:rsidRPr="00DB24D7" w:rsidR="0079668C">
        <w:rPr>
          <w:rFonts w:ascii="Times New Roman" w:hAnsi="Times New Roman" w:cs="Times New Roman"/>
        </w:rPr>
        <w:t xml:space="preserve">required by the rule </w:t>
      </w:r>
      <w:r w:rsidRPr="00DB24D7" w:rsidR="00B7119B">
        <w:rPr>
          <w:rFonts w:ascii="Times New Roman" w:hAnsi="Times New Roman" w:cs="Times New Roman"/>
        </w:rPr>
        <w:t>and</w:t>
      </w:r>
      <w:r w:rsidRPr="00DB24D7" w:rsidR="0079668C">
        <w:rPr>
          <w:rFonts w:ascii="Times New Roman" w:hAnsi="Times New Roman" w:cs="Times New Roman"/>
        </w:rPr>
        <w:t xml:space="preserve"> its</w:t>
      </w:r>
      <w:r w:rsidRPr="00DB24D7" w:rsidR="005E15A6">
        <w:rPr>
          <w:rFonts w:ascii="Times New Roman" w:hAnsi="Times New Roman" w:cs="Times New Roman"/>
        </w:rPr>
        <w:t xml:space="preserve"> construction permit</w:t>
      </w:r>
      <w:r w:rsidRPr="00DB24D7" w:rsidR="00D63DBF">
        <w:rPr>
          <w:rFonts w:ascii="Times New Roman" w:hAnsi="Times New Roman" w:cs="Times New Roman"/>
        </w:rPr>
        <w:t>, if granted,</w:t>
      </w:r>
      <w:r w:rsidRPr="00DB24D7" w:rsidR="005E15A6">
        <w:rPr>
          <w:rFonts w:ascii="Times New Roman" w:hAnsi="Times New Roman" w:cs="Times New Roman"/>
        </w:rPr>
        <w:t xml:space="preserve"> will have the standard condition</w:t>
      </w:r>
      <w:r w:rsidRPr="00DB24D7" w:rsidR="0079668C">
        <w:rPr>
          <w:rFonts w:ascii="Times New Roman" w:hAnsi="Times New Roman" w:cs="Times New Roman"/>
        </w:rPr>
        <w:t xml:space="preserve"> requiring it to do so</w:t>
      </w:r>
      <w:r w:rsidRPr="00DB24D7" w:rsidR="005E15A6">
        <w:rPr>
          <w:rFonts w:ascii="Times New Roman" w:hAnsi="Times New Roman" w:cs="Times New Roman"/>
        </w:rPr>
        <w:t>.</w:t>
      </w:r>
      <w:r>
        <w:rPr>
          <w:rStyle w:val="FootnoteReference"/>
          <w:rFonts w:cs="Times New Roman"/>
          <w:sz w:val="22"/>
        </w:rPr>
        <w:footnoteReference w:id="44"/>
      </w:r>
      <w:r w:rsidRPr="00DB24D7" w:rsidR="0079668C">
        <w:rPr>
          <w:rFonts w:ascii="Times New Roman" w:hAnsi="Times New Roman" w:cs="Times New Roman"/>
        </w:rPr>
        <w:t xml:space="preserve">  Thus, we find no basis for denying the Licensee’s request that we substitute channel 14 for channel 10 at Tulsa.</w:t>
      </w:r>
      <w:r>
        <w:rPr>
          <w:rStyle w:val="FootnoteReference"/>
          <w:rFonts w:cs="Times New Roman"/>
          <w:sz w:val="22"/>
        </w:rPr>
        <w:footnoteReference w:id="45"/>
      </w:r>
    </w:p>
    <w:p w:rsidR="00E97187" w:rsidRPr="00DB24D7" w:rsidP="00AD66C0" w14:paraId="1229C193" w14:textId="0DF79064">
      <w:pPr>
        <w:pStyle w:val="ParaNum"/>
        <w:rPr>
          <w:rFonts w:ascii="Times New Roman" w:hAnsi="Times New Roman" w:cs="Times New Roman"/>
        </w:rPr>
      </w:pPr>
      <w:r w:rsidRPr="00DB24D7">
        <w:rPr>
          <w:rFonts w:ascii="Times New Roman" w:hAnsi="Times New Roman" w:cs="Times New Roman"/>
          <w:spacing w:val="-7"/>
        </w:rPr>
        <w:t xml:space="preserve">As proposed, </w:t>
      </w:r>
      <w:r w:rsidRPr="00DB24D7" w:rsidR="009078BE">
        <w:rPr>
          <w:rFonts w:ascii="Times New Roman" w:hAnsi="Times New Roman" w:cs="Times New Roman"/>
          <w:spacing w:val="-7"/>
        </w:rPr>
        <w:t>c</w:t>
      </w:r>
      <w:r w:rsidRPr="00DB24D7">
        <w:rPr>
          <w:rFonts w:ascii="Times New Roman" w:hAnsi="Times New Roman" w:cs="Times New Roman"/>
          <w:spacing w:val="-7"/>
        </w:rPr>
        <w:t xml:space="preserve">hannel </w:t>
      </w:r>
      <w:r w:rsidRPr="00DB24D7" w:rsidR="00E00DE8">
        <w:rPr>
          <w:rFonts w:ascii="Times New Roman" w:hAnsi="Times New Roman" w:cs="Times New Roman"/>
          <w:spacing w:val="-7"/>
        </w:rPr>
        <w:t>14</w:t>
      </w:r>
      <w:r w:rsidRPr="00DB24D7">
        <w:rPr>
          <w:rFonts w:ascii="Times New Roman" w:hAnsi="Times New Roman" w:cs="Times New Roman"/>
          <w:spacing w:val="-7"/>
        </w:rPr>
        <w:t xml:space="preserve"> can be substituted for channel</w:t>
      </w:r>
      <w:r w:rsidRPr="00DB24D7">
        <w:rPr>
          <w:rFonts w:ascii="Times New Roman" w:hAnsi="Times New Roman" w:cs="Times New Roman"/>
        </w:rPr>
        <w:t xml:space="preserve"> </w:t>
      </w:r>
      <w:r w:rsidRPr="00DB24D7" w:rsidR="00424EA6">
        <w:rPr>
          <w:rFonts w:ascii="Times New Roman" w:hAnsi="Times New Roman" w:cs="Times New Roman"/>
        </w:rPr>
        <w:t>1</w:t>
      </w:r>
      <w:r w:rsidRPr="00DB24D7" w:rsidR="00E00DE8">
        <w:rPr>
          <w:rFonts w:ascii="Times New Roman" w:hAnsi="Times New Roman" w:cs="Times New Roman"/>
        </w:rPr>
        <w:t>0</w:t>
      </w:r>
      <w:r w:rsidRPr="00DB24D7">
        <w:rPr>
          <w:rFonts w:ascii="Times New Roman" w:hAnsi="Times New Roman" w:cs="Times New Roman"/>
        </w:rPr>
        <w:t xml:space="preserve"> at </w:t>
      </w:r>
      <w:r w:rsidRPr="00DB24D7" w:rsidR="00E00DE8">
        <w:rPr>
          <w:rFonts w:ascii="Times New Roman" w:hAnsi="Times New Roman" w:cs="Times New Roman"/>
        </w:rPr>
        <w:t>Tulsa, Oklahoma</w:t>
      </w:r>
      <w:r w:rsidRPr="00DB24D7">
        <w:rPr>
          <w:rFonts w:ascii="Times New Roman" w:hAnsi="Times New Roman" w:cs="Times New Roman"/>
        </w:rPr>
        <w:t>, in compliance with the principal community coverage requirements</w:t>
      </w:r>
      <w:r w:rsidRPr="00DB24D7">
        <w:rPr>
          <w:rFonts w:ascii="Times New Roman" w:hAnsi="Times New Roman" w:cs="Times New Roman"/>
          <w:spacing w:val="-7"/>
        </w:rPr>
        <w:t xml:space="preserve"> </w:t>
      </w:r>
      <w:r w:rsidRPr="00DB24D7">
        <w:rPr>
          <w:rFonts w:ascii="Times New Roman" w:hAnsi="Times New Roman" w:cs="Times New Roman"/>
          <w:spacing w:val="-3"/>
        </w:rPr>
        <w:t>of</w:t>
      </w:r>
      <w:r w:rsidRPr="00DB24D7">
        <w:rPr>
          <w:rFonts w:ascii="Times New Roman" w:hAnsi="Times New Roman" w:cs="Times New Roman"/>
          <w:spacing w:val="-6"/>
        </w:rPr>
        <w:t xml:space="preserve"> </w:t>
      </w:r>
      <w:r w:rsidRPr="00DB24D7">
        <w:rPr>
          <w:rFonts w:ascii="Times New Roman" w:hAnsi="Times New Roman" w:cs="Times New Roman"/>
          <w:spacing w:val="-3"/>
        </w:rPr>
        <w:t>section</w:t>
      </w:r>
      <w:r w:rsidRPr="00DB24D7">
        <w:rPr>
          <w:rFonts w:ascii="Times New Roman" w:hAnsi="Times New Roman" w:cs="Times New Roman"/>
        </w:rPr>
        <w:t xml:space="preserve"> </w:t>
      </w:r>
      <w:r w:rsidRPr="00DB24D7">
        <w:rPr>
          <w:rFonts w:ascii="Times New Roman" w:hAnsi="Times New Roman" w:cs="Times New Roman"/>
          <w:spacing w:val="-4"/>
        </w:rPr>
        <w:t>73.625(a)</w:t>
      </w:r>
      <w:r w:rsidRPr="00DB24D7">
        <w:rPr>
          <w:rFonts w:ascii="Times New Roman" w:hAnsi="Times New Roman" w:cs="Times New Roman"/>
          <w:spacing w:val="-7"/>
        </w:rPr>
        <w:t xml:space="preserve"> </w:t>
      </w:r>
      <w:r w:rsidRPr="00DB24D7">
        <w:rPr>
          <w:rFonts w:ascii="Times New Roman" w:hAnsi="Times New Roman" w:cs="Times New Roman"/>
          <w:spacing w:val="-2"/>
        </w:rPr>
        <w:t>of</w:t>
      </w:r>
      <w:r w:rsidRPr="00DB24D7">
        <w:rPr>
          <w:rFonts w:ascii="Times New Roman" w:hAnsi="Times New Roman" w:cs="Times New Roman"/>
          <w:spacing w:val="-7"/>
        </w:rPr>
        <w:t xml:space="preserve"> </w:t>
      </w:r>
      <w:r w:rsidRPr="00DB24D7">
        <w:rPr>
          <w:rFonts w:ascii="Times New Roman" w:hAnsi="Times New Roman" w:cs="Times New Roman"/>
          <w:spacing w:val="-3"/>
        </w:rPr>
        <w:t>the</w:t>
      </w:r>
      <w:r w:rsidRPr="00DB24D7" w:rsidR="0080033E">
        <w:rPr>
          <w:rFonts w:ascii="Times New Roman" w:hAnsi="Times New Roman" w:cs="Times New Roman"/>
        </w:rPr>
        <w:t xml:space="preserve"> R</w:t>
      </w:r>
      <w:r w:rsidRPr="00DB24D7">
        <w:rPr>
          <w:rFonts w:ascii="Times New Roman" w:hAnsi="Times New Roman" w:cs="Times New Roman"/>
          <w:spacing w:val="-3"/>
        </w:rPr>
        <w:t>ules,</w:t>
      </w:r>
      <w:r>
        <w:rPr>
          <w:rStyle w:val="FootnoteReference"/>
          <w:rFonts w:cs="Times New Roman"/>
          <w:spacing w:val="-3"/>
          <w:sz w:val="22"/>
        </w:rPr>
        <w:footnoteReference w:id="46"/>
      </w:r>
      <w:r w:rsidRPr="00DB24D7">
        <w:rPr>
          <w:rFonts w:ascii="Times New Roman" w:hAnsi="Times New Roman" w:cs="Times New Roman"/>
          <w:spacing w:val="17"/>
          <w:position w:val="8"/>
        </w:rPr>
        <w:t xml:space="preserve"> </w:t>
      </w:r>
      <w:r w:rsidRPr="00DB24D7">
        <w:rPr>
          <w:rFonts w:ascii="Times New Roman" w:hAnsi="Times New Roman" w:cs="Times New Roman"/>
          <w:spacing w:val="-3"/>
        </w:rPr>
        <w:t xml:space="preserve">at </w:t>
      </w:r>
      <w:r w:rsidRPr="00DB24D7">
        <w:rPr>
          <w:rFonts w:ascii="Times New Roman" w:hAnsi="Times New Roman" w:cs="Times New Roman"/>
          <w:spacing w:val="-4"/>
        </w:rPr>
        <w:t>coordinates</w:t>
      </w:r>
      <w:r w:rsidRPr="00DB24D7">
        <w:rPr>
          <w:rFonts w:ascii="Times New Roman" w:hAnsi="Times New Roman" w:cs="Times New Roman"/>
          <w:spacing w:val="-7"/>
        </w:rPr>
        <w:t xml:space="preserve"> </w:t>
      </w:r>
      <w:r w:rsidRPr="00DB24D7" w:rsidR="00C1621D">
        <w:rPr>
          <w:rFonts w:ascii="Times New Roman" w:hAnsi="Times New Roman" w:cs="Times New Roman"/>
        </w:rPr>
        <w:t xml:space="preserve">35-58-08.0 N and 95-36-56.0 W. </w:t>
      </w:r>
      <w:r w:rsidRPr="00DB24D7" w:rsidR="001B10DB">
        <w:rPr>
          <w:rFonts w:ascii="Times New Roman" w:hAnsi="Times New Roman" w:cs="Times New Roman"/>
          <w:spacing w:val="-2"/>
        </w:rPr>
        <w:t xml:space="preserve"> </w:t>
      </w:r>
      <w:r w:rsidRPr="00DB24D7">
        <w:rPr>
          <w:rFonts w:ascii="Times New Roman" w:hAnsi="Times New Roman" w:cs="Times New Roman"/>
          <w:spacing w:val="-2"/>
        </w:rPr>
        <w:t>In</w:t>
      </w:r>
      <w:r w:rsidRPr="00DB24D7">
        <w:rPr>
          <w:rFonts w:ascii="Times New Roman" w:hAnsi="Times New Roman" w:cs="Times New Roman"/>
          <w:spacing w:val="-5"/>
        </w:rPr>
        <w:t xml:space="preserve"> </w:t>
      </w:r>
      <w:r w:rsidRPr="00DB24D7">
        <w:rPr>
          <w:rFonts w:ascii="Times New Roman" w:hAnsi="Times New Roman" w:cs="Times New Roman"/>
          <w:spacing w:val="-4"/>
        </w:rPr>
        <w:t>addition,</w:t>
      </w:r>
      <w:r w:rsidRPr="00DB24D7">
        <w:rPr>
          <w:rFonts w:ascii="Times New Roman" w:hAnsi="Times New Roman" w:cs="Times New Roman"/>
          <w:spacing w:val="-5"/>
        </w:rPr>
        <w:t xml:space="preserve"> </w:t>
      </w:r>
      <w:r w:rsidRPr="00DB24D7">
        <w:rPr>
          <w:rFonts w:ascii="Times New Roman" w:hAnsi="Times New Roman" w:cs="Times New Roman"/>
          <w:spacing w:val="-3"/>
        </w:rPr>
        <w:t>we</w:t>
      </w:r>
      <w:r w:rsidRPr="00DB24D7">
        <w:rPr>
          <w:rFonts w:ascii="Times New Roman" w:hAnsi="Times New Roman" w:cs="Times New Roman"/>
        </w:rPr>
        <w:t xml:space="preserve"> </w:t>
      </w:r>
      <w:r w:rsidRPr="00DB24D7">
        <w:rPr>
          <w:rFonts w:ascii="Times New Roman" w:hAnsi="Times New Roman" w:cs="Times New Roman"/>
          <w:spacing w:val="-3"/>
        </w:rPr>
        <w:t>find</w:t>
      </w:r>
      <w:r w:rsidRPr="00DB24D7">
        <w:rPr>
          <w:rFonts w:ascii="Times New Roman" w:hAnsi="Times New Roman" w:cs="Times New Roman"/>
        </w:rPr>
        <w:t xml:space="preserve"> </w:t>
      </w:r>
      <w:r w:rsidRPr="00DB24D7">
        <w:rPr>
          <w:rFonts w:ascii="Times New Roman" w:hAnsi="Times New Roman" w:cs="Times New Roman"/>
          <w:spacing w:val="-3"/>
        </w:rPr>
        <w:t>that</w:t>
      </w:r>
      <w:r w:rsidRPr="00DB24D7">
        <w:rPr>
          <w:rFonts w:ascii="Times New Roman" w:hAnsi="Times New Roman" w:cs="Times New Roman"/>
          <w:spacing w:val="-6"/>
        </w:rPr>
        <w:t xml:space="preserve"> </w:t>
      </w:r>
      <w:r w:rsidRPr="00DB24D7">
        <w:rPr>
          <w:rFonts w:ascii="Times New Roman" w:hAnsi="Times New Roman" w:cs="Times New Roman"/>
          <w:spacing w:val="-3"/>
        </w:rPr>
        <w:t>this</w:t>
      </w:r>
      <w:r w:rsidRPr="00DB24D7">
        <w:rPr>
          <w:rFonts w:ascii="Times New Roman" w:hAnsi="Times New Roman" w:cs="Times New Roman"/>
          <w:spacing w:val="-7"/>
        </w:rPr>
        <w:t xml:space="preserve"> </w:t>
      </w:r>
      <w:r w:rsidRPr="00DB24D7">
        <w:rPr>
          <w:rFonts w:ascii="Times New Roman" w:hAnsi="Times New Roman" w:cs="Times New Roman"/>
          <w:spacing w:val="-4"/>
        </w:rPr>
        <w:t>channel</w:t>
      </w:r>
      <w:r w:rsidRPr="00DB24D7">
        <w:rPr>
          <w:rFonts w:ascii="Times New Roman" w:hAnsi="Times New Roman" w:cs="Times New Roman"/>
          <w:spacing w:val="-6"/>
        </w:rPr>
        <w:t xml:space="preserve"> </w:t>
      </w:r>
      <w:r w:rsidRPr="00DB24D7">
        <w:rPr>
          <w:rFonts w:ascii="Times New Roman" w:hAnsi="Times New Roman" w:cs="Times New Roman"/>
          <w:spacing w:val="-3"/>
        </w:rPr>
        <w:t>change</w:t>
      </w:r>
      <w:r w:rsidRPr="00DB24D7">
        <w:rPr>
          <w:rFonts w:ascii="Times New Roman" w:hAnsi="Times New Roman" w:cs="Times New Roman"/>
          <w:spacing w:val="51"/>
        </w:rPr>
        <w:t xml:space="preserve"> </w:t>
      </w:r>
      <w:r w:rsidRPr="00DB24D7">
        <w:rPr>
          <w:rFonts w:ascii="Times New Roman" w:hAnsi="Times New Roman" w:cs="Times New Roman"/>
          <w:spacing w:val="-3"/>
        </w:rPr>
        <w:t>meets</w:t>
      </w:r>
      <w:r w:rsidRPr="00DB24D7">
        <w:rPr>
          <w:rFonts w:ascii="Times New Roman" w:hAnsi="Times New Roman" w:cs="Times New Roman"/>
          <w:spacing w:val="-10"/>
        </w:rPr>
        <w:t xml:space="preserve"> </w:t>
      </w:r>
      <w:r w:rsidRPr="00DB24D7">
        <w:rPr>
          <w:rFonts w:ascii="Times New Roman" w:hAnsi="Times New Roman" w:cs="Times New Roman"/>
          <w:spacing w:val="-2"/>
        </w:rPr>
        <w:t>the</w:t>
      </w:r>
      <w:r w:rsidRPr="00DB24D7">
        <w:rPr>
          <w:rFonts w:ascii="Times New Roman" w:hAnsi="Times New Roman" w:cs="Times New Roman"/>
          <w:spacing w:val="-10"/>
        </w:rPr>
        <w:t xml:space="preserve"> </w:t>
      </w:r>
      <w:r w:rsidRPr="00DB24D7">
        <w:rPr>
          <w:rFonts w:ascii="Times New Roman" w:hAnsi="Times New Roman" w:cs="Times New Roman"/>
          <w:spacing w:val="-4"/>
        </w:rPr>
        <w:t>technical</w:t>
      </w:r>
      <w:r w:rsidRPr="00DB24D7">
        <w:rPr>
          <w:rFonts w:ascii="Times New Roman" w:hAnsi="Times New Roman" w:cs="Times New Roman"/>
          <w:spacing w:val="-6"/>
        </w:rPr>
        <w:t xml:space="preserve"> </w:t>
      </w:r>
      <w:r w:rsidRPr="00DB24D7">
        <w:rPr>
          <w:rFonts w:ascii="Times New Roman" w:hAnsi="Times New Roman" w:cs="Times New Roman"/>
          <w:spacing w:val="-4"/>
        </w:rPr>
        <w:t>requirements</w:t>
      </w:r>
      <w:r w:rsidRPr="00DB24D7">
        <w:rPr>
          <w:rFonts w:ascii="Times New Roman" w:hAnsi="Times New Roman" w:cs="Times New Roman"/>
          <w:spacing w:val="-7"/>
        </w:rPr>
        <w:t xml:space="preserve"> </w:t>
      </w:r>
      <w:r w:rsidRPr="00DB24D7">
        <w:rPr>
          <w:rFonts w:ascii="Times New Roman" w:hAnsi="Times New Roman" w:cs="Times New Roman"/>
          <w:spacing w:val="-4"/>
        </w:rPr>
        <w:t>set</w:t>
      </w:r>
      <w:r w:rsidRPr="00DB24D7">
        <w:rPr>
          <w:rFonts w:ascii="Times New Roman" w:hAnsi="Times New Roman" w:cs="Times New Roman"/>
          <w:spacing w:val="-6"/>
        </w:rPr>
        <w:t xml:space="preserve"> </w:t>
      </w:r>
      <w:r w:rsidRPr="00DB24D7">
        <w:rPr>
          <w:rFonts w:ascii="Times New Roman" w:hAnsi="Times New Roman" w:cs="Times New Roman"/>
          <w:spacing w:val="-3"/>
        </w:rPr>
        <w:t>forth</w:t>
      </w:r>
      <w:r w:rsidRPr="00DB24D7">
        <w:rPr>
          <w:rFonts w:ascii="Times New Roman" w:hAnsi="Times New Roman" w:cs="Times New Roman"/>
        </w:rPr>
        <w:t xml:space="preserve"> </w:t>
      </w:r>
      <w:r w:rsidRPr="00DB24D7">
        <w:rPr>
          <w:rFonts w:ascii="Times New Roman" w:hAnsi="Times New Roman" w:cs="Times New Roman"/>
          <w:spacing w:val="-1"/>
        </w:rPr>
        <w:t>in</w:t>
      </w:r>
      <w:r w:rsidRPr="00DB24D7">
        <w:rPr>
          <w:rFonts w:ascii="Times New Roman" w:hAnsi="Times New Roman" w:cs="Times New Roman"/>
          <w:spacing w:val="-7"/>
        </w:rPr>
        <w:t xml:space="preserve"> </w:t>
      </w:r>
      <w:r w:rsidRPr="00DB24D7">
        <w:rPr>
          <w:rFonts w:ascii="Times New Roman" w:hAnsi="Times New Roman" w:cs="Times New Roman"/>
          <w:spacing w:val="-4"/>
        </w:rPr>
        <w:t>sections</w:t>
      </w:r>
      <w:r w:rsidRPr="00DB24D7">
        <w:rPr>
          <w:rFonts w:ascii="Times New Roman" w:hAnsi="Times New Roman" w:cs="Times New Roman"/>
          <w:spacing w:val="-7"/>
        </w:rPr>
        <w:t xml:space="preserve"> </w:t>
      </w:r>
      <w:r w:rsidRPr="00DB24D7">
        <w:rPr>
          <w:rFonts w:ascii="Times New Roman" w:hAnsi="Times New Roman" w:cs="Times New Roman"/>
          <w:spacing w:val="-4"/>
        </w:rPr>
        <w:t>73.616</w:t>
      </w:r>
      <w:r w:rsidRPr="00DB24D7">
        <w:rPr>
          <w:rFonts w:ascii="Times New Roman" w:hAnsi="Times New Roman" w:cs="Times New Roman"/>
        </w:rPr>
        <w:t xml:space="preserve"> </w:t>
      </w:r>
      <w:r w:rsidRPr="00DB24D7">
        <w:rPr>
          <w:rFonts w:ascii="Times New Roman" w:hAnsi="Times New Roman" w:cs="Times New Roman"/>
          <w:spacing w:val="-3"/>
        </w:rPr>
        <w:t>and</w:t>
      </w:r>
      <w:r w:rsidRPr="00DB24D7">
        <w:rPr>
          <w:rFonts w:ascii="Times New Roman" w:hAnsi="Times New Roman" w:cs="Times New Roman"/>
        </w:rPr>
        <w:t xml:space="preserve"> </w:t>
      </w:r>
      <w:r w:rsidRPr="00DB24D7">
        <w:rPr>
          <w:rFonts w:ascii="Times New Roman" w:hAnsi="Times New Roman" w:cs="Times New Roman"/>
          <w:spacing w:val="-4"/>
        </w:rPr>
        <w:t>73.623</w:t>
      </w:r>
      <w:r w:rsidRPr="00DB24D7">
        <w:rPr>
          <w:rFonts w:ascii="Times New Roman" w:hAnsi="Times New Roman" w:cs="Times New Roman"/>
          <w:spacing w:val="-6"/>
        </w:rPr>
        <w:t xml:space="preserve"> </w:t>
      </w:r>
      <w:r w:rsidRPr="00DB24D7">
        <w:rPr>
          <w:rFonts w:ascii="Times New Roman" w:hAnsi="Times New Roman" w:cs="Times New Roman"/>
          <w:spacing w:val="-3"/>
        </w:rPr>
        <w:t>of</w:t>
      </w:r>
      <w:r w:rsidRPr="00DB24D7">
        <w:rPr>
          <w:rFonts w:ascii="Times New Roman" w:hAnsi="Times New Roman" w:cs="Times New Roman"/>
          <w:spacing w:val="-7"/>
        </w:rPr>
        <w:t xml:space="preserve"> </w:t>
      </w:r>
      <w:r w:rsidRPr="00DB24D7">
        <w:rPr>
          <w:rFonts w:ascii="Times New Roman" w:hAnsi="Times New Roman" w:cs="Times New Roman"/>
          <w:spacing w:val="-3"/>
        </w:rPr>
        <w:t>the</w:t>
      </w:r>
      <w:r w:rsidRPr="00DB24D7">
        <w:rPr>
          <w:rFonts w:ascii="Times New Roman" w:hAnsi="Times New Roman" w:cs="Times New Roman"/>
          <w:spacing w:val="-7"/>
        </w:rPr>
        <w:t xml:space="preserve"> </w:t>
      </w:r>
      <w:r w:rsidRPr="00DB24D7">
        <w:rPr>
          <w:rFonts w:ascii="Times New Roman" w:hAnsi="Times New Roman" w:cs="Times New Roman"/>
          <w:spacing w:val="-3"/>
        </w:rPr>
        <w:t>rules</w:t>
      </w:r>
      <w:r w:rsidRPr="00DB24D7" w:rsidR="001A6147">
        <w:rPr>
          <w:rFonts w:ascii="Times New Roman" w:hAnsi="Times New Roman" w:cs="Times New Roman"/>
          <w:spacing w:val="-3"/>
        </w:rPr>
        <w:t xml:space="preserve"> </w:t>
      </w:r>
      <w:r w:rsidRPr="00DB24D7">
        <w:rPr>
          <w:rFonts w:ascii="Times New Roman" w:hAnsi="Times New Roman" w:cs="Times New Roman"/>
          <w:spacing w:val="-3"/>
        </w:rPr>
        <w:t>with the following specifications:</w:t>
      </w:r>
      <w:r>
        <w:rPr>
          <w:rStyle w:val="FootnoteReference"/>
          <w:rFonts w:cs="Times New Roman"/>
          <w:spacing w:val="-3"/>
          <w:sz w:val="22"/>
        </w:rPr>
        <w:footnoteReference w:id="47"/>
      </w:r>
    </w:p>
    <w:p w:rsidR="00E97187" w:rsidRPr="00DB24D7" w:rsidP="00E97187" w14:paraId="66F3E3CA" w14:textId="61DD88AE">
      <w:pPr>
        <w:pStyle w:val="BodyText"/>
        <w:tabs>
          <w:tab w:val="left" w:pos="3028"/>
          <w:tab w:val="left" w:pos="4468"/>
          <w:tab w:val="left" w:pos="6629"/>
        </w:tabs>
        <w:spacing w:after="120"/>
        <w:ind w:left="0"/>
        <w:rPr>
          <w:rFonts w:ascii="Times New Roman" w:hAnsi="Times New Roman" w:cs="Times New Roman"/>
        </w:rPr>
      </w:pPr>
      <w:r w:rsidRPr="00DB24D7">
        <w:rPr>
          <w:rFonts w:ascii="Times New Roman" w:hAnsi="Times New Roman" w:cs="Times New Roman"/>
          <w:spacing w:val="-3"/>
          <w:u w:val="single"/>
        </w:rPr>
        <w:t>City</w:t>
      </w:r>
      <w:r w:rsidRPr="00DB24D7">
        <w:rPr>
          <w:rFonts w:ascii="Times New Roman" w:hAnsi="Times New Roman" w:cs="Times New Roman"/>
          <w:spacing w:val="-8"/>
          <w:u w:val="single"/>
        </w:rPr>
        <w:t xml:space="preserve"> </w:t>
      </w:r>
      <w:r w:rsidRPr="00DB24D7">
        <w:rPr>
          <w:rFonts w:ascii="Times New Roman" w:hAnsi="Times New Roman" w:cs="Times New Roman"/>
          <w:spacing w:val="-3"/>
          <w:u w:val="single"/>
        </w:rPr>
        <w:t>and</w:t>
      </w:r>
      <w:r w:rsidRPr="00DB24D7">
        <w:rPr>
          <w:rFonts w:ascii="Times New Roman" w:hAnsi="Times New Roman" w:cs="Times New Roman"/>
          <w:spacing w:val="-5"/>
          <w:u w:val="single"/>
        </w:rPr>
        <w:t xml:space="preserve"> </w:t>
      </w:r>
      <w:r w:rsidRPr="00DB24D7">
        <w:rPr>
          <w:rFonts w:ascii="Times New Roman" w:hAnsi="Times New Roman" w:cs="Times New Roman"/>
          <w:spacing w:val="-4"/>
          <w:u w:val="single"/>
        </w:rPr>
        <w:t>State</w:t>
      </w:r>
      <w:r w:rsidRPr="00DB24D7">
        <w:rPr>
          <w:rFonts w:ascii="Times New Roman" w:hAnsi="Times New Roman" w:cs="Times New Roman"/>
          <w:spacing w:val="-4"/>
        </w:rPr>
        <w:t xml:space="preserve">                   </w:t>
      </w:r>
      <w:r w:rsidRPr="00DB24D7">
        <w:rPr>
          <w:rFonts w:ascii="Times New Roman" w:hAnsi="Times New Roman" w:cs="Times New Roman"/>
          <w:spacing w:val="-3"/>
          <w:u w:val="single"/>
        </w:rPr>
        <w:t>DTV</w:t>
      </w:r>
      <w:r w:rsidRPr="00DB24D7">
        <w:rPr>
          <w:rFonts w:ascii="Times New Roman" w:hAnsi="Times New Roman" w:cs="Times New Roman"/>
          <w:spacing w:val="-6"/>
          <w:u w:val="single"/>
        </w:rPr>
        <w:t xml:space="preserve"> </w:t>
      </w:r>
      <w:r w:rsidRPr="00DB24D7">
        <w:rPr>
          <w:rFonts w:ascii="Times New Roman" w:hAnsi="Times New Roman" w:cs="Times New Roman"/>
          <w:spacing w:val="-4"/>
          <w:u w:val="single"/>
        </w:rPr>
        <w:t>Channel</w:t>
      </w:r>
      <w:r w:rsidRPr="00DB24D7">
        <w:rPr>
          <w:rFonts w:ascii="Times New Roman" w:hAnsi="Times New Roman" w:cs="Times New Roman"/>
          <w:spacing w:val="-4"/>
        </w:rPr>
        <w:t xml:space="preserve">   </w:t>
      </w:r>
      <w:r w:rsidRPr="00DB24D7">
        <w:rPr>
          <w:rFonts w:ascii="Times New Roman" w:hAnsi="Times New Roman" w:cs="Times New Roman"/>
          <w:spacing w:val="-3"/>
          <w:u w:val="single"/>
        </w:rPr>
        <w:t>DTV</w:t>
      </w:r>
      <w:r w:rsidRPr="00DB24D7">
        <w:rPr>
          <w:rFonts w:ascii="Times New Roman" w:hAnsi="Times New Roman" w:cs="Times New Roman"/>
          <w:spacing w:val="-6"/>
          <w:u w:val="single"/>
        </w:rPr>
        <w:t xml:space="preserve"> </w:t>
      </w:r>
      <w:r w:rsidRPr="00DB24D7">
        <w:rPr>
          <w:rFonts w:ascii="Times New Roman" w:hAnsi="Times New Roman" w:cs="Times New Roman"/>
          <w:spacing w:val="-4"/>
          <w:u w:val="single"/>
        </w:rPr>
        <w:t>Power</w:t>
      </w:r>
      <w:r w:rsidRPr="00DB24D7">
        <w:rPr>
          <w:rFonts w:ascii="Times New Roman" w:hAnsi="Times New Roman" w:cs="Times New Roman"/>
          <w:spacing w:val="-7"/>
          <w:u w:val="single"/>
        </w:rPr>
        <w:t xml:space="preserve"> </w:t>
      </w:r>
      <w:r w:rsidRPr="00DB24D7">
        <w:rPr>
          <w:rFonts w:ascii="Times New Roman" w:hAnsi="Times New Roman" w:cs="Times New Roman"/>
          <w:spacing w:val="-3"/>
          <w:u w:val="single"/>
        </w:rPr>
        <w:t>(</w:t>
      </w:r>
      <w:r w:rsidRPr="00DB24D7" w:rsidR="00064BDF">
        <w:rPr>
          <w:rFonts w:ascii="Times New Roman" w:hAnsi="Times New Roman" w:cs="Times New Roman"/>
          <w:spacing w:val="-3"/>
          <w:u w:val="single"/>
        </w:rPr>
        <w:t>kW</w:t>
      </w:r>
      <w:r w:rsidRPr="00DB24D7" w:rsidR="00941655">
        <w:rPr>
          <w:rFonts w:ascii="Times New Roman" w:hAnsi="Times New Roman" w:cs="Times New Roman"/>
          <w:spacing w:val="-3"/>
          <w:u w:val="single"/>
        </w:rPr>
        <w:t>)</w:t>
      </w:r>
      <w:r w:rsidRPr="00DB24D7" w:rsidR="00941655">
        <w:rPr>
          <w:rFonts w:ascii="Times New Roman" w:hAnsi="Times New Roman" w:cs="Times New Roman"/>
          <w:spacing w:val="-3"/>
        </w:rPr>
        <w:t xml:space="preserve">    </w:t>
      </w:r>
      <w:r w:rsidRPr="00DB24D7" w:rsidR="00941655">
        <w:rPr>
          <w:rFonts w:ascii="Times New Roman" w:hAnsi="Times New Roman" w:cs="Times New Roman"/>
          <w:spacing w:val="-3"/>
          <w:u w:val="single"/>
        </w:rPr>
        <w:t>Antenna</w:t>
      </w:r>
      <w:r w:rsidRPr="00DB24D7" w:rsidR="00064BDF">
        <w:rPr>
          <w:rFonts w:ascii="Times New Roman" w:hAnsi="Times New Roman" w:cs="Times New Roman"/>
          <w:spacing w:val="-3"/>
          <w:u w:val="single"/>
        </w:rPr>
        <w:t xml:space="preserve"> </w:t>
      </w:r>
      <w:r w:rsidRPr="00DB24D7">
        <w:rPr>
          <w:rFonts w:ascii="Times New Roman" w:hAnsi="Times New Roman" w:cs="Times New Roman"/>
          <w:spacing w:val="-7"/>
          <w:u w:val="single"/>
        </w:rPr>
        <w:t xml:space="preserve"> </w:t>
      </w:r>
      <w:r w:rsidRPr="00DB24D7">
        <w:rPr>
          <w:rFonts w:ascii="Times New Roman" w:hAnsi="Times New Roman" w:cs="Times New Roman"/>
          <w:spacing w:val="-3"/>
          <w:u w:val="single"/>
        </w:rPr>
        <w:t>HAAT</w:t>
      </w:r>
      <w:r w:rsidRPr="00DB24D7">
        <w:rPr>
          <w:rFonts w:ascii="Times New Roman" w:hAnsi="Times New Roman" w:cs="Times New Roman"/>
          <w:spacing w:val="-8"/>
          <w:u w:val="single"/>
        </w:rPr>
        <w:t xml:space="preserve"> </w:t>
      </w:r>
      <w:r w:rsidRPr="00DB24D7">
        <w:rPr>
          <w:rFonts w:ascii="Times New Roman" w:hAnsi="Times New Roman" w:cs="Times New Roman"/>
          <w:spacing w:val="-3"/>
          <w:u w:val="single"/>
        </w:rPr>
        <w:t>(m)</w:t>
      </w:r>
      <w:r w:rsidRPr="00DB24D7">
        <w:rPr>
          <w:rFonts w:ascii="Times New Roman" w:hAnsi="Times New Roman" w:cs="Times New Roman"/>
          <w:spacing w:val="-3"/>
        </w:rPr>
        <w:t xml:space="preserve">   </w:t>
      </w:r>
      <w:r w:rsidRPr="00DB24D7">
        <w:rPr>
          <w:rFonts w:ascii="Times New Roman" w:hAnsi="Times New Roman" w:cs="Times New Roman"/>
          <w:spacing w:val="-3"/>
          <w:u w:val="single"/>
        </w:rPr>
        <w:t>DTV Service Pop.</w:t>
      </w:r>
      <w:r w:rsidRPr="00DB24D7">
        <w:rPr>
          <w:rFonts w:ascii="Times New Roman" w:hAnsi="Times New Roman" w:cs="Times New Roman"/>
          <w:spacing w:val="-3"/>
        </w:rPr>
        <w:t xml:space="preserve"> </w:t>
      </w:r>
    </w:p>
    <w:p w:rsidR="00E97187" w:rsidRPr="003D1FF7" w:rsidP="00D77BE9" w14:paraId="2544EE27" w14:textId="76A9EC7E">
      <w:pPr>
        <w:pStyle w:val="BodyText"/>
        <w:tabs>
          <w:tab w:val="left" w:pos="3748"/>
          <w:tab w:val="left" w:pos="5189"/>
          <w:tab w:val="right" w:pos="7126"/>
        </w:tabs>
        <w:spacing w:after="220"/>
        <w:ind w:left="0"/>
        <w:rPr>
          <w:rFonts w:ascii="Times New Roman" w:hAnsi="Times New Roman" w:cs="Times New Roman"/>
        </w:rPr>
      </w:pPr>
      <w:r w:rsidRPr="003D1FF7">
        <w:rPr>
          <w:rFonts w:ascii="Times New Roman" w:hAnsi="Times New Roman" w:cs="Times New Roman"/>
          <w:spacing w:val="-1"/>
        </w:rPr>
        <w:t>Tulsa, Oklahoma</w:t>
      </w:r>
      <w:r w:rsidRPr="003D1FF7" w:rsidR="00F86933">
        <w:rPr>
          <w:rFonts w:ascii="Times New Roman" w:hAnsi="Times New Roman" w:cs="Times New Roman"/>
          <w:spacing w:val="-1"/>
        </w:rPr>
        <w:t xml:space="preserve">           </w:t>
      </w:r>
      <w:r w:rsidRPr="003D1FF7" w:rsidR="001B628B">
        <w:rPr>
          <w:rFonts w:ascii="Times New Roman" w:hAnsi="Times New Roman" w:cs="Times New Roman"/>
          <w:spacing w:val="-1"/>
        </w:rPr>
        <w:t xml:space="preserve">    </w:t>
      </w:r>
      <w:r w:rsidRPr="003D1FF7" w:rsidR="001B10DB">
        <w:rPr>
          <w:rFonts w:ascii="Times New Roman" w:hAnsi="Times New Roman" w:cs="Times New Roman"/>
        </w:rPr>
        <w:t>1</w:t>
      </w:r>
      <w:r w:rsidRPr="003D1FF7" w:rsidR="002069AD">
        <w:rPr>
          <w:rFonts w:ascii="Times New Roman" w:hAnsi="Times New Roman" w:cs="Times New Roman"/>
        </w:rPr>
        <w:t>4</w:t>
      </w:r>
      <w:r w:rsidRPr="003D1FF7" w:rsidR="00F86933">
        <w:rPr>
          <w:rFonts w:ascii="Times New Roman" w:hAnsi="Times New Roman" w:cs="Times New Roman"/>
        </w:rPr>
        <w:t xml:space="preserve">                  </w:t>
      </w:r>
      <w:r w:rsidRPr="003D1FF7" w:rsidR="00941655">
        <w:rPr>
          <w:rFonts w:ascii="Times New Roman" w:hAnsi="Times New Roman" w:cs="Times New Roman"/>
        </w:rPr>
        <w:t xml:space="preserve">  </w:t>
      </w:r>
      <w:r w:rsidRPr="003D1FF7" w:rsidR="00F86933">
        <w:rPr>
          <w:rFonts w:ascii="Times New Roman" w:hAnsi="Times New Roman" w:cs="Times New Roman"/>
        </w:rPr>
        <w:t xml:space="preserve">1000                      </w:t>
      </w:r>
      <w:r w:rsidRPr="003D1FF7" w:rsidR="001B10DB">
        <w:rPr>
          <w:rFonts w:ascii="Times New Roman" w:hAnsi="Times New Roman" w:cs="Times New Roman"/>
        </w:rPr>
        <w:t xml:space="preserve">       </w:t>
      </w:r>
      <w:r w:rsidRPr="003D1FF7" w:rsidR="001B628B">
        <w:rPr>
          <w:rFonts w:ascii="Times New Roman" w:hAnsi="Times New Roman" w:cs="Times New Roman"/>
        </w:rPr>
        <w:t>578</w:t>
      </w:r>
      <w:r w:rsidRPr="003D1FF7" w:rsidR="00F86933">
        <w:rPr>
          <w:rFonts w:ascii="Times New Roman" w:hAnsi="Times New Roman" w:cs="Times New Roman"/>
        </w:rPr>
        <w:t xml:space="preserve">                         </w:t>
      </w:r>
      <w:r w:rsidRPr="003D1FF7" w:rsidR="00D950E0">
        <w:rPr>
          <w:rFonts w:ascii="Times New Roman" w:hAnsi="Times New Roman" w:cs="Times New Roman"/>
        </w:rPr>
        <w:t>1,517,424</w:t>
      </w:r>
      <w:r w:rsidRPr="003D1FF7" w:rsidR="00F86933">
        <w:rPr>
          <w:rFonts w:ascii="Times New Roman" w:hAnsi="Times New Roman" w:cs="Times New Roman"/>
        </w:rPr>
        <w:t xml:space="preserve">  </w:t>
      </w:r>
    </w:p>
    <w:p w:rsidR="002D2555" w:rsidRPr="00DB24D7" w:rsidP="00964269" w14:paraId="745A2290" w14:textId="59E68992">
      <w:pPr>
        <w:pStyle w:val="ParaNum"/>
        <w:rPr>
          <w:rFonts w:ascii="Times New Roman" w:hAnsi="Times New Roman" w:cs="Times New Roman"/>
        </w:rPr>
      </w:pPr>
      <w:r w:rsidRPr="00DB24D7">
        <w:rPr>
          <w:rFonts w:ascii="Times New Roman" w:hAnsi="Times New Roman" w:cs="Times New Roman"/>
        </w:rPr>
        <w:t xml:space="preserve">In view of the foregoing, we conclude that the Licensee’s proposal to substitute channel 14 for channel 10 at Tulsa, Oklahoma meets the Commission’s technical and interference rules, and that grant would serve the public interest.  </w:t>
      </w:r>
    </w:p>
    <w:p w:rsidR="00757308" w:rsidRPr="00154D44" w:rsidP="00757308" w14:paraId="5B44F64C" w14:textId="6B665C11">
      <w:pPr>
        <w:pStyle w:val="Heading1"/>
      </w:pPr>
      <w:r w:rsidRPr="00154D44">
        <w:t>ordering clauses.</w:t>
      </w:r>
    </w:p>
    <w:p w:rsidR="00757308" w:rsidRPr="00641051" w:rsidP="00757308" w14:paraId="495CF3E3" w14:textId="5F828E7B">
      <w:pPr>
        <w:pStyle w:val="ParaNum"/>
      </w:pPr>
      <w:r w:rsidRPr="00DB24D7">
        <w:rPr>
          <w:rFonts w:ascii="Times New Roman" w:hAnsi="Times New Roman" w:cs="Times New Roman"/>
        </w:rPr>
        <w:t xml:space="preserve">Accordingly, </w:t>
      </w:r>
      <w:r w:rsidRPr="00DB24D7">
        <w:rPr>
          <w:rFonts w:ascii="Times New Roman" w:hAnsi="Times New Roman" w:cs="Times New Roman"/>
          <w:b/>
          <w:bCs/>
        </w:rPr>
        <w:t>IT IS ORDERED</w:t>
      </w:r>
      <w:r w:rsidRPr="00DB24D7">
        <w:rPr>
          <w:rFonts w:ascii="Times New Roman" w:hAnsi="Times New Roman" w:cs="Times New Roman"/>
        </w:rPr>
        <w:t xml:space="preserve">, That the Opposition Comments of The Land Mobile Communication Council </w:t>
      </w:r>
      <w:r w:rsidRPr="00DB24D7" w:rsidR="00FE2FCA">
        <w:rPr>
          <w:rFonts w:ascii="Times New Roman" w:hAnsi="Times New Roman" w:cs="Times New Roman"/>
          <w:b/>
          <w:bCs/>
        </w:rPr>
        <w:t>ARE</w:t>
      </w:r>
      <w:r w:rsidRPr="00DB24D7">
        <w:rPr>
          <w:rFonts w:ascii="Times New Roman" w:hAnsi="Times New Roman" w:cs="Times New Roman"/>
          <w:b/>
          <w:bCs/>
        </w:rPr>
        <w:t xml:space="preserve"> HEREBY DENIED</w:t>
      </w:r>
      <w:r>
        <w:t>.</w:t>
      </w:r>
    </w:p>
    <w:p w:rsidR="00E97187" w:rsidRPr="00DB24D7" w:rsidP="00E97187" w14:paraId="60710B3C" w14:textId="24DC1870">
      <w:pPr>
        <w:pStyle w:val="ParaNum"/>
        <w:rPr>
          <w:rFonts w:ascii="Times New Roman" w:hAnsi="Times New Roman" w:cs="Times New Roman"/>
        </w:rPr>
      </w:pPr>
      <w:r w:rsidRPr="00E25A83">
        <w:rPr>
          <w:b/>
          <w:bCs/>
        </w:rPr>
        <w:t xml:space="preserve">  </w:t>
      </w:r>
      <w:r w:rsidRPr="00DB24D7" w:rsidR="00FE2FCA">
        <w:rPr>
          <w:rFonts w:ascii="Times New Roman" w:hAnsi="Times New Roman" w:cs="Times New Roman"/>
        </w:rPr>
        <w:t>P</w:t>
      </w:r>
      <w:r w:rsidRPr="00DB24D7" w:rsidR="00F86933">
        <w:rPr>
          <w:rFonts w:ascii="Times New Roman" w:hAnsi="Times New Roman" w:cs="Times New Roman"/>
        </w:rPr>
        <w:t>ursuant to the authority contained in sections 4(</w:t>
      </w:r>
      <w:r w:rsidRPr="00DB24D7" w:rsidR="00F86933">
        <w:rPr>
          <w:rFonts w:ascii="Times New Roman" w:hAnsi="Times New Roman" w:cs="Times New Roman"/>
        </w:rPr>
        <w:t>i</w:t>
      </w:r>
      <w:r w:rsidRPr="00DB24D7" w:rsidR="00F86933">
        <w:rPr>
          <w:rFonts w:ascii="Times New Roman" w:hAnsi="Times New Roman" w:cs="Times New Roman"/>
        </w:rPr>
        <w:t>), 5(c)(1), 303(g) and (r) and 307(b) of the Communications Act of 1934, as amended,</w:t>
      </w:r>
      <w:r w:rsidRPr="00DB24D7" w:rsidR="006409B6">
        <w:rPr>
          <w:rFonts w:ascii="Times New Roman" w:hAnsi="Times New Roman" w:cs="Times New Roman"/>
        </w:rPr>
        <w:t xml:space="preserve"> 47 U.S.C. §§ 154(</w:t>
      </w:r>
      <w:r w:rsidRPr="00DB24D7" w:rsidR="006409B6">
        <w:rPr>
          <w:rFonts w:ascii="Times New Roman" w:hAnsi="Times New Roman" w:cs="Times New Roman"/>
        </w:rPr>
        <w:t>i</w:t>
      </w:r>
      <w:r w:rsidRPr="00DB24D7" w:rsidR="006409B6">
        <w:rPr>
          <w:rFonts w:ascii="Times New Roman" w:hAnsi="Times New Roman" w:cs="Times New Roman"/>
        </w:rPr>
        <w:t>), 155(c)(1), 303(g), (r), and 307(b)</w:t>
      </w:r>
      <w:r w:rsidRPr="00DB24D7" w:rsidR="00EC5F55">
        <w:rPr>
          <w:rFonts w:ascii="Times New Roman" w:hAnsi="Times New Roman" w:cs="Times New Roman"/>
        </w:rPr>
        <w:t>,</w:t>
      </w:r>
      <w:r w:rsidRPr="00DB24D7" w:rsidR="006409B6">
        <w:rPr>
          <w:rFonts w:ascii="Times New Roman" w:hAnsi="Times New Roman" w:cs="Times New Roman"/>
        </w:rPr>
        <w:t xml:space="preserve"> </w:t>
      </w:r>
      <w:r w:rsidRPr="00DB24D7" w:rsidR="00F86933">
        <w:rPr>
          <w:rFonts w:ascii="Times New Roman" w:hAnsi="Times New Roman" w:cs="Times New Roman"/>
        </w:rPr>
        <w:t xml:space="preserve">and sections 0.61, 0.204(b) and 0.283 of the Commission’s rules, </w:t>
      </w:r>
      <w:r w:rsidRPr="00DB24D7" w:rsidR="006409B6">
        <w:rPr>
          <w:rFonts w:ascii="Times New Roman" w:hAnsi="Times New Roman" w:cs="Times New Roman"/>
        </w:rPr>
        <w:t xml:space="preserve">47 CFR §§ 0.61, 0.204(b), and 0.283, </w:t>
      </w:r>
      <w:r w:rsidRPr="00DB24D7" w:rsidR="00F86933">
        <w:rPr>
          <w:rFonts w:ascii="Times New Roman" w:hAnsi="Times New Roman" w:cs="Times New Roman"/>
          <w:b/>
          <w:bCs/>
        </w:rPr>
        <w:t xml:space="preserve">IT IS </w:t>
      </w:r>
      <w:r w:rsidRPr="00DB24D7" w:rsidR="00FE2FCA">
        <w:rPr>
          <w:rFonts w:ascii="Times New Roman" w:hAnsi="Times New Roman" w:cs="Times New Roman"/>
          <w:b/>
          <w:bCs/>
        </w:rPr>
        <w:t xml:space="preserve">FURTHER </w:t>
      </w:r>
      <w:r w:rsidRPr="00DB24D7" w:rsidR="00F86933">
        <w:rPr>
          <w:rFonts w:ascii="Times New Roman" w:hAnsi="Times New Roman" w:cs="Times New Roman"/>
          <w:b/>
          <w:bCs/>
        </w:rPr>
        <w:t>ORDERED</w:t>
      </w:r>
      <w:r w:rsidRPr="00DB24D7" w:rsidR="00F86933">
        <w:rPr>
          <w:rFonts w:ascii="Times New Roman" w:hAnsi="Times New Roman" w:cs="Times New Roman"/>
        </w:rPr>
        <w:t>,</w:t>
      </w:r>
      <w:r w:rsidRPr="00DB24D7" w:rsidR="00997909">
        <w:rPr>
          <w:rFonts w:ascii="Times New Roman" w:hAnsi="Times New Roman" w:cs="Times New Roman"/>
          <w:spacing w:val="-3"/>
        </w:rPr>
        <w:t xml:space="preserve"> That effective 30 days after the date of publication of this Report and Order in the Federal Register, the DTV Table of Allotments, Section 73.622(</w:t>
      </w:r>
      <w:r w:rsidRPr="00DB24D7" w:rsidR="00997909">
        <w:rPr>
          <w:rFonts w:ascii="Times New Roman" w:hAnsi="Times New Roman" w:cs="Times New Roman"/>
          <w:spacing w:val="-3"/>
        </w:rPr>
        <w:t>i</w:t>
      </w:r>
      <w:r w:rsidRPr="00DB24D7" w:rsidR="00997909">
        <w:rPr>
          <w:rFonts w:ascii="Times New Roman" w:hAnsi="Times New Roman" w:cs="Times New Roman"/>
          <w:spacing w:val="-3"/>
        </w:rPr>
        <w:t>) of the Commission’s rules</w:t>
      </w:r>
      <w:r w:rsidRPr="00DB24D7" w:rsidR="00F86933">
        <w:rPr>
          <w:rFonts w:ascii="Times New Roman" w:hAnsi="Times New Roman" w:cs="Times New Roman"/>
        </w:rPr>
        <w:t>, 47 CFR § 73.622(</w:t>
      </w:r>
      <w:r w:rsidRPr="00DB24D7" w:rsidR="00F86933">
        <w:rPr>
          <w:rFonts w:ascii="Times New Roman" w:hAnsi="Times New Roman" w:cs="Times New Roman"/>
        </w:rPr>
        <w:t>i</w:t>
      </w:r>
      <w:r w:rsidRPr="00DB24D7" w:rsidR="00F86933">
        <w:rPr>
          <w:rFonts w:ascii="Times New Roman" w:hAnsi="Times New Roman" w:cs="Times New Roman"/>
        </w:rPr>
        <w:t xml:space="preserve">), </w:t>
      </w:r>
      <w:r w:rsidRPr="00DB24D7" w:rsidR="00F86933">
        <w:rPr>
          <w:rFonts w:ascii="Times New Roman" w:hAnsi="Times New Roman" w:cs="Times New Roman"/>
          <w:b/>
          <w:bCs/>
        </w:rPr>
        <w:t>IS AMENDED</w:t>
      </w:r>
      <w:r w:rsidRPr="00DB24D7" w:rsidR="00F86933">
        <w:rPr>
          <w:rFonts w:ascii="Times New Roman" w:hAnsi="Times New Roman" w:cs="Times New Roman"/>
        </w:rPr>
        <w:t>, with respect to the community listed below, to read as follows:</w:t>
      </w:r>
    </w:p>
    <w:p w:rsidR="00E97187" w:rsidRPr="00DB24D7" w:rsidP="00F665D0" w14:paraId="6BC8D80F" w14:textId="77777777">
      <w:pPr>
        <w:pStyle w:val="BodyText"/>
        <w:keepNext/>
        <w:keepLines/>
        <w:tabs>
          <w:tab w:val="left" w:pos="2339"/>
          <w:tab w:val="left" w:pos="3008"/>
          <w:tab w:val="left" w:pos="4499"/>
          <w:tab w:val="left" w:pos="5169"/>
          <w:tab w:val="left" w:pos="6659"/>
        </w:tabs>
        <w:spacing w:after="120"/>
        <w:ind w:left="0"/>
        <w:rPr>
          <w:rFonts w:ascii="Times New Roman" w:hAnsi="Times New Roman" w:cs="Times New Roman"/>
        </w:rPr>
      </w:pPr>
      <w:r w:rsidRPr="00DB24D7">
        <w:rPr>
          <w:rFonts w:ascii="Times New Roman" w:hAnsi="Times New Roman" w:cs="Times New Roman"/>
          <w:spacing w:val="-3"/>
          <w:u w:val="single" w:color="000000"/>
        </w:rPr>
        <w:t>City</w:t>
      </w:r>
      <w:r w:rsidRPr="00DB24D7">
        <w:rPr>
          <w:rFonts w:ascii="Times New Roman" w:hAnsi="Times New Roman" w:cs="Times New Roman"/>
          <w:spacing w:val="-8"/>
          <w:u w:val="single" w:color="000000"/>
        </w:rPr>
        <w:t xml:space="preserve"> </w:t>
      </w:r>
      <w:r w:rsidRPr="00DB24D7">
        <w:rPr>
          <w:rFonts w:ascii="Times New Roman" w:hAnsi="Times New Roman" w:cs="Times New Roman"/>
          <w:spacing w:val="-3"/>
          <w:u w:val="single" w:color="000000"/>
        </w:rPr>
        <w:t>and</w:t>
      </w:r>
      <w:r w:rsidRPr="00DB24D7">
        <w:rPr>
          <w:rFonts w:ascii="Times New Roman" w:hAnsi="Times New Roman" w:cs="Times New Roman"/>
          <w:spacing w:val="-5"/>
          <w:u w:val="single" w:color="000000"/>
        </w:rPr>
        <w:t xml:space="preserve"> </w:t>
      </w:r>
      <w:r w:rsidRPr="00DB24D7">
        <w:rPr>
          <w:rFonts w:ascii="Times New Roman" w:hAnsi="Times New Roman" w:cs="Times New Roman"/>
          <w:spacing w:val="-4"/>
          <w:u w:val="single" w:color="000000"/>
        </w:rPr>
        <w:t>State</w:t>
      </w:r>
      <w:r w:rsidRPr="00DB24D7">
        <w:rPr>
          <w:rFonts w:ascii="Times New Roman" w:hAnsi="Times New Roman" w:cs="Times New Roman"/>
          <w:spacing w:val="-4"/>
        </w:rPr>
        <w:tab/>
      </w:r>
      <w:r w:rsidRPr="00DB24D7">
        <w:rPr>
          <w:rFonts w:ascii="Times New Roman" w:hAnsi="Times New Roman" w:cs="Times New Roman"/>
          <w:spacing w:val="-4"/>
        </w:rPr>
        <w:tab/>
      </w:r>
      <w:r w:rsidRPr="00DB24D7">
        <w:rPr>
          <w:rFonts w:ascii="Times New Roman" w:hAnsi="Times New Roman" w:cs="Times New Roman"/>
          <w:spacing w:val="-3"/>
          <w:u w:val="single" w:color="000000"/>
        </w:rPr>
        <w:t>Channel No.</w:t>
      </w:r>
      <w:r w:rsidRPr="00DB24D7">
        <w:rPr>
          <w:rFonts w:ascii="Times New Roman" w:hAnsi="Times New Roman" w:cs="Times New Roman"/>
          <w:spacing w:val="-3"/>
        </w:rPr>
        <w:tab/>
      </w:r>
      <w:r w:rsidRPr="00DB24D7">
        <w:rPr>
          <w:rFonts w:ascii="Times New Roman" w:hAnsi="Times New Roman" w:cs="Times New Roman"/>
          <w:spacing w:val="-3"/>
        </w:rPr>
        <w:tab/>
      </w:r>
    </w:p>
    <w:p w:rsidR="00E97187" w:rsidRPr="00DB24D7" w:rsidP="00F665D0" w14:paraId="13159A6F" w14:textId="732C4114">
      <w:pPr>
        <w:pStyle w:val="BodyText"/>
        <w:keepNext/>
        <w:keepLines/>
        <w:tabs>
          <w:tab w:val="left" w:pos="3728"/>
          <w:tab w:val="right" w:pos="6105"/>
        </w:tabs>
        <w:spacing w:after="220"/>
        <w:ind w:left="0"/>
        <w:rPr>
          <w:rFonts w:ascii="Times New Roman" w:hAnsi="Times New Roman" w:cs="Times New Roman"/>
        </w:rPr>
      </w:pPr>
      <w:r w:rsidRPr="00DB24D7">
        <w:rPr>
          <w:rFonts w:ascii="Times New Roman" w:hAnsi="Times New Roman" w:cs="Times New Roman"/>
          <w:spacing w:val="-4"/>
        </w:rPr>
        <w:t>Tulsa, Oklahoma</w:t>
      </w:r>
      <w:r w:rsidRPr="00DB24D7" w:rsidR="00F86933">
        <w:rPr>
          <w:rFonts w:ascii="Times New Roman" w:hAnsi="Times New Roman" w:cs="Times New Roman"/>
          <w:spacing w:val="-4"/>
        </w:rPr>
        <w:t xml:space="preserve">                        </w:t>
      </w:r>
      <w:r w:rsidRPr="00DB24D7" w:rsidR="001A6147">
        <w:rPr>
          <w:rFonts w:ascii="Times New Roman" w:hAnsi="Times New Roman" w:cs="Times New Roman"/>
          <w:spacing w:val="-4"/>
        </w:rPr>
        <w:t xml:space="preserve">        </w:t>
      </w:r>
      <w:r w:rsidRPr="00DB24D7">
        <w:rPr>
          <w:rFonts w:ascii="Times New Roman" w:hAnsi="Times New Roman" w:cs="Times New Roman"/>
        </w:rPr>
        <w:t>8, *11, 14, 22, 45, 47, 49</w:t>
      </w:r>
    </w:p>
    <w:p w:rsidR="00E97187" w:rsidRPr="00DB24D7" w:rsidP="00E97187" w14:paraId="3ED245DA" w14:textId="20B5A1A8">
      <w:pPr>
        <w:pStyle w:val="ParaNum"/>
        <w:rPr>
          <w:rFonts w:ascii="Times New Roman" w:hAnsi="Times New Roman" w:cs="Times New Roman"/>
        </w:rPr>
      </w:pPr>
      <w:r w:rsidRPr="00DB24D7">
        <w:rPr>
          <w:rFonts w:ascii="Times New Roman" w:hAnsi="Times New Roman" w:cs="Times New Roman"/>
          <w:b/>
          <w:bCs/>
        </w:rPr>
        <w:t>IT IS FURTHER ORDERED</w:t>
      </w:r>
      <w:r w:rsidRPr="00DB24D7">
        <w:rPr>
          <w:rFonts w:ascii="Times New Roman" w:hAnsi="Times New Roman" w:cs="Times New Roman"/>
        </w:rPr>
        <w:t xml:space="preserve">, </w:t>
      </w:r>
      <w:r w:rsidRPr="00DB24D7">
        <w:rPr>
          <w:rFonts w:ascii="Times New Roman" w:hAnsi="Times New Roman" w:cs="Times New Roman"/>
        </w:rPr>
        <w:t>That</w:t>
      </w:r>
      <w:r w:rsidRPr="00DB24D7">
        <w:rPr>
          <w:rFonts w:ascii="Times New Roman" w:hAnsi="Times New Roman" w:cs="Times New Roman"/>
        </w:rPr>
        <w:t xml:space="preserve"> within 30 days of the effective date of this Order, </w:t>
      </w:r>
      <w:r w:rsidRPr="00DB24D7" w:rsidR="00C802E6">
        <w:rPr>
          <w:rFonts w:ascii="Times New Roman" w:hAnsi="Times New Roman" w:cs="Times New Roman"/>
        </w:rPr>
        <w:t>K</w:t>
      </w:r>
      <w:r w:rsidRPr="00DB24D7" w:rsidR="001B628B">
        <w:rPr>
          <w:rFonts w:ascii="Times New Roman" w:hAnsi="Times New Roman" w:cs="Times New Roman"/>
        </w:rPr>
        <w:t>TUL</w:t>
      </w:r>
      <w:r w:rsidRPr="00DB24D7" w:rsidR="00C802E6">
        <w:rPr>
          <w:rFonts w:ascii="Times New Roman" w:hAnsi="Times New Roman" w:cs="Times New Roman"/>
        </w:rPr>
        <w:t xml:space="preserve"> Licensee</w:t>
      </w:r>
      <w:r w:rsidRPr="00DB24D7" w:rsidR="005077A3">
        <w:rPr>
          <w:rFonts w:ascii="Times New Roman" w:hAnsi="Times New Roman" w:cs="Times New Roman"/>
        </w:rPr>
        <w:t xml:space="preserve">, </w:t>
      </w:r>
      <w:r w:rsidRPr="00DB24D7" w:rsidR="00691886">
        <w:rPr>
          <w:rFonts w:ascii="Times New Roman" w:hAnsi="Times New Roman" w:cs="Times New Roman"/>
        </w:rPr>
        <w:t>LLC shall</w:t>
      </w:r>
      <w:r w:rsidRPr="00DB24D7">
        <w:rPr>
          <w:rFonts w:ascii="Times New Roman" w:hAnsi="Times New Roman" w:cs="Times New Roman"/>
        </w:rPr>
        <w:t xml:space="preserve"> submit to the Commission a minor change application for a construction permit (Form 2100, Schedule A) specifying channel </w:t>
      </w:r>
      <w:r w:rsidRPr="00DB24D7" w:rsidR="001B10DB">
        <w:rPr>
          <w:rFonts w:ascii="Times New Roman" w:hAnsi="Times New Roman" w:cs="Times New Roman"/>
        </w:rPr>
        <w:t>1</w:t>
      </w:r>
      <w:r w:rsidRPr="00DB24D7" w:rsidR="001B628B">
        <w:rPr>
          <w:rFonts w:ascii="Times New Roman" w:hAnsi="Times New Roman" w:cs="Times New Roman"/>
        </w:rPr>
        <w:t>4</w:t>
      </w:r>
      <w:r w:rsidRPr="00DB24D7">
        <w:rPr>
          <w:rFonts w:ascii="Times New Roman" w:hAnsi="Times New Roman" w:cs="Times New Roman"/>
        </w:rPr>
        <w:t xml:space="preserve"> in lieu of channel </w:t>
      </w:r>
      <w:r w:rsidRPr="00DB24D7" w:rsidR="00BF0056">
        <w:rPr>
          <w:rFonts w:ascii="Times New Roman" w:hAnsi="Times New Roman" w:cs="Times New Roman"/>
        </w:rPr>
        <w:t>1</w:t>
      </w:r>
      <w:r w:rsidRPr="00DB24D7" w:rsidR="001B628B">
        <w:rPr>
          <w:rFonts w:ascii="Times New Roman" w:hAnsi="Times New Roman" w:cs="Times New Roman"/>
        </w:rPr>
        <w:t>0</w:t>
      </w:r>
      <w:r w:rsidRPr="00DB24D7">
        <w:rPr>
          <w:rFonts w:ascii="Times New Roman" w:hAnsi="Times New Roman" w:cs="Times New Roman"/>
        </w:rPr>
        <w:t>.</w:t>
      </w:r>
      <w:r w:rsidRPr="00DB24D7" w:rsidR="00997909">
        <w:rPr>
          <w:rFonts w:ascii="Times New Roman" w:hAnsi="Times New Roman" w:cs="Times New Roman"/>
        </w:rPr>
        <w:t xml:space="preserve"> </w:t>
      </w:r>
    </w:p>
    <w:p w:rsidR="006409B6" w:rsidRPr="00DB24D7" w:rsidP="006409B6" w14:paraId="23CE9882" w14:textId="77777777">
      <w:pPr>
        <w:pStyle w:val="ParaNum"/>
        <w:rPr>
          <w:rFonts w:ascii="Times New Roman" w:hAnsi="Times New Roman" w:cs="Times New Roman"/>
        </w:rPr>
      </w:pPr>
      <w:r w:rsidRPr="00DB24D7">
        <w:rPr>
          <w:rFonts w:ascii="Times New Roman" w:hAnsi="Times New Roman" w:cs="Times New Roman"/>
          <w:b/>
        </w:rPr>
        <w:t>IT IS FURTHER ORDERED</w:t>
      </w:r>
      <w:r w:rsidRPr="00DB24D7">
        <w:rPr>
          <w:rFonts w:ascii="Times New Roman" w:hAnsi="Times New Roman" w:cs="Times New Roman"/>
          <w:bCs/>
        </w:rPr>
        <w:t>,</w:t>
      </w:r>
      <w:r w:rsidRPr="00DB24D7">
        <w:rPr>
          <w:rFonts w:ascii="Times New Roman" w:hAnsi="Times New Roman" w:cs="Times New Roman"/>
        </w:rPr>
        <w:t xml:space="preserve"> </w:t>
      </w:r>
      <w:r w:rsidRPr="00DB24D7">
        <w:rPr>
          <w:rFonts w:ascii="Times New Roman" w:hAnsi="Times New Roman" w:cs="Times New Roman"/>
        </w:rPr>
        <w:t>That</w:t>
      </w:r>
      <w:r w:rsidRPr="00DB24D7">
        <w:rPr>
          <w:rFonts w:ascii="Times New Roman" w:hAnsi="Times New Roman" w:cs="Times New Roman"/>
        </w:rPr>
        <w:t xml:space="preserve"> pursuant to section 801(a)(1)(A) of the Congressional Review Act, 5 U.S.C. § 801(a)(1)(A), the Commission </w:t>
      </w:r>
      <w:r w:rsidRPr="00DB24D7">
        <w:rPr>
          <w:rFonts w:ascii="Times New Roman" w:hAnsi="Times New Roman" w:cs="Times New Roman"/>
          <w:b/>
        </w:rPr>
        <w:t>SHALL SEND</w:t>
      </w:r>
      <w:r w:rsidRPr="00DB24D7">
        <w:rPr>
          <w:rFonts w:ascii="Times New Roman" w:hAnsi="Times New Roman" w:cs="Times New Roman"/>
        </w:rPr>
        <w:t xml:space="preserve"> a copy of the Order to Congress and to the Government Accountability Office.</w:t>
      </w:r>
    </w:p>
    <w:p w:rsidR="00E97187" w:rsidRPr="00DB24D7" w:rsidP="00E97187" w14:paraId="47BD84AC" w14:textId="1BE53BDC">
      <w:pPr>
        <w:pStyle w:val="ParaNum"/>
        <w:rPr>
          <w:rFonts w:ascii="Times New Roman" w:hAnsi="Times New Roman" w:cs="Times New Roman"/>
        </w:rPr>
      </w:pPr>
      <w:r w:rsidRPr="00DB24D7">
        <w:rPr>
          <w:rFonts w:ascii="Times New Roman" w:hAnsi="Times New Roman" w:cs="Times New Roman"/>
          <w:b/>
          <w:bCs/>
        </w:rPr>
        <w:t>IT IS FURTHER ORDERED</w:t>
      </w:r>
      <w:r w:rsidRPr="00DB24D7" w:rsidR="006409B6">
        <w:rPr>
          <w:rFonts w:ascii="Times New Roman" w:hAnsi="Times New Roman" w:cs="Times New Roman"/>
          <w:b/>
          <w:bCs/>
        </w:rPr>
        <w:t>,</w:t>
      </w:r>
      <w:r w:rsidRPr="00DB24D7">
        <w:rPr>
          <w:rFonts w:ascii="Times New Roman" w:hAnsi="Times New Roman" w:cs="Times New Roman"/>
          <w:b/>
          <w:bCs/>
        </w:rPr>
        <w:t xml:space="preserve"> </w:t>
      </w:r>
      <w:r w:rsidRPr="00DB24D7" w:rsidR="006409B6">
        <w:rPr>
          <w:rFonts w:ascii="Times New Roman" w:hAnsi="Times New Roman" w:cs="Times New Roman"/>
        </w:rPr>
        <w:t>T</w:t>
      </w:r>
      <w:r w:rsidRPr="00DB24D7">
        <w:rPr>
          <w:rFonts w:ascii="Times New Roman" w:hAnsi="Times New Roman" w:cs="Times New Roman"/>
        </w:rPr>
        <w:t>hat</w:t>
      </w:r>
      <w:r w:rsidRPr="00DB24D7">
        <w:rPr>
          <w:rFonts w:ascii="Times New Roman" w:hAnsi="Times New Roman" w:cs="Times New Roman"/>
          <w:b/>
          <w:bCs/>
        </w:rPr>
        <w:t xml:space="preserve"> </w:t>
      </w:r>
      <w:r w:rsidRPr="00DB24D7">
        <w:rPr>
          <w:rFonts w:ascii="Times New Roman" w:hAnsi="Times New Roman" w:cs="Times New Roman"/>
        </w:rPr>
        <w:t>should no petitions for reconsideration</w:t>
      </w:r>
      <w:r w:rsidRPr="00DB24D7" w:rsidR="00D63DBF">
        <w:rPr>
          <w:rFonts w:ascii="Times New Roman" w:hAnsi="Times New Roman" w:cs="Times New Roman"/>
        </w:rPr>
        <w:t>, applications for review,</w:t>
      </w:r>
      <w:r w:rsidRPr="00DB24D7">
        <w:rPr>
          <w:rFonts w:ascii="Times New Roman" w:hAnsi="Times New Roman" w:cs="Times New Roman"/>
        </w:rPr>
        <w:t xml:space="preserve"> or petitions for judicial review be timely filed,</w:t>
      </w:r>
      <w:r w:rsidRPr="00DB24D7">
        <w:rPr>
          <w:rFonts w:ascii="Times New Roman" w:hAnsi="Times New Roman" w:cs="Times New Roman"/>
          <w:b/>
          <w:bCs/>
        </w:rPr>
        <w:t xml:space="preserve"> </w:t>
      </w:r>
      <w:r w:rsidRPr="00DB24D7">
        <w:rPr>
          <w:rFonts w:ascii="Times New Roman" w:hAnsi="Times New Roman" w:cs="Times New Roman"/>
        </w:rPr>
        <w:t>MB Docket No. 2</w:t>
      </w:r>
      <w:r w:rsidRPr="00DB24D7" w:rsidR="00BF0056">
        <w:rPr>
          <w:rFonts w:ascii="Times New Roman" w:hAnsi="Times New Roman" w:cs="Times New Roman"/>
        </w:rPr>
        <w:t>1-</w:t>
      </w:r>
      <w:r w:rsidRPr="00DB24D7" w:rsidR="001B628B">
        <w:rPr>
          <w:rFonts w:ascii="Times New Roman" w:hAnsi="Times New Roman" w:cs="Times New Roman"/>
        </w:rPr>
        <w:t>9</w:t>
      </w:r>
      <w:r w:rsidRPr="00DB24D7" w:rsidR="00C802E6">
        <w:rPr>
          <w:rFonts w:ascii="Times New Roman" w:hAnsi="Times New Roman" w:cs="Times New Roman"/>
        </w:rPr>
        <w:t>, RM-118</w:t>
      </w:r>
      <w:r w:rsidRPr="00DB24D7" w:rsidR="001B628B">
        <w:rPr>
          <w:rFonts w:ascii="Times New Roman" w:hAnsi="Times New Roman" w:cs="Times New Roman"/>
        </w:rPr>
        <w:t>72</w:t>
      </w:r>
      <w:r w:rsidRPr="00DB24D7">
        <w:rPr>
          <w:rFonts w:ascii="Times New Roman" w:hAnsi="Times New Roman" w:cs="Times New Roman"/>
        </w:rPr>
        <w:t xml:space="preserve"> </w:t>
      </w:r>
      <w:r w:rsidRPr="00DB24D7">
        <w:rPr>
          <w:rFonts w:ascii="Times New Roman" w:hAnsi="Times New Roman" w:cs="Times New Roman"/>
          <w:b/>
          <w:bCs/>
        </w:rPr>
        <w:t xml:space="preserve">SHALL BE </w:t>
      </w:r>
      <w:r w:rsidRPr="00DB24D7" w:rsidR="006409B6">
        <w:rPr>
          <w:rFonts w:ascii="Times New Roman" w:hAnsi="Times New Roman" w:cs="Times New Roman"/>
          <w:b/>
          <w:bCs/>
        </w:rPr>
        <w:t>TERMINATED</w:t>
      </w:r>
      <w:r w:rsidRPr="00DB24D7">
        <w:rPr>
          <w:rFonts w:ascii="Times New Roman" w:hAnsi="Times New Roman" w:cs="Times New Roman"/>
          <w:b/>
          <w:bCs/>
        </w:rPr>
        <w:t xml:space="preserve"> </w:t>
      </w:r>
      <w:r w:rsidRPr="00DB24D7">
        <w:rPr>
          <w:rFonts w:ascii="Times New Roman" w:hAnsi="Times New Roman" w:cs="Times New Roman"/>
        </w:rPr>
        <w:t>and its docket closed.</w:t>
      </w:r>
    </w:p>
    <w:p w:rsidR="004A57F0" w:rsidRPr="00DB24D7" w:rsidP="0017296B" w14:paraId="133A63A8" w14:textId="42BEA5A5">
      <w:pPr>
        <w:pStyle w:val="ParaNum"/>
        <w:rPr>
          <w:rFonts w:ascii="Times New Roman" w:hAnsi="Times New Roman" w:cs="Times New Roman"/>
          <w:spacing w:val="-3"/>
        </w:rPr>
      </w:pPr>
      <w:r w:rsidRPr="00DB24D7">
        <w:rPr>
          <w:rFonts w:ascii="Times New Roman" w:hAnsi="Times New Roman" w:cs="Times New Roman"/>
          <w:spacing w:val="-2"/>
        </w:rPr>
        <w:t>For</w:t>
      </w:r>
      <w:r w:rsidRPr="00DB24D7">
        <w:rPr>
          <w:rFonts w:ascii="Times New Roman" w:hAnsi="Times New Roman" w:cs="Times New Roman"/>
          <w:spacing w:val="-7"/>
        </w:rPr>
        <w:t xml:space="preserve"> </w:t>
      </w:r>
      <w:r w:rsidRPr="00DB24D7">
        <w:rPr>
          <w:rFonts w:ascii="Times New Roman" w:hAnsi="Times New Roman" w:cs="Times New Roman"/>
        </w:rPr>
        <w:t>further</w:t>
      </w:r>
      <w:r w:rsidRPr="00DB24D7">
        <w:rPr>
          <w:rFonts w:ascii="Times New Roman" w:hAnsi="Times New Roman" w:cs="Times New Roman"/>
          <w:spacing w:val="-7"/>
        </w:rPr>
        <w:t xml:space="preserve"> </w:t>
      </w:r>
      <w:r w:rsidRPr="00DB24D7">
        <w:rPr>
          <w:rFonts w:ascii="Times New Roman" w:hAnsi="Times New Roman" w:cs="Times New Roman"/>
        </w:rPr>
        <w:t>information</w:t>
      </w:r>
      <w:r w:rsidRPr="00DB24D7">
        <w:rPr>
          <w:rFonts w:ascii="Times New Roman" w:hAnsi="Times New Roman" w:cs="Times New Roman"/>
          <w:spacing w:val="-8"/>
        </w:rPr>
        <w:t xml:space="preserve"> </w:t>
      </w:r>
      <w:r w:rsidRPr="00DB24D7">
        <w:rPr>
          <w:rFonts w:ascii="Times New Roman" w:hAnsi="Times New Roman" w:cs="Times New Roman"/>
        </w:rPr>
        <w:t>concerning</w:t>
      </w:r>
      <w:r w:rsidRPr="00DB24D7">
        <w:rPr>
          <w:rFonts w:ascii="Times New Roman" w:hAnsi="Times New Roman" w:cs="Times New Roman"/>
          <w:spacing w:val="-8"/>
        </w:rPr>
        <w:t xml:space="preserve"> </w:t>
      </w:r>
      <w:r w:rsidRPr="00DB24D7">
        <w:rPr>
          <w:rFonts w:ascii="Times New Roman" w:hAnsi="Times New Roman" w:cs="Times New Roman"/>
          <w:spacing w:val="-3"/>
        </w:rPr>
        <w:t>the</w:t>
      </w:r>
      <w:r w:rsidRPr="00DB24D7">
        <w:rPr>
          <w:rFonts w:ascii="Times New Roman" w:hAnsi="Times New Roman" w:cs="Times New Roman"/>
          <w:spacing w:val="-7"/>
        </w:rPr>
        <w:t xml:space="preserve"> </w:t>
      </w:r>
      <w:r w:rsidRPr="00DB24D7">
        <w:rPr>
          <w:rFonts w:ascii="Times New Roman" w:hAnsi="Times New Roman" w:cs="Times New Roman"/>
        </w:rPr>
        <w:t>proceeding</w:t>
      </w:r>
      <w:r w:rsidRPr="00DB24D7">
        <w:rPr>
          <w:rFonts w:ascii="Times New Roman" w:hAnsi="Times New Roman" w:cs="Times New Roman"/>
          <w:spacing w:val="-8"/>
        </w:rPr>
        <w:t xml:space="preserve"> </w:t>
      </w:r>
      <w:r w:rsidRPr="00DB24D7">
        <w:rPr>
          <w:rFonts w:ascii="Times New Roman" w:hAnsi="Times New Roman" w:cs="Times New Roman"/>
          <w:spacing w:val="-3"/>
        </w:rPr>
        <w:t>listed</w:t>
      </w:r>
      <w:r w:rsidRPr="00DB24D7">
        <w:rPr>
          <w:rFonts w:ascii="Times New Roman" w:hAnsi="Times New Roman" w:cs="Times New Roman"/>
          <w:spacing w:val="-7"/>
        </w:rPr>
        <w:t xml:space="preserve"> </w:t>
      </w:r>
      <w:r w:rsidRPr="00DB24D7">
        <w:rPr>
          <w:rFonts w:ascii="Times New Roman" w:hAnsi="Times New Roman" w:cs="Times New Roman"/>
          <w:spacing w:val="-3"/>
        </w:rPr>
        <w:t>above,</w:t>
      </w:r>
      <w:r w:rsidRPr="00DB24D7">
        <w:rPr>
          <w:rFonts w:ascii="Times New Roman" w:hAnsi="Times New Roman" w:cs="Times New Roman"/>
          <w:spacing w:val="-8"/>
        </w:rPr>
        <w:t xml:space="preserve"> </w:t>
      </w:r>
      <w:r w:rsidRPr="00DB24D7">
        <w:rPr>
          <w:rFonts w:ascii="Times New Roman" w:hAnsi="Times New Roman" w:cs="Times New Roman"/>
          <w:spacing w:val="-3"/>
        </w:rPr>
        <w:t>contact</w:t>
      </w:r>
      <w:r w:rsidRPr="00DB24D7">
        <w:rPr>
          <w:rFonts w:ascii="Times New Roman" w:hAnsi="Times New Roman" w:cs="Times New Roman"/>
          <w:spacing w:val="-6"/>
        </w:rPr>
        <w:t xml:space="preserve"> </w:t>
      </w:r>
      <w:r w:rsidRPr="00DB24D7">
        <w:rPr>
          <w:rFonts w:ascii="Times New Roman" w:hAnsi="Times New Roman" w:cs="Times New Roman"/>
          <w:spacing w:val="-3"/>
        </w:rPr>
        <w:t>Joyce</w:t>
      </w:r>
      <w:r w:rsidRPr="00DB24D7">
        <w:rPr>
          <w:rFonts w:ascii="Times New Roman" w:hAnsi="Times New Roman" w:cs="Times New Roman"/>
          <w:spacing w:val="-7"/>
        </w:rPr>
        <w:t xml:space="preserve"> </w:t>
      </w:r>
      <w:r w:rsidRPr="00DB24D7">
        <w:rPr>
          <w:rFonts w:ascii="Times New Roman" w:hAnsi="Times New Roman" w:cs="Times New Roman"/>
          <w:spacing w:val="-2"/>
        </w:rPr>
        <w:t>L.</w:t>
      </w:r>
      <w:r w:rsidRPr="00DB24D7">
        <w:rPr>
          <w:rFonts w:ascii="Times New Roman" w:hAnsi="Times New Roman" w:cs="Times New Roman"/>
          <w:spacing w:val="63"/>
        </w:rPr>
        <w:t xml:space="preserve"> </w:t>
      </w:r>
      <w:r w:rsidRPr="00DB24D7">
        <w:rPr>
          <w:rFonts w:ascii="Times New Roman" w:hAnsi="Times New Roman" w:cs="Times New Roman"/>
        </w:rPr>
        <w:t>Bernstein,</w:t>
      </w:r>
      <w:r w:rsidRPr="00DB24D7">
        <w:rPr>
          <w:rFonts w:ascii="Times New Roman" w:hAnsi="Times New Roman" w:cs="Times New Roman"/>
          <w:spacing w:val="-7"/>
        </w:rPr>
        <w:t xml:space="preserve"> </w:t>
      </w:r>
      <w:r w:rsidRPr="00DB24D7">
        <w:rPr>
          <w:rFonts w:ascii="Times New Roman" w:hAnsi="Times New Roman" w:cs="Times New Roman"/>
        </w:rPr>
        <w:t>Video</w:t>
      </w:r>
      <w:r w:rsidRPr="00DB24D7">
        <w:rPr>
          <w:rFonts w:ascii="Times New Roman" w:hAnsi="Times New Roman" w:cs="Times New Roman"/>
          <w:spacing w:val="-5"/>
        </w:rPr>
        <w:t xml:space="preserve"> </w:t>
      </w:r>
      <w:r w:rsidRPr="00DB24D7">
        <w:rPr>
          <w:rFonts w:ascii="Times New Roman" w:hAnsi="Times New Roman" w:cs="Times New Roman"/>
        </w:rPr>
        <w:t>Division,</w:t>
      </w:r>
      <w:r w:rsidRPr="00DB24D7">
        <w:rPr>
          <w:rFonts w:ascii="Times New Roman" w:hAnsi="Times New Roman" w:cs="Times New Roman"/>
          <w:spacing w:val="-7"/>
        </w:rPr>
        <w:t xml:space="preserve"> </w:t>
      </w:r>
      <w:r w:rsidRPr="00DB24D7">
        <w:rPr>
          <w:rFonts w:ascii="Times New Roman" w:hAnsi="Times New Roman" w:cs="Times New Roman"/>
          <w:spacing w:val="-3"/>
        </w:rPr>
        <w:t>Media</w:t>
      </w:r>
      <w:r w:rsidRPr="00DB24D7">
        <w:rPr>
          <w:rFonts w:ascii="Times New Roman" w:hAnsi="Times New Roman" w:cs="Times New Roman"/>
          <w:spacing w:val="-5"/>
        </w:rPr>
        <w:t xml:space="preserve"> </w:t>
      </w:r>
      <w:r w:rsidRPr="00DB24D7">
        <w:rPr>
          <w:rFonts w:ascii="Times New Roman" w:hAnsi="Times New Roman" w:cs="Times New Roman"/>
        </w:rPr>
        <w:t>Bureau,</w:t>
      </w:r>
      <w:r w:rsidRPr="00DB24D7">
        <w:rPr>
          <w:rFonts w:ascii="Times New Roman" w:hAnsi="Times New Roman" w:cs="Times New Roman"/>
          <w:spacing w:val="-10"/>
        </w:rPr>
        <w:t xml:space="preserve"> </w:t>
      </w:r>
      <w:r w:rsidRPr="00DB24D7">
        <w:rPr>
          <w:rFonts w:ascii="Times New Roman" w:hAnsi="Times New Roman" w:cs="Times New Roman"/>
          <w:spacing w:val="-3"/>
        </w:rPr>
        <w:t>(202)</w:t>
      </w:r>
      <w:r w:rsidRPr="00DB24D7">
        <w:rPr>
          <w:rFonts w:ascii="Times New Roman" w:hAnsi="Times New Roman" w:cs="Times New Roman"/>
          <w:spacing w:val="-7"/>
        </w:rPr>
        <w:t xml:space="preserve"> </w:t>
      </w:r>
      <w:r w:rsidRPr="00DB24D7">
        <w:rPr>
          <w:rFonts w:ascii="Times New Roman" w:hAnsi="Times New Roman" w:cs="Times New Roman"/>
        </w:rPr>
        <w:t>418-1647,</w:t>
      </w:r>
      <w:r w:rsidRPr="00DB24D7">
        <w:rPr>
          <w:rFonts w:ascii="Times New Roman" w:hAnsi="Times New Roman" w:cs="Times New Roman"/>
          <w:spacing w:val="-8"/>
        </w:rPr>
        <w:t xml:space="preserve"> </w:t>
      </w:r>
      <w:hyperlink r:id="rId5" w:history="1">
        <w:r w:rsidRPr="00DB24D7">
          <w:rPr>
            <w:rFonts w:ascii="Times New Roman" w:hAnsi="Times New Roman" w:cs="Times New Roman"/>
          </w:rPr>
          <w:t>Joyce.Bernstein@fcc.gov.</w:t>
        </w:r>
      </w:hyperlink>
    </w:p>
    <w:p w:rsidR="006409B6" w:rsidRPr="00DB24D7" w:rsidP="004A57F0" w14:paraId="70AE8877" w14:textId="57CA9EC9">
      <w:pPr>
        <w:ind w:left="3600" w:firstLine="720"/>
        <w:rPr>
          <w:rFonts w:ascii="Times New Roman" w:hAnsi="Times New Roman" w:cs="Times New Roman"/>
        </w:rPr>
      </w:pPr>
      <w:r w:rsidRPr="00DB24D7">
        <w:rPr>
          <w:rFonts w:ascii="Times New Roman" w:hAnsi="Times New Roman" w:cs="Times New Roman"/>
        </w:rPr>
        <w:t>FEDERAL COMMUNICATIONS COMMISSION</w:t>
      </w:r>
    </w:p>
    <w:p w:rsidR="006409B6" w:rsidP="0017296B" w14:paraId="72B62E38" w14:textId="77777777"/>
    <w:p w:rsidR="006409B6" w:rsidP="0017296B" w14:paraId="2CB76D7B" w14:textId="77777777"/>
    <w:p w:rsidR="006409B6" w:rsidRPr="00D27F55" w:rsidP="00D27F55" w14:paraId="13EFC14F" w14:textId="77777777">
      <w:pPr>
        <w:pStyle w:val="NoSpacing"/>
        <w:rPr>
          <w:rFonts w:ascii="Times New Roman" w:hAnsi="Times New Roman" w:cs="Times New Roman"/>
        </w:rPr>
      </w:pPr>
      <w:r>
        <w:tab/>
      </w:r>
      <w:r>
        <w:tab/>
      </w:r>
      <w:r>
        <w:tab/>
      </w:r>
      <w:r>
        <w:tab/>
      </w:r>
      <w:r>
        <w:tab/>
      </w:r>
      <w:r>
        <w:tab/>
      </w:r>
      <w:r w:rsidRPr="00D27F55">
        <w:rPr>
          <w:rFonts w:ascii="Times New Roman" w:hAnsi="Times New Roman" w:cs="Times New Roman"/>
        </w:rPr>
        <w:t>Barbara A. Kreisman</w:t>
      </w:r>
    </w:p>
    <w:p w:rsidR="006409B6" w:rsidRPr="00D27F55" w:rsidP="00D27F55" w14:paraId="6FD7A676" w14:textId="77777777">
      <w:pPr>
        <w:pStyle w:val="NoSpacing"/>
        <w:rPr>
          <w:rFonts w:ascii="Times New Roman" w:hAnsi="Times New Roman" w:cs="Times New Roman"/>
        </w:rPr>
      </w:pPr>
      <w:r w:rsidRPr="00D27F55">
        <w:rPr>
          <w:rFonts w:ascii="Times New Roman" w:hAnsi="Times New Roman" w:cs="Times New Roman"/>
        </w:rPr>
        <w:tab/>
      </w:r>
      <w:r w:rsidRPr="00D27F55">
        <w:rPr>
          <w:rFonts w:ascii="Times New Roman" w:hAnsi="Times New Roman" w:cs="Times New Roman"/>
        </w:rPr>
        <w:tab/>
      </w:r>
      <w:r w:rsidRPr="00D27F55">
        <w:rPr>
          <w:rFonts w:ascii="Times New Roman" w:hAnsi="Times New Roman" w:cs="Times New Roman"/>
        </w:rPr>
        <w:tab/>
      </w:r>
      <w:r w:rsidRPr="00D27F55">
        <w:rPr>
          <w:rFonts w:ascii="Times New Roman" w:hAnsi="Times New Roman" w:cs="Times New Roman"/>
        </w:rPr>
        <w:tab/>
      </w:r>
      <w:r w:rsidRPr="00D27F55">
        <w:rPr>
          <w:rFonts w:ascii="Times New Roman" w:hAnsi="Times New Roman" w:cs="Times New Roman"/>
        </w:rPr>
        <w:tab/>
      </w:r>
      <w:r w:rsidRPr="00D27F55">
        <w:rPr>
          <w:rFonts w:ascii="Times New Roman" w:hAnsi="Times New Roman" w:cs="Times New Roman"/>
        </w:rPr>
        <w:tab/>
        <w:t>Chief, Video Division</w:t>
      </w:r>
    </w:p>
    <w:p w:rsidR="00412FC5" w:rsidP="00D27F55" w14:paraId="3F19EC40" w14:textId="7580E561">
      <w:pPr>
        <w:pStyle w:val="NoSpacing"/>
        <w:rPr>
          <w:rFonts w:ascii="Times New Roman" w:hAnsi="Times New Roman" w:cs="Times New Roman"/>
        </w:rPr>
      </w:pPr>
      <w:r w:rsidRPr="00D27F55">
        <w:rPr>
          <w:rFonts w:ascii="Times New Roman" w:hAnsi="Times New Roman" w:cs="Times New Roman"/>
        </w:rPr>
        <w:tab/>
      </w:r>
      <w:r w:rsidRPr="00D27F55">
        <w:rPr>
          <w:rFonts w:ascii="Times New Roman" w:hAnsi="Times New Roman" w:cs="Times New Roman"/>
        </w:rPr>
        <w:tab/>
      </w:r>
      <w:r w:rsidRPr="00D27F55">
        <w:rPr>
          <w:rFonts w:ascii="Times New Roman" w:hAnsi="Times New Roman" w:cs="Times New Roman"/>
        </w:rPr>
        <w:tab/>
      </w:r>
      <w:r w:rsidRPr="00D27F55">
        <w:rPr>
          <w:rFonts w:ascii="Times New Roman" w:hAnsi="Times New Roman" w:cs="Times New Roman"/>
        </w:rPr>
        <w:tab/>
      </w:r>
      <w:r w:rsidRPr="00D27F55">
        <w:rPr>
          <w:rFonts w:ascii="Times New Roman" w:hAnsi="Times New Roman" w:cs="Times New Roman"/>
        </w:rPr>
        <w:tab/>
      </w:r>
      <w:r w:rsidRPr="00D27F55">
        <w:rPr>
          <w:rFonts w:ascii="Times New Roman" w:hAnsi="Times New Roman" w:cs="Times New Roman"/>
        </w:rPr>
        <w:tab/>
        <w:t>Media Bureau</w:t>
      </w:r>
    </w:p>
    <w:p w:rsidR="00D27F55" w:rsidRPr="00D27F55" w:rsidP="00D27F55" w14:paraId="6CECAF59" w14:textId="4F0FE5F0"/>
    <w:p w:rsidR="00D27F55" w:rsidRPr="00D27F55" w:rsidP="00D27F55" w14:paraId="2FF504BA" w14:textId="65C3138F"/>
    <w:p w:rsidR="00D27F55" w:rsidRPr="00D27F55" w:rsidP="00D27F55" w14:paraId="07D23370" w14:textId="260C050A"/>
    <w:p w:rsidR="00D27F55" w:rsidRPr="00D27F55" w:rsidP="00D27F55" w14:paraId="362A10B3" w14:textId="06CF621F"/>
    <w:p w:rsidR="00D27F55" w:rsidRPr="00D27F55" w:rsidP="00D27F55" w14:paraId="5CF3F07D" w14:textId="155DD237"/>
    <w:p w:rsidR="00D27F55" w:rsidRPr="00D27F55" w:rsidP="00D27F55" w14:paraId="4B56438C" w14:textId="476A3B35"/>
    <w:p w:rsidR="00D27F55" w:rsidRPr="00D27F55" w:rsidP="00D27F55" w14:paraId="516E48EE" w14:textId="0EF0A2CA"/>
    <w:p w:rsidR="00D27F55" w:rsidRPr="00D27F55" w:rsidP="00D27F55" w14:paraId="40A1C812" w14:textId="19852638"/>
    <w:p w:rsidR="00D27F55" w:rsidRPr="00D27F55" w:rsidP="00D27F55" w14:paraId="2417F75B" w14:textId="46791CB3"/>
    <w:p w:rsidR="00D27F55" w:rsidRPr="00D27F55" w:rsidP="00D27F55" w14:paraId="2F4ED32C" w14:textId="7E081825"/>
    <w:p w:rsidR="00D27F55" w:rsidRPr="00D27F55" w:rsidP="00D27F55" w14:paraId="1793497E" w14:textId="0877189B"/>
    <w:p w:rsidR="00D27F55" w:rsidRPr="00D27F55" w:rsidP="00D27F55" w14:paraId="5BF79DC4" w14:textId="77777777">
      <w:pPr>
        <w:jc w:val="center"/>
      </w:pPr>
    </w:p>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BC6F66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AE7094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D27F55" w:rsidP="00E97187" w14:paraId="36D6C6FD" w14:textId="077185E3">
    <w:pPr>
      <w:pStyle w:val="Footer"/>
      <w:jc w:val="center"/>
      <w:rPr>
        <w:rFonts w:ascii="Times New Roman" w:hAnsi="Times New Roman" w:cs="Times New Roman"/>
      </w:rPr>
    </w:pPr>
    <w:r w:rsidRPr="00D27F55">
      <w:rPr>
        <w:rFonts w:ascii="Times New Roman" w:hAnsi="Times New Roman" w:cs="Times New Roman"/>
      </w:rPr>
      <w:fldChar w:fldCharType="begin"/>
    </w:r>
    <w:r w:rsidRPr="00D27F55">
      <w:rPr>
        <w:rFonts w:ascii="Times New Roman" w:hAnsi="Times New Roman" w:cs="Times New Roman"/>
      </w:rPr>
      <w:instrText xml:space="preserve"> PAGE   \* MERGEFORMAT </w:instrText>
    </w:r>
    <w:r w:rsidRPr="00D27F55">
      <w:rPr>
        <w:rFonts w:ascii="Times New Roman" w:hAnsi="Times New Roman" w:cs="Times New Roman"/>
      </w:rPr>
      <w:fldChar w:fldCharType="separate"/>
    </w:r>
    <w:r w:rsidRPr="00D27F55">
      <w:rPr>
        <w:rFonts w:ascii="Times New Roman" w:hAnsi="Times New Roman" w:cs="Times New Roman"/>
        <w:noProof/>
      </w:rPr>
      <w:t>2</w:t>
    </w:r>
    <w:r w:rsidRPr="00D27F55">
      <w:rPr>
        <w:rFonts w:ascii="Times New Roman" w:hAnsi="Times New Roman" w:cs="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B87173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97187" w14:paraId="60891A5B" w14:textId="77777777">
      <w:r>
        <w:separator/>
      </w:r>
    </w:p>
  </w:footnote>
  <w:footnote w:type="continuationSeparator" w:id="1">
    <w:p w:rsidR="00E97187" w:rsidP="00C721AC" w14:paraId="4E388644" w14:textId="77777777">
      <w:pPr>
        <w:spacing w:before="120"/>
        <w:rPr>
          <w:sz w:val="20"/>
        </w:rPr>
      </w:pPr>
      <w:r>
        <w:rPr>
          <w:sz w:val="20"/>
        </w:rPr>
        <w:t xml:space="preserve">(Continued from previous page)  </w:t>
      </w:r>
      <w:r>
        <w:rPr>
          <w:sz w:val="20"/>
        </w:rPr>
        <w:separator/>
      </w:r>
    </w:p>
  </w:footnote>
  <w:footnote w:type="continuationNotice" w:id="2">
    <w:p w:rsidR="00E97187" w:rsidP="00C721AC" w14:paraId="7EC40D39" w14:textId="77777777">
      <w:pPr>
        <w:jc w:val="right"/>
        <w:rPr>
          <w:sz w:val="20"/>
        </w:rPr>
      </w:pPr>
      <w:r>
        <w:rPr>
          <w:sz w:val="20"/>
        </w:rPr>
        <w:t>(continued….)</w:t>
      </w:r>
    </w:p>
  </w:footnote>
  <w:footnote w:id="3">
    <w:p w:rsidR="00E97187" w:rsidP="00F665D0" w14:paraId="38DC5352" w14:textId="15DD1D49">
      <w:pPr>
        <w:pStyle w:val="FootnoteText"/>
        <w:widowControl w:val="0"/>
      </w:pPr>
      <w:r>
        <w:rPr>
          <w:rStyle w:val="FootnoteReference"/>
        </w:rPr>
        <w:footnoteRef/>
      </w:r>
      <w:r w:rsidRPr="00400001">
        <w:rPr>
          <w:i/>
          <w:iCs/>
        </w:rPr>
        <w:t>Amendment of Section 73.622(</w:t>
      </w:r>
      <w:r w:rsidRPr="00400001">
        <w:rPr>
          <w:i/>
          <w:iCs/>
        </w:rPr>
        <w:t>i</w:t>
      </w:r>
      <w:r w:rsidRPr="00400001">
        <w:rPr>
          <w:i/>
          <w:iCs/>
        </w:rPr>
        <w:t>), Post-Transition Table of DTV Allotments, Television Stations (</w:t>
      </w:r>
      <w:r w:rsidR="00965E3E">
        <w:rPr>
          <w:i/>
          <w:iCs/>
        </w:rPr>
        <w:t>Tulsa, Oklahoma</w:t>
      </w:r>
      <w:r w:rsidRPr="00400001">
        <w:rPr>
          <w:i/>
          <w:iCs/>
        </w:rPr>
        <w:t>)</w:t>
      </w:r>
      <w:r>
        <w:t xml:space="preserve">, </w:t>
      </w:r>
      <w:r w:rsidR="006409B6">
        <w:t>MB Docket No. 2</w:t>
      </w:r>
      <w:r w:rsidR="00752E7E">
        <w:t>1-</w:t>
      </w:r>
      <w:r w:rsidR="00965E3E">
        <w:t>9</w:t>
      </w:r>
      <w:r w:rsidR="006409B6">
        <w:t xml:space="preserve">, </w:t>
      </w:r>
      <w:r>
        <w:t>Notice of Proposed Rulemaking,</w:t>
      </w:r>
      <w:r w:rsidR="00C34A62">
        <w:t xml:space="preserve"> 36 FCC </w:t>
      </w:r>
      <w:r w:rsidR="00C34A62">
        <w:t>Rcd</w:t>
      </w:r>
      <w:r w:rsidR="00C34A62">
        <w:t xml:space="preserve"> 15</w:t>
      </w:r>
      <w:r w:rsidR="00965E3E">
        <w:t>7</w:t>
      </w:r>
      <w:r w:rsidR="00EC2856">
        <w:t xml:space="preserve"> (</w:t>
      </w:r>
      <w:r w:rsidR="00C34A62">
        <w:t>Vid. Div. 2021</w:t>
      </w:r>
      <w:r w:rsidR="00EC2856">
        <w:t>)</w:t>
      </w:r>
      <w:r>
        <w:t xml:space="preserve"> (</w:t>
      </w:r>
      <w:r w:rsidRPr="00400001">
        <w:rPr>
          <w:i/>
          <w:iCs/>
        </w:rPr>
        <w:t>NPRM</w:t>
      </w:r>
      <w:r>
        <w:t>).</w:t>
      </w:r>
    </w:p>
  </w:footnote>
  <w:footnote w:id="4">
    <w:p w:rsidR="00E97187" w:rsidP="00F665D0" w14:paraId="77754AA0" w14:textId="59AA2D38">
      <w:pPr>
        <w:pStyle w:val="FootnoteText"/>
        <w:widowControl w:val="0"/>
      </w:pPr>
      <w:r>
        <w:rPr>
          <w:rStyle w:val="FootnoteReference"/>
        </w:rPr>
        <w:footnoteRef/>
      </w:r>
      <w:r>
        <w:t xml:space="preserve"> As noted in the </w:t>
      </w:r>
      <w:r w:rsidRPr="00400001">
        <w:rPr>
          <w:i/>
          <w:iCs/>
        </w:rPr>
        <w:t>NPRM</w:t>
      </w:r>
      <w:r>
        <w:t>, on</w:t>
      </w:r>
      <w:r>
        <w:rPr>
          <w:spacing w:val="-5"/>
        </w:rPr>
        <w:t xml:space="preserve"> </w:t>
      </w:r>
      <w:r>
        <w:t>April</w:t>
      </w:r>
      <w:r>
        <w:rPr>
          <w:spacing w:val="-6"/>
        </w:rPr>
        <w:t xml:space="preserve"> </w:t>
      </w:r>
      <w:r>
        <w:rPr>
          <w:spacing w:val="-1"/>
        </w:rPr>
        <w:t>13,</w:t>
      </w:r>
      <w:r>
        <w:rPr>
          <w:spacing w:val="-4"/>
        </w:rPr>
        <w:t xml:space="preserve"> </w:t>
      </w:r>
      <w:r>
        <w:t>2017,</w:t>
      </w:r>
      <w:r>
        <w:rPr>
          <w:spacing w:val="-5"/>
        </w:rPr>
        <w:t xml:space="preserve"> </w:t>
      </w:r>
      <w:r>
        <w:rPr>
          <w:spacing w:val="-1"/>
        </w:rPr>
        <w:t>the</w:t>
      </w:r>
      <w:r>
        <w:rPr>
          <w:spacing w:val="-6"/>
        </w:rPr>
        <w:t xml:space="preserve"> </w:t>
      </w:r>
      <w:r>
        <w:rPr>
          <w:spacing w:val="-1"/>
        </w:rPr>
        <w:t>Commission</w:t>
      </w:r>
      <w:r>
        <w:rPr>
          <w:spacing w:val="-4"/>
        </w:rPr>
        <w:t xml:space="preserve"> </w:t>
      </w:r>
      <w:r>
        <w:t>completed</w:t>
      </w:r>
      <w:r>
        <w:rPr>
          <w:spacing w:val="-5"/>
        </w:rPr>
        <w:t xml:space="preserve"> </w:t>
      </w:r>
      <w:r>
        <w:t>the</w:t>
      </w:r>
      <w:r>
        <w:rPr>
          <w:spacing w:val="-5"/>
        </w:rPr>
        <w:t xml:space="preserve"> </w:t>
      </w:r>
      <w:r>
        <w:t>incentive</w:t>
      </w:r>
      <w:r>
        <w:rPr>
          <w:spacing w:val="-8"/>
        </w:rPr>
        <w:t xml:space="preserve"> </w:t>
      </w:r>
      <w:r>
        <w:t>auction</w:t>
      </w:r>
      <w:r>
        <w:rPr>
          <w:spacing w:val="-4"/>
        </w:rPr>
        <w:t xml:space="preserve"> </w:t>
      </w:r>
      <w:r>
        <w:rPr>
          <w:spacing w:val="-1"/>
        </w:rPr>
        <w:t>and</w:t>
      </w:r>
      <w:r>
        <w:rPr>
          <w:spacing w:val="-5"/>
        </w:rPr>
        <w:t xml:space="preserve"> </w:t>
      </w:r>
      <w:r>
        <w:t>broadcast</w:t>
      </w:r>
      <w:r>
        <w:rPr>
          <w:spacing w:val="-6"/>
        </w:rPr>
        <w:t xml:space="preserve"> </w:t>
      </w:r>
      <w:r>
        <w:t>television</w:t>
      </w:r>
      <w:r>
        <w:rPr>
          <w:spacing w:val="-5"/>
        </w:rPr>
        <w:t xml:space="preserve"> </w:t>
      </w:r>
      <w:r>
        <w:t>spectrum</w:t>
      </w:r>
      <w:r>
        <w:rPr>
          <w:spacing w:val="38"/>
          <w:w w:val="99"/>
        </w:rPr>
        <w:t xml:space="preserve"> </w:t>
      </w:r>
      <w:r>
        <w:t>repacking</w:t>
      </w:r>
      <w:r>
        <w:rPr>
          <w:spacing w:val="-5"/>
        </w:rPr>
        <w:t xml:space="preserve"> </w:t>
      </w:r>
      <w:r>
        <w:t>authorized</w:t>
      </w:r>
      <w:r>
        <w:rPr>
          <w:spacing w:val="-3"/>
        </w:rPr>
        <w:t xml:space="preserve"> </w:t>
      </w:r>
      <w:r>
        <w:rPr>
          <w:spacing w:val="-1"/>
        </w:rPr>
        <w:t>by</w:t>
      </w:r>
      <w:r>
        <w:rPr>
          <w:spacing w:val="-4"/>
        </w:rPr>
        <w:t xml:space="preserve"> </w:t>
      </w:r>
      <w:r>
        <w:t>the</w:t>
      </w:r>
      <w:r>
        <w:rPr>
          <w:spacing w:val="-4"/>
        </w:rPr>
        <w:t xml:space="preserve"> </w:t>
      </w:r>
      <w:r>
        <w:t>Spectrum</w:t>
      </w:r>
      <w:r>
        <w:rPr>
          <w:spacing w:val="-3"/>
        </w:rPr>
        <w:t xml:space="preserve"> </w:t>
      </w:r>
      <w:r>
        <w:t>Act, and</w:t>
      </w:r>
      <w:r>
        <w:rPr>
          <w:spacing w:val="44"/>
        </w:rPr>
        <w:t xml:space="preserve"> </w:t>
      </w:r>
      <w:r>
        <w:rPr>
          <w:spacing w:val="-1"/>
        </w:rPr>
        <w:t>the</w:t>
      </w:r>
      <w:r>
        <w:rPr>
          <w:spacing w:val="-4"/>
        </w:rPr>
        <w:t xml:space="preserve"> </w:t>
      </w:r>
      <w:r>
        <w:rPr>
          <w:spacing w:val="-1"/>
        </w:rPr>
        <w:t>post-incentive</w:t>
      </w:r>
      <w:r>
        <w:rPr>
          <w:spacing w:val="-4"/>
        </w:rPr>
        <w:t xml:space="preserve"> </w:t>
      </w:r>
      <w:r>
        <w:t>auction</w:t>
      </w:r>
      <w:r>
        <w:rPr>
          <w:spacing w:val="-6"/>
        </w:rPr>
        <w:t xml:space="preserve"> </w:t>
      </w:r>
      <w:r>
        <w:t>transition</w:t>
      </w:r>
      <w:r>
        <w:rPr>
          <w:spacing w:val="-4"/>
        </w:rPr>
        <w:t xml:space="preserve"> </w:t>
      </w:r>
      <w:r>
        <w:t>period</w:t>
      </w:r>
      <w:r>
        <w:rPr>
          <w:spacing w:val="-4"/>
        </w:rPr>
        <w:t xml:space="preserve"> </w:t>
      </w:r>
      <w:r>
        <w:t>ended</w:t>
      </w:r>
      <w:r>
        <w:rPr>
          <w:spacing w:val="-4"/>
        </w:rPr>
        <w:t xml:space="preserve"> </w:t>
      </w:r>
      <w:r>
        <w:rPr>
          <w:spacing w:val="-1"/>
        </w:rPr>
        <w:t>on</w:t>
      </w:r>
      <w:r>
        <w:rPr>
          <w:spacing w:val="64"/>
          <w:w w:val="99"/>
        </w:rPr>
        <w:t xml:space="preserve"> </w:t>
      </w:r>
      <w:r>
        <w:t>July</w:t>
      </w:r>
      <w:r>
        <w:rPr>
          <w:spacing w:val="-3"/>
        </w:rPr>
        <w:t xml:space="preserve"> </w:t>
      </w:r>
      <w:r>
        <w:t>13,</w:t>
      </w:r>
      <w:r>
        <w:rPr>
          <w:spacing w:val="-6"/>
        </w:rPr>
        <w:t xml:space="preserve"> </w:t>
      </w:r>
      <w:r>
        <w:t>2020.</w:t>
      </w:r>
      <w:r>
        <w:rPr>
          <w:spacing w:val="43"/>
        </w:rPr>
        <w:t xml:space="preserve"> </w:t>
      </w:r>
      <w:r>
        <w:t>The</w:t>
      </w:r>
      <w:r>
        <w:rPr>
          <w:spacing w:val="-3"/>
        </w:rPr>
        <w:t xml:space="preserve"> </w:t>
      </w:r>
      <w:r>
        <w:rPr>
          <w:spacing w:val="-1"/>
        </w:rPr>
        <w:t>Bureau</w:t>
      </w:r>
      <w:r>
        <w:rPr>
          <w:spacing w:val="-3"/>
        </w:rPr>
        <w:t xml:space="preserve"> </w:t>
      </w:r>
      <w:r>
        <w:t>will</w:t>
      </w:r>
      <w:r>
        <w:rPr>
          <w:spacing w:val="-4"/>
        </w:rPr>
        <w:t xml:space="preserve"> </w:t>
      </w:r>
      <w:r>
        <w:t>amend</w:t>
      </w:r>
      <w:r>
        <w:rPr>
          <w:spacing w:val="-3"/>
        </w:rPr>
        <w:t xml:space="preserve"> </w:t>
      </w:r>
      <w:r>
        <w:t>the</w:t>
      </w:r>
      <w:r>
        <w:rPr>
          <w:spacing w:val="-6"/>
        </w:rPr>
        <w:t xml:space="preserve"> </w:t>
      </w:r>
      <w:r>
        <w:t>rules</w:t>
      </w:r>
      <w:r>
        <w:rPr>
          <w:spacing w:val="-5"/>
        </w:rPr>
        <w:t xml:space="preserve"> </w:t>
      </w:r>
      <w:r>
        <w:t>to</w:t>
      </w:r>
      <w:r>
        <w:rPr>
          <w:spacing w:val="-2"/>
        </w:rPr>
        <w:t xml:space="preserve"> </w:t>
      </w:r>
      <w:r>
        <w:rPr>
          <w:spacing w:val="-1"/>
        </w:rPr>
        <w:t>reflect</w:t>
      </w:r>
      <w:r>
        <w:rPr>
          <w:spacing w:val="-4"/>
        </w:rPr>
        <w:t xml:space="preserve"> </w:t>
      </w:r>
      <w:r>
        <w:t>all</w:t>
      </w:r>
      <w:r>
        <w:rPr>
          <w:spacing w:val="-4"/>
        </w:rPr>
        <w:t xml:space="preserve"> </w:t>
      </w:r>
      <w:r>
        <w:t>new</w:t>
      </w:r>
      <w:r>
        <w:rPr>
          <w:spacing w:val="-4"/>
        </w:rPr>
        <w:t xml:space="preserve"> </w:t>
      </w:r>
      <w:r>
        <w:t>full</w:t>
      </w:r>
      <w:r>
        <w:rPr>
          <w:spacing w:val="-4"/>
        </w:rPr>
        <w:t xml:space="preserve"> </w:t>
      </w:r>
      <w:r>
        <w:t>power</w:t>
      </w:r>
      <w:r>
        <w:rPr>
          <w:spacing w:val="-3"/>
        </w:rPr>
        <w:t xml:space="preserve"> </w:t>
      </w:r>
      <w:r>
        <w:rPr>
          <w:spacing w:val="-1"/>
        </w:rPr>
        <w:t>channel</w:t>
      </w:r>
      <w:r>
        <w:rPr>
          <w:spacing w:val="-5"/>
        </w:rPr>
        <w:t xml:space="preserve"> </w:t>
      </w:r>
      <w:r>
        <w:t>assignments</w:t>
      </w:r>
      <w:r>
        <w:rPr>
          <w:spacing w:val="-5"/>
        </w:rPr>
        <w:t xml:space="preserve"> </w:t>
      </w:r>
      <w:r>
        <w:t>in</w:t>
      </w:r>
      <w:r>
        <w:rPr>
          <w:spacing w:val="-3"/>
        </w:rPr>
        <w:t xml:space="preserve"> </w:t>
      </w:r>
      <w:r>
        <w:t>a</w:t>
      </w:r>
      <w:r w:rsidR="00691886">
        <w:t xml:space="preserve"> </w:t>
      </w:r>
      <w:r>
        <w:t>revised</w:t>
      </w:r>
      <w:r>
        <w:rPr>
          <w:spacing w:val="-4"/>
        </w:rPr>
        <w:t xml:space="preserve"> </w:t>
      </w:r>
      <w:r>
        <w:t>Table</w:t>
      </w:r>
      <w:r>
        <w:rPr>
          <w:spacing w:val="-4"/>
        </w:rPr>
        <w:t xml:space="preserve"> </w:t>
      </w:r>
      <w:r>
        <w:rPr>
          <w:spacing w:val="-1"/>
        </w:rPr>
        <w:t>of</w:t>
      </w:r>
      <w:r>
        <w:rPr>
          <w:spacing w:val="-5"/>
        </w:rPr>
        <w:t xml:space="preserve"> </w:t>
      </w:r>
      <w:r>
        <w:t>Allotments, but b</w:t>
      </w:r>
      <w:r>
        <w:rPr>
          <w:spacing w:val="-1"/>
        </w:rPr>
        <w:t>ecause</w:t>
      </w:r>
      <w:r>
        <w:rPr>
          <w:spacing w:val="-5"/>
        </w:rPr>
        <w:t xml:space="preserve"> </w:t>
      </w:r>
      <w:r>
        <w:t>the</w:t>
      </w:r>
      <w:r>
        <w:rPr>
          <w:spacing w:val="-4"/>
        </w:rPr>
        <w:t xml:space="preserve"> </w:t>
      </w:r>
      <w:r>
        <w:t>Table</w:t>
      </w:r>
      <w:r>
        <w:rPr>
          <w:spacing w:val="-5"/>
        </w:rPr>
        <w:t xml:space="preserve"> </w:t>
      </w:r>
      <w:r>
        <w:t>has</w:t>
      </w:r>
      <w:r>
        <w:rPr>
          <w:spacing w:val="-5"/>
        </w:rPr>
        <w:t xml:space="preserve"> </w:t>
      </w:r>
      <w:r>
        <w:t>not</w:t>
      </w:r>
      <w:r>
        <w:rPr>
          <w:spacing w:val="-5"/>
        </w:rPr>
        <w:t xml:space="preserve"> </w:t>
      </w:r>
      <w:r>
        <w:t>yet</w:t>
      </w:r>
      <w:r>
        <w:rPr>
          <w:spacing w:val="-6"/>
        </w:rPr>
        <w:t xml:space="preserve"> </w:t>
      </w:r>
      <w:r>
        <w:rPr>
          <w:spacing w:val="1"/>
        </w:rPr>
        <w:t>been</w:t>
      </w:r>
      <w:r>
        <w:rPr>
          <w:spacing w:val="-4"/>
        </w:rPr>
        <w:t xml:space="preserve"> </w:t>
      </w:r>
      <w:r>
        <w:t>amended,</w:t>
      </w:r>
      <w:r>
        <w:rPr>
          <w:spacing w:val="-4"/>
        </w:rPr>
        <w:t xml:space="preserve"> </w:t>
      </w:r>
      <w:r>
        <w:rPr>
          <w:spacing w:val="-1"/>
        </w:rPr>
        <w:t>the</w:t>
      </w:r>
      <w:r>
        <w:rPr>
          <w:spacing w:val="-5"/>
        </w:rPr>
        <w:t xml:space="preserve"> </w:t>
      </w:r>
      <w:r>
        <w:t>Bureau has</w:t>
      </w:r>
      <w:r>
        <w:rPr>
          <w:spacing w:val="-6"/>
        </w:rPr>
        <w:t xml:space="preserve"> </w:t>
      </w:r>
      <w:r>
        <w:t>continued</w:t>
      </w:r>
      <w:r>
        <w:rPr>
          <w:spacing w:val="-4"/>
        </w:rPr>
        <w:t xml:space="preserve"> </w:t>
      </w:r>
      <w:r>
        <w:t>to</w:t>
      </w:r>
      <w:r>
        <w:rPr>
          <w:spacing w:val="-5"/>
        </w:rPr>
        <w:t xml:space="preserve"> </w:t>
      </w:r>
      <w:r>
        <w:t>refer</w:t>
      </w:r>
      <w:r>
        <w:rPr>
          <w:spacing w:val="46"/>
        </w:rPr>
        <w:t xml:space="preserve"> </w:t>
      </w:r>
      <w:r>
        <w:t>to</w:t>
      </w:r>
      <w:r>
        <w:rPr>
          <w:spacing w:val="-4"/>
        </w:rPr>
        <w:t xml:space="preserve"> </w:t>
      </w:r>
      <w:r>
        <w:t>the</w:t>
      </w:r>
      <w:r>
        <w:rPr>
          <w:spacing w:val="-6"/>
        </w:rPr>
        <w:t xml:space="preserve"> </w:t>
      </w:r>
      <w:r>
        <w:rPr>
          <w:spacing w:val="-1"/>
        </w:rPr>
        <w:t>Post-Transition</w:t>
      </w:r>
      <w:r>
        <w:rPr>
          <w:spacing w:val="-2"/>
        </w:rPr>
        <w:t xml:space="preserve"> </w:t>
      </w:r>
      <w:r>
        <w:rPr>
          <w:spacing w:val="-1"/>
        </w:rPr>
        <w:t>Table</w:t>
      </w:r>
      <w:r>
        <w:rPr>
          <w:spacing w:val="-5"/>
        </w:rPr>
        <w:t xml:space="preserve"> </w:t>
      </w:r>
      <w:r>
        <w:t>of</w:t>
      </w:r>
      <w:r>
        <w:rPr>
          <w:spacing w:val="-3"/>
        </w:rPr>
        <w:t xml:space="preserve"> </w:t>
      </w:r>
      <w:r>
        <w:t>DTV</w:t>
      </w:r>
      <w:r>
        <w:rPr>
          <w:spacing w:val="-5"/>
        </w:rPr>
        <w:t xml:space="preserve"> </w:t>
      </w:r>
      <w:r>
        <w:t>Allotments,</w:t>
      </w:r>
      <w:r>
        <w:rPr>
          <w:spacing w:val="-4"/>
        </w:rPr>
        <w:t xml:space="preserve"> </w:t>
      </w:r>
      <w:r>
        <w:rPr>
          <w:spacing w:val="-1"/>
        </w:rPr>
        <w:t>47</w:t>
      </w:r>
      <w:r>
        <w:rPr>
          <w:spacing w:val="-4"/>
        </w:rPr>
        <w:t xml:space="preserve"> </w:t>
      </w:r>
      <w:r>
        <w:rPr>
          <w:spacing w:val="-1"/>
        </w:rPr>
        <w:t>CFR</w:t>
      </w:r>
      <w:r>
        <w:rPr>
          <w:spacing w:val="-4"/>
        </w:rPr>
        <w:t xml:space="preserve"> </w:t>
      </w:r>
      <w:r>
        <w:t>§</w:t>
      </w:r>
      <w:r>
        <w:rPr>
          <w:spacing w:val="-4"/>
        </w:rPr>
        <w:t xml:space="preserve"> </w:t>
      </w:r>
      <w:r>
        <w:t>73.622(</w:t>
      </w:r>
      <w:r>
        <w:t>i</w:t>
      </w:r>
      <w:r>
        <w:t>)</w:t>
      </w:r>
      <w:r>
        <w:rPr>
          <w:spacing w:val="-6"/>
        </w:rPr>
        <w:t xml:space="preserve"> </w:t>
      </w:r>
      <w:r>
        <w:t>(2018),</w:t>
      </w:r>
      <w:r>
        <w:rPr>
          <w:spacing w:val="-6"/>
        </w:rPr>
        <w:t xml:space="preserve"> </w:t>
      </w:r>
      <w:r>
        <w:t>for</w:t>
      </w:r>
      <w:r>
        <w:rPr>
          <w:spacing w:val="-7"/>
        </w:rPr>
        <w:t xml:space="preserve"> </w:t>
      </w:r>
      <w:r>
        <w:t>the</w:t>
      </w:r>
      <w:r>
        <w:rPr>
          <w:spacing w:val="-3"/>
        </w:rPr>
        <w:t xml:space="preserve"> </w:t>
      </w:r>
      <w:r>
        <w:t>purpose</w:t>
      </w:r>
      <w:r>
        <w:rPr>
          <w:spacing w:val="-5"/>
        </w:rPr>
        <w:t xml:space="preserve"> </w:t>
      </w:r>
      <w:r>
        <w:t>of</w:t>
      </w:r>
      <w:r>
        <w:rPr>
          <w:spacing w:val="-3"/>
        </w:rPr>
        <w:t xml:space="preserve"> </w:t>
      </w:r>
      <w:r>
        <w:t>this</w:t>
      </w:r>
      <w:r w:rsidR="0051167B">
        <w:t xml:space="preserve"> </w:t>
      </w:r>
      <w:r>
        <w:t xml:space="preserve">proceeding.  </w:t>
      </w:r>
      <w:r w:rsidRPr="00CA4457">
        <w:rPr>
          <w:i/>
          <w:iCs/>
        </w:rPr>
        <w:t>See</w:t>
      </w:r>
      <w:r>
        <w:t xml:space="preserve"> </w:t>
      </w:r>
      <w:r w:rsidRPr="00400001">
        <w:rPr>
          <w:i/>
          <w:iCs/>
        </w:rPr>
        <w:t>NPRM</w:t>
      </w:r>
      <w:r w:rsidR="00C34A62">
        <w:t xml:space="preserve">, 36 FCC </w:t>
      </w:r>
      <w:r w:rsidR="00C34A62">
        <w:t>Rcd</w:t>
      </w:r>
      <w:r w:rsidR="00C34A62">
        <w:t xml:space="preserve"> </w:t>
      </w:r>
      <w:r w:rsidR="000709BB">
        <w:t>a</w:t>
      </w:r>
      <w:r w:rsidR="00C34A62">
        <w:t>t 15</w:t>
      </w:r>
      <w:r w:rsidR="007C63F2">
        <w:t>7</w:t>
      </w:r>
      <w:r w:rsidR="00C34A62">
        <w:t>,</w:t>
      </w:r>
      <w:r w:rsidR="006409B6">
        <w:t xml:space="preserve"> </w:t>
      </w:r>
      <w:r>
        <w:t>n.</w:t>
      </w:r>
      <w:r w:rsidR="007C63F2">
        <w:t>1</w:t>
      </w:r>
      <w:r>
        <w:t>.</w:t>
      </w:r>
    </w:p>
  </w:footnote>
  <w:footnote w:id="5">
    <w:p w:rsidR="00E97187" w:rsidP="00F665D0" w14:paraId="69BCD428" w14:textId="7690724A">
      <w:pPr>
        <w:pStyle w:val="FootnoteText"/>
        <w:widowControl w:val="0"/>
      </w:pPr>
      <w:r>
        <w:rPr>
          <w:rStyle w:val="FootnoteReference"/>
        </w:rPr>
        <w:footnoteRef/>
      </w:r>
      <w:r>
        <w:t xml:space="preserve"> 47 CFR §§ 1.415, 1.419; </w:t>
      </w:r>
      <w:r w:rsidRPr="00852F57">
        <w:rPr>
          <w:i/>
          <w:iCs/>
        </w:rPr>
        <w:t>see also</w:t>
      </w:r>
      <w:r w:rsidRPr="00C43C45">
        <w:rPr>
          <w:i/>
          <w:iCs/>
        </w:rPr>
        <w:t xml:space="preserve"> Buffalo, Io</w:t>
      </w:r>
      <w:r>
        <w:rPr>
          <w:i/>
          <w:iCs/>
        </w:rPr>
        <w:t>l</w:t>
      </w:r>
      <w:r w:rsidRPr="00C43C45">
        <w:rPr>
          <w:i/>
          <w:iCs/>
        </w:rPr>
        <w:t>a, Normangee, and Madisonville, Texas</w:t>
      </w:r>
      <w:r w:rsidRPr="00C43C45">
        <w:t xml:space="preserve">, </w:t>
      </w:r>
      <w:r w:rsidR="00EC4DB1">
        <w:t xml:space="preserve">MB Docket No. 07-729, </w:t>
      </w:r>
      <w:r w:rsidRPr="00C43C45">
        <w:t>Report and Order,</w:t>
      </w:r>
      <w:r>
        <w:t xml:space="preserve"> </w:t>
      </w:r>
      <w:r w:rsidRPr="00C43C45">
        <w:t xml:space="preserve">24 FCC </w:t>
      </w:r>
      <w:r w:rsidRPr="00C43C45">
        <w:t>Rcd</w:t>
      </w:r>
      <w:r w:rsidRPr="00C43C45">
        <w:t xml:space="preserve"> 8192, 8194</w:t>
      </w:r>
      <w:r>
        <w:t>, para. 9</w:t>
      </w:r>
      <w:r w:rsidRPr="00C43C45">
        <w:t xml:space="preserve"> (</w:t>
      </w:r>
      <w:r w:rsidR="00F466AA">
        <w:t>Aud. Div.</w:t>
      </w:r>
      <w:r w:rsidRPr="00C43C45" w:rsidR="00F466AA">
        <w:t xml:space="preserve"> </w:t>
      </w:r>
      <w:r w:rsidRPr="00C43C45">
        <w:t>2009)</w:t>
      </w:r>
      <w:r w:rsidR="00C814B4">
        <w:t>.  Comments of KTUL Licensee, LLC (filed Apr. 7, 2021</w:t>
      </w:r>
      <w:r w:rsidR="000917D9">
        <w:t xml:space="preserve">) </w:t>
      </w:r>
      <w:r w:rsidR="00C814B4">
        <w:t>(Licensee Comments)</w:t>
      </w:r>
      <w:r w:rsidRPr="00C43C45">
        <w:t>.</w:t>
      </w:r>
      <w:r w:rsidR="00F372C7">
        <w:t xml:space="preserve">  </w:t>
      </w:r>
    </w:p>
  </w:footnote>
  <w:footnote w:id="6">
    <w:p w:rsidR="00B934DF" w:rsidP="00F665D0" w14:paraId="78A6C7E6" w14:textId="7EFC4921">
      <w:pPr>
        <w:pStyle w:val="FootnoteText"/>
        <w:widowControl w:val="0"/>
      </w:pPr>
      <w:r>
        <w:rPr>
          <w:rStyle w:val="FootnoteReference"/>
        </w:rPr>
        <w:footnoteRef/>
      </w:r>
      <w:r>
        <w:t xml:space="preserve"> Opposition Comments of </w:t>
      </w:r>
      <w:r w:rsidR="007460D0">
        <w:t xml:space="preserve">The </w:t>
      </w:r>
      <w:r>
        <w:t>Land Mobile Communication Council (filed Apr. 9, 2021)</w:t>
      </w:r>
      <w:r w:rsidR="00497FD9">
        <w:t xml:space="preserve"> </w:t>
      </w:r>
      <w:r>
        <w:t xml:space="preserve">(LMCC Opposition).  </w:t>
      </w:r>
    </w:p>
  </w:footnote>
  <w:footnote w:id="7">
    <w:p w:rsidR="00B00503" w:rsidP="00F665D0" w14:paraId="5F33D3EC" w14:textId="29655819">
      <w:pPr>
        <w:pStyle w:val="FootnoteText"/>
        <w:widowControl w:val="0"/>
      </w:pPr>
      <w:r>
        <w:rPr>
          <w:rStyle w:val="FootnoteReference"/>
        </w:rPr>
        <w:footnoteRef/>
      </w:r>
      <w:r>
        <w:t xml:space="preserve"> Reply Comments of KTUL Licensee, LLC (filed Apr. 26, 2021)</w:t>
      </w:r>
      <w:r w:rsidR="002069AD">
        <w:t xml:space="preserve"> </w:t>
      </w:r>
      <w:r>
        <w:t>(Reply)</w:t>
      </w:r>
      <w:r w:rsidR="00831117">
        <w:t xml:space="preserve">.  LMCC filed an </w:t>
      </w:r>
      <w:r w:rsidRPr="00757308" w:rsidR="00831117">
        <w:rPr>
          <w:i/>
          <w:iCs/>
        </w:rPr>
        <w:t xml:space="preserve">ex </w:t>
      </w:r>
      <w:r w:rsidRPr="00757308" w:rsidR="00831117">
        <w:rPr>
          <w:i/>
          <w:iCs/>
        </w:rPr>
        <w:t>parte</w:t>
      </w:r>
      <w:r w:rsidR="00831117">
        <w:t xml:space="preserve"> letter in response to the </w:t>
      </w:r>
      <w:r w:rsidR="003F4D5E">
        <w:t xml:space="preserve">Licensee’s </w:t>
      </w:r>
      <w:r w:rsidR="00831117">
        <w:t xml:space="preserve">Reply.  </w:t>
      </w:r>
      <w:r w:rsidR="00054504">
        <w:t xml:space="preserve">Letter from </w:t>
      </w:r>
      <w:r w:rsidR="00CB55AE">
        <w:t>David D. Smith</w:t>
      </w:r>
      <w:r w:rsidR="00054504">
        <w:t xml:space="preserve">, </w:t>
      </w:r>
      <w:r w:rsidR="00CB55AE">
        <w:t>President</w:t>
      </w:r>
      <w:r w:rsidR="00054504">
        <w:t xml:space="preserve">, to Marlene H. Dortch, Secretary, FCC, MB Docket No. 21-9 (filed </w:t>
      </w:r>
      <w:r w:rsidR="00CB55AE">
        <w:t>Apr. 30, 2</w:t>
      </w:r>
      <w:r w:rsidR="00054504">
        <w:t>021)</w:t>
      </w:r>
      <w:r w:rsidR="00CB55AE">
        <w:t xml:space="preserve"> </w:t>
      </w:r>
      <w:r w:rsidR="00054504">
        <w:t>(</w:t>
      </w:r>
      <w:bookmarkStart w:id="0" w:name="_Hlk82030667"/>
      <w:r w:rsidR="00054504">
        <w:t xml:space="preserve">LMCC </w:t>
      </w:r>
      <w:r w:rsidRPr="00CB55AE" w:rsidR="00054504">
        <w:rPr>
          <w:i/>
          <w:iCs/>
        </w:rPr>
        <w:t xml:space="preserve">Ex </w:t>
      </w:r>
      <w:r w:rsidRPr="00CB55AE" w:rsidR="00054504">
        <w:rPr>
          <w:i/>
          <w:iCs/>
        </w:rPr>
        <w:t>Parte</w:t>
      </w:r>
      <w:bookmarkEnd w:id="0"/>
      <w:r w:rsidR="00054504">
        <w:t>).</w:t>
      </w:r>
    </w:p>
  </w:footnote>
  <w:footnote w:id="8">
    <w:p w:rsidR="00433AF7" w:rsidP="00F665D0" w14:paraId="70706049" w14:textId="4C3DEAB4">
      <w:pPr>
        <w:pStyle w:val="FootnoteText"/>
        <w:widowControl w:val="0"/>
      </w:pPr>
      <w:r>
        <w:rPr>
          <w:rStyle w:val="FootnoteReference"/>
        </w:rPr>
        <w:footnoteRef/>
      </w:r>
      <w:r>
        <w:t xml:space="preserve"> </w:t>
      </w:r>
      <w:r w:rsidRPr="0085773E">
        <w:rPr>
          <w:i/>
          <w:iCs/>
        </w:rPr>
        <w:t>NPRM</w:t>
      </w:r>
      <w:r>
        <w:t xml:space="preserve">, 36 FCC </w:t>
      </w:r>
      <w:r>
        <w:t>Rcd</w:t>
      </w:r>
      <w:r>
        <w:t xml:space="preserve"> at 157, para. 2.</w:t>
      </w:r>
    </w:p>
  </w:footnote>
  <w:footnote w:id="9">
    <w:p w:rsidR="00433AF7" w:rsidP="00F665D0" w14:paraId="222AB141" w14:textId="77777777">
      <w:pPr>
        <w:pStyle w:val="FootnoteText"/>
        <w:widowControl w:val="0"/>
      </w:pPr>
      <w:r>
        <w:rPr>
          <w:rStyle w:val="FootnoteReference"/>
        </w:rPr>
        <w:footnoteRef/>
      </w:r>
      <w:r>
        <w:t xml:space="preserve"> </w:t>
      </w:r>
      <w:r w:rsidRPr="009919F5">
        <w:rPr>
          <w:i/>
          <w:iCs/>
        </w:rPr>
        <w:t>Id.</w:t>
      </w:r>
    </w:p>
  </w:footnote>
  <w:footnote w:id="10">
    <w:p w:rsidR="00C1621D" w:rsidRPr="003F7895" w:rsidP="00F665D0" w14:paraId="2B200789" w14:textId="3907378F">
      <w:pPr>
        <w:pStyle w:val="FootnoteText"/>
        <w:widowControl w:val="0"/>
      </w:pPr>
      <w:r w:rsidRPr="003F7895">
        <w:rPr>
          <w:rStyle w:val="FootnoteReference"/>
        </w:rPr>
        <w:footnoteRef/>
      </w:r>
      <w:r w:rsidRPr="003F7895">
        <w:t xml:space="preserve"> </w:t>
      </w:r>
      <w:r w:rsidRPr="00104853" w:rsidR="000C7C50">
        <w:rPr>
          <w:i/>
          <w:iCs/>
        </w:rPr>
        <w:t>Id</w:t>
      </w:r>
      <w:r w:rsidR="000C7C50">
        <w:t>.</w:t>
      </w:r>
      <w:r w:rsidR="00156C7F">
        <w:t xml:space="preserve">  </w:t>
      </w:r>
    </w:p>
  </w:footnote>
  <w:footnote w:id="11">
    <w:p w:rsidR="00C1621D" w:rsidRPr="003F7895" w:rsidP="00F665D0" w14:paraId="43FED209" w14:textId="4E9A924F">
      <w:pPr>
        <w:pStyle w:val="FootnoteText"/>
        <w:widowControl w:val="0"/>
      </w:pPr>
      <w:r w:rsidRPr="003F7895">
        <w:rPr>
          <w:rStyle w:val="FootnoteReference"/>
        </w:rPr>
        <w:footnoteRef/>
      </w:r>
      <w:r w:rsidRPr="003F7895">
        <w:t xml:space="preserve"> </w:t>
      </w:r>
      <w:r w:rsidR="002F3B70">
        <w:rPr>
          <w:i/>
          <w:iCs/>
        </w:rPr>
        <w:t xml:space="preserve">NPRM, </w:t>
      </w:r>
      <w:r w:rsidR="002F3B70">
        <w:t xml:space="preserve">36 FCC </w:t>
      </w:r>
      <w:r w:rsidR="002F3B70">
        <w:t>Rcd</w:t>
      </w:r>
      <w:r w:rsidR="000C7C50">
        <w:t xml:space="preserve"> at </w:t>
      </w:r>
      <w:r w:rsidR="00632D21">
        <w:t>158</w:t>
      </w:r>
      <w:r w:rsidR="00685A1C">
        <w:t>, para. 3</w:t>
      </w:r>
      <w:r w:rsidR="000C7C50">
        <w:t xml:space="preserve">; </w:t>
      </w:r>
      <w:r w:rsidRPr="00104853" w:rsidR="000C7C50">
        <w:rPr>
          <w:i/>
          <w:iCs/>
        </w:rPr>
        <w:t>see also</w:t>
      </w:r>
      <w:r w:rsidR="000C7C50">
        <w:t xml:space="preserve"> Licensee’s Rulemaking </w:t>
      </w:r>
      <w:r w:rsidRPr="003F7895">
        <w:t>Petition at 3</w:t>
      </w:r>
      <w:r w:rsidR="000C7C50">
        <w:t xml:space="preserve"> and</w:t>
      </w:r>
      <w:r>
        <w:t xml:space="preserve"> Engineering Exhibit at 6</w:t>
      </w:r>
      <w:r w:rsidRPr="003F7895">
        <w:t>.</w:t>
      </w:r>
      <w:r w:rsidR="00EC220E">
        <w:t xml:space="preserve"> </w:t>
      </w:r>
      <w:r w:rsidRPr="00EC220E" w:rsidR="00EC220E">
        <w:t xml:space="preserve"> </w:t>
      </w:r>
      <w:r w:rsidR="00EC220E">
        <w:t xml:space="preserve">In its Rulemaking Petition (LMS File No. 0000127897), the Licensee stated it would use a Dielectric mask filter and submitted data from Dielectric (the antenna mask filter manufacturer), and Rhode &amp; Schwartz (the transmitter manufacturer), demonstrating the effectiveness of the filter in suppressing potential interference to land mobile operations. </w:t>
      </w:r>
      <w:r w:rsidRPr="00014A15" w:rsidR="00EC220E">
        <w:rPr>
          <w:i/>
          <w:iCs/>
        </w:rPr>
        <w:t>See</w:t>
      </w:r>
      <w:r w:rsidR="00EC220E">
        <w:t xml:space="preserve"> Reply at 3 and n.7.</w:t>
      </w:r>
    </w:p>
  </w:footnote>
  <w:footnote w:id="12">
    <w:p w:rsidR="00D76DA2" w:rsidP="00F665D0" w14:paraId="79CA0A4D" w14:textId="3259AAC1">
      <w:pPr>
        <w:pStyle w:val="FootnoteText"/>
        <w:widowControl w:val="0"/>
      </w:pPr>
      <w:r>
        <w:rPr>
          <w:rStyle w:val="FootnoteReference"/>
        </w:rPr>
        <w:footnoteRef/>
      </w:r>
      <w:r>
        <w:t xml:space="preserve"> LMCC states that it is a non-profit association of organizations representing users of land mobile radio systems, providers of land mobile service, and manufacturers of land mobile equipment.  LMCC Opposition at 2.</w:t>
      </w:r>
    </w:p>
  </w:footnote>
  <w:footnote w:id="13">
    <w:p w:rsidR="00955554" w:rsidP="00F665D0" w14:paraId="4FD2D464" w14:textId="07AD362E">
      <w:pPr>
        <w:pStyle w:val="FootnoteText"/>
        <w:widowControl w:val="0"/>
      </w:pPr>
      <w:r>
        <w:rPr>
          <w:rStyle w:val="FootnoteReference"/>
        </w:rPr>
        <w:footnoteRef/>
      </w:r>
      <w:r>
        <w:t xml:space="preserve"> </w:t>
      </w:r>
      <w:r w:rsidR="007039D7">
        <w:t>47 CFR §§ 90.20 (Public Safety Pool), 90.30 (Industrial/Business Pool</w:t>
      </w:r>
      <w:r w:rsidR="00B432A4">
        <w:t>)</w:t>
      </w:r>
      <w:r w:rsidR="007039D7">
        <w:t>.  These rules list the various entities eligible to hold licenses in the Pools and permissible services, as well as frequencies available for their use, including the frequency band for full power television operations on channel 14 (470-476 MHz).</w:t>
      </w:r>
    </w:p>
  </w:footnote>
  <w:footnote w:id="14">
    <w:p w:rsidR="0088691D" w:rsidP="00F665D0" w14:paraId="04028C42" w14:textId="1E6B974C">
      <w:pPr>
        <w:pStyle w:val="FootnoteText"/>
        <w:widowControl w:val="0"/>
      </w:pPr>
      <w:r>
        <w:rPr>
          <w:rStyle w:val="FootnoteReference"/>
        </w:rPr>
        <w:footnoteRef/>
      </w:r>
      <w:r>
        <w:t xml:space="preserve"> LMCC Opposition at 2-3.</w:t>
      </w:r>
      <w:r w:rsidR="00704459">
        <w:t xml:space="preserve">  </w:t>
      </w:r>
    </w:p>
  </w:footnote>
  <w:footnote w:id="15">
    <w:p w:rsidR="00397A31" w:rsidP="00F665D0" w14:paraId="3677746F" w14:textId="3ED35D54">
      <w:pPr>
        <w:pStyle w:val="FootnoteText"/>
        <w:widowControl w:val="0"/>
      </w:pPr>
      <w:r>
        <w:rPr>
          <w:rStyle w:val="FootnoteReference"/>
        </w:rPr>
        <w:footnoteRef/>
      </w:r>
      <w:r>
        <w:t xml:space="preserve"> </w:t>
      </w:r>
      <w:r w:rsidRPr="00F61CB8">
        <w:rPr>
          <w:i/>
          <w:iCs/>
        </w:rPr>
        <w:t>Id</w:t>
      </w:r>
      <w:r>
        <w:t>. at 1-2.</w:t>
      </w:r>
      <w:r w:rsidRPr="00F84FA0" w:rsidR="00F84FA0">
        <w:t xml:space="preserve"> </w:t>
      </w:r>
      <w:r w:rsidR="00970417">
        <w:t xml:space="preserve">  </w:t>
      </w:r>
    </w:p>
  </w:footnote>
  <w:footnote w:id="16">
    <w:p w:rsidR="009D6F7B" w:rsidP="00F665D0" w14:paraId="17959AFC" w14:textId="72E37A25">
      <w:pPr>
        <w:pStyle w:val="FootnoteText"/>
        <w:widowControl w:val="0"/>
      </w:pPr>
      <w:r>
        <w:rPr>
          <w:rStyle w:val="FootnoteReference"/>
        </w:rPr>
        <w:footnoteRef/>
      </w:r>
      <w:r>
        <w:t xml:space="preserve"> 47 CFR § 78.687.</w:t>
      </w:r>
      <w:r w:rsidR="00970417">
        <w:t xml:space="preserve"> </w:t>
      </w:r>
      <w:r w:rsidRPr="00970417" w:rsidR="00970417">
        <w:t xml:space="preserve"> </w:t>
      </w:r>
      <w:r w:rsidR="00970417">
        <w:t xml:space="preserve">LMCC states that it has reported interference problems that have arisen from the Post-Transition Table of Allotments to the Commission.  </w:t>
      </w:r>
      <w:r w:rsidRPr="00021AB3" w:rsidR="00970417">
        <w:rPr>
          <w:i/>
          <w:iCs/>
        </w:rPr>
        <w:t>See</w:t>
      </w:r>
      <w:r w:rsidR="00970417">
        <w:t xml:space="preserve"> Opposition at Attachment A:  Letter from Klaus Bender, President, Land Mobile Communications Council, to Thomas Reed, Special Attorney Advisor, WTB, FCC (dated Nov. 25, 2020) (reporting that the “DTV Resolution” Task Force, organized by LMCC, requests that the Commission: (1) remind television stations repacked to channel 14 in the incentive auction of their need to comply with section 73.687(e)(4)(ii) of the rules; (2) take prompt action when a low power television station is causing interference to a land mobile system; and (3) consider certain actions to address the Task Force’s concerns about co-channel interference from television stations on channel 14 to T-Band systems that are utilizing both T-Band channels and channels in the television channel 14 frequency band</w:t>
      </w:r>
      <w:r w:rsidR="009B4AA3">
        <w:t>)</w:t>
      </w:r>
      <w:r w:rsidR="00970417">
        <w:t>.</w:t>
      </w:r>
      <w:r w:rsidR="009B4AA3">
        <w:t xml:space="preserve">  </w:t>
      </w:r>
      <w:r w:rsidR="004438E6">
        <w:t>This letter is not pertinent here considering that t</w:t>
      </w:r>
      <w:r w:rsidRPr="004438E6" w:rsidR="009B4AA3">
        <w:t xml:space="preserve">he Licensee has fully expressed its </w:t>
      </w:r>
      <w:r w:rsidR="004438E6">
        <w:t xml:space="preserve">awareness of </w:t>
      </w:r>
      <w:r w:rsidR="00BC1099">
        <w:t xml:space="preserve">and </w:t>
      </w:r>
      <w:r w:rsidR="00673BE4">
        <w:t xml:space="preserve">its </w:t>
      </w:r>
      <w:r w:rsidRPr="004438E6" w:rsidR="009B4AA3">
        <w:t xml:space="preserve">intent to comply with </w:t>
      </w:r>
      <w:r w:rsidR="004438E6">
        <w:t xml:space="preserve">section 73.687(e)(4)(ii) </w:t>
      </w:r>
      <w:r w:rsidRPr="004438E6" w:rsidR="009B4AA3">
        <w:t>vis-à-vis land mobile systems and there are no T-band facilities operating in the vicinity of Tulsa</w:t>
      </w:r>
      <w:r w:rsidR="009B4AA3">
        <w:t>.</w:t>
      </w:r>
    </w:p>
  </w:footnote>
  <w:footnote w:id="17">
    <w:p w:rsidR="00955554" w:rsidP="00F665D0" w14:paraId="46946209" w14:textId="3133FCAD">
      <w:pPr>
        <w:pStyle w:val="FootnoteText"/>
        <w:widowControl w:val="0"/>
      </w:pPr>
      <w:r>
        <w:rPr>
          <w:rStyle w:val="FootnoteReference"/>
        </w:rPr>
        <w:footnoteRef/>
      </w:r>
      <w:r>
        <w:t xml:space="preserve"> </w:t>
      </w:r>
      <w:r w:rsidR="008C309F">
        <w:t>LMCC Opposition</w:t>
      </w:r>
      <w:r w:rsidR="0088691D">
        <w:t>.</w:t>
      </w:r>
      <w:r>
        <w:t xml:space="preserve"> at 1</w:t>
      </w:r>
      <w:r w:rsidR="00087724">
        <w:t xml:space="preserve">; </w:t>
      </w:r>
      <w:r w:rsidRPr="00BE281F" w:rsidR="00087724">
        <w:rPr>
          <w:i/>
          <w:iCs/>
        </w:rPr>
        <w:t>see also id</w:t>
      </w:r>
      <w:r w:rsidR="00087724">
        <w:t>. at 3-4.</w:t>
      </w:r>
      <w:r w:rsidRPr="00970417" w:rsidR="00970417">
        <w:t xml:space="preserve"> </w:t>
      </w:r>
      <w:r w:rsidR="00970417">
        <w:t xml:space="preserve"> </w:t>
      </w:r>
    </w:p>
  </w:footnote>
  <w:footnote w:id="18">
    <w:p w:rsidR="00BE281F" w:rsidP="00F665D0" w14:paraId="77CE0B82" w14:textId="6BCD3E2C">
      <w:pPr>
        <w:pStyle w:val="FootnoteText"/>
        <w:widowControl w:val="0"/>
      </w:pPr>
      <w:r>
        <w:rPr>
          <w:rStyle w:val="FootnoteReference"/>
        </w:rPr>
        <w:footnoteRef/>
      </w:r>
      <w:r>
        <w:t xml:space="preserve"> </w:t>
      </w:r>
      <w:r w:rsidRPr="00BE281F">
        <w:rPr>
          <w:i/>
          <w:iCs/>
        </w:rPr>
        <w:t>Id</w:t>
      </w:r>
      <w:r>
        <w:t>. at 3.</w:t>
      </w:r>
    </w:p>
  </w:footnote>
  <w:footnote w:id="19">
    <w:p w:rsidR="00BE281F" w:rsidP="00F665D0" w14:paraId="57E178E9" w14:textId="698581C2">
      <w:pPr>
        <w:pStyle w:val="FootnoteText"/>
        <w:widowControl w:val="0"/>
      </w:pPr>
      <w:r>
        <w:rPr>
          <w:rStyle w:val="FootnoteReference"/>
        </w:rPr>
        <w:footnoteRef/>
      </w:r>
      <w:r>
        <w:t xml:space="preserve"> </w:t>
      </w:r>
      <w:r w:rsidRPr="00BE281F">
        <w:rPr>
          <w:i/>
          <w:iCs/>
        </w:rPr>
        <w:t>Id</w:t>
      </w:r>
      <w:r>
        <w:t>. at 4.</w:t>
      </w:r>
    </w:p>
  </w:footnote>
  <w:footnote w:id="20">
    <w:p w:rsidR="00BE281F" w:rsidP="00F665D0" w14:paraId="197CAD37" w14:textId="1D210BFC">
      <w:pPr>
        <w:pStyle w:val="FootnoteText"/>
        <w:widowControl w:val="0"/>
      </w:pPr>
      <w:r>
        <w:rPr>
          <w:rStyle w:val="FootnoteReference"/>
        </w:rPr>
        <w:footnoteRef/>
      </w:r>
      <w:r>
        <w:t xml:space="preserve"> </w:t>
      </w:r>
      <w:r w:rsidRPr="00BE281F">
        <w:rPr>
          <w:i/>
          <w:iCs/>
        </w:rPr>
        <w:t>Id</w:t>
      </w:r>
      <w:r>
        <w:t>. at 5.</w:t>
      </w:r>
    </w:p>
  </w:footnote>
  <w:footnote w:id="21">
    <w:p w:rsidR="002C00C7" w:rsidP="00F665D0" w14:paraId="6DB4BDA7" w14:textId="7A40848B">
      <w:pPr>
        <w:pStyle w:val="FootnoteText"/>
        <w:widowControl w:val="0"/>
        <w:jc w:val="both"/>
      </w:pPr>
      <w:r>
        <w:rPr>
          <w:rStyle w:val="FootnoteReference"/>
        </w:rPr>
        <w:footnoteRef/>
      </w:r>
      <w:r>
        <w:t xml:space="preserve"> Reply at 1-2.</w:t>
      </w:r>
      <w:r w:rsidR="00997909">
        <w:t xml:space="preserve">  The Licensee asserts that LMCC’s “approach would require the Station to abruptly cut off ABC Network and local programming</w:t>
      </w:r>
      <w:r w:rsidR="00481086">
        <w:t xml:space="preserve"> to the Station’s viewers without warning, based on an unsubstantiated complaint of minor or even negligible interference to any land mobile facility.”  </w:t>
      </w:r>
      <w:r w:rsidRPr="003E629E" w:rsidR="00481086">
        <w:rPr>
          <w:i/>
          <w:iCs/>
        </w:rPr>
        <w:t>Id</w:t>
      </w:r>
      <w:r w:rsidR="00481086">
        <w:t>. at 4.</w:t>
      </w:r>
      <w:r w:rsidR="00021AB3">
        <w:t xml:space="preserve">  The Licensee also observes that LMCC cites no case in which the Commission has imposed the sort of immediate shut-down remedy LMCC proposes</w:t>
      </w:r>
      <w:r w:rsidR="000C5902">
        <w:t>,</w:t>
      </w:r>
      <w:r w:rsidR="00021AB3">
        <w:t xml:space="preserve"> </w:t>
      </w:r>
      <w:r w:rsidR="000C5902">
        <w:rPr>
          <w:i/>
          <w:iCs/>
        </w:rPr>
        <w:t>i</w:t>
      </w:r>
      <w:r w:rsidRPr="00156C7F" w:rsidR="00814A10">
        <w:rPr>
          <w:i/>
          <w:iCs/>
        </w:rPr>
        <w:t>d</w:t>
      </w:r>
      <w:r w:rsidR="00814A10">
        <w:t>.</w:t>
      </w:r>
      <w:r w:rsidR="00021AB3">
        <w:t xml:space="preserve"> at 5</w:t>
      </w:r>
      <w:r w:rsidR="000C5902">
        <w:t xml:space="preserve">, and </w:t>
      </w:r>
      <w:r w:rsidR="00BC1099">
        <w:t xml:space="preserve">argues </w:t>
      </w:r>
      <w:r w:rsidR="000C5902">
        <w:t xml:space="preserve">that the remedy LMCC advances is inconsistent with section 73.687 of the rules, which may not be modified or amended absent a notice and comment rulemaking proceeding.  </w:t>
      </w:r>
      <w:r w:rsidRPr="000C5902" w:rsidR="000C5902">
        <w:rPr>
          <w:i/>
          <w:iCs/>
        </w:rPr>
        <w:t>Id</w:t>
      </w:r>
      <w:r w:rsidR="000C5902">
        <w:t>. at 8-9</w:t>
      </w:r>
      <w:r w:rsidR="00021AB3">
        <w:t>.</w:t>
      </w:r>
      <w:r w:rsidR="00040F28">
        <w:t xml:space="preserve"> </w:t>
      </w:r>
    </w:p>
  </w:footnote>
  <w:footnote w:id="22">
    <w:p w:rsidR="007250C3" w:rsidP="00F665D0" w14:paraId="1AB2FB0E" w14:textId="77777777">
      <w:pPr>
        <w:pStyle w:val="FootnoteText"/>
        <w:widowControl w:val="0"/>
      </w:pPr>
      <w:r>
        <w:rPr>
          <w:rStyle w:val="FootnoteReference"/>
        </w:rPr>
        <w:footnoteRef/>
      </w:r>
      <w:r>
        <w:t xml:space="preserve"> 47 CFR </w:t>
      </w:r>
      <w:bookmarkStart w:id="1" w:name="_Hlk82017346"/>
      <w:r>
        <w:t>§ 73.687(e)(</w:t>
      </w:r>
      <w:bookmarkEnd w:id="1"/>
      <w:r>
        <w:t>4)(ii).</w:t>
      </w:r>
    </w:p>
  </w:footnote>
  <w:footnote w:id="23">
    <w:p w:rsidR="00DF32E4" w:rsidP="00F665D0" w14:paraId="20F355D5" w14:textId="384929A9">
      <w:pPr>
        <w:pStyle w:val="FootnoteText"/>
        <w:widowControl w:val="0"/>
      </w:pPr>
      <w:r>
        <w:rPr>
          <w:rStyle w:val="FootnoteReference"/>
        </w:rPr>
        <w:footnoteRef/>
      </w:r>
      <w:r>
        <w:t xml:space="preserve"> Reply at 4-5.</w:t>
      </w:r>
      <w:r w:rsidR="00DF5C1A">
        <w:t xml:space="preserve">  The Licensee also pledges to reiterate those commitments in its application for a construction permit if channel 14 is allotted to Tulsa.  </w:t>
      </w:r>
      <w:r w:rsidRPr="00156C7F" w:rsidR="00DF5C1A">
        <w:rPr>
          <w:i/>
          <w:iCs/>
        </w:rPr>
        <w:t>Id</w:t>
      </w:r>
      <w:r w:rsidR="00DF5C1A">
        <w:t xml:space="preserve"> at 5, n.12.</w:t>
      </w:r>
    </w:p>
  </w:footnote>
  <w:footnote w:id="24">
    <w:p w:rsidR="001C0375" w:rsidP="00F665D0" w14:paraId="237A072D" w14:textId="06EC1D0C">
      <w:pPr>
        <w:pStyle w:val="FootnoteText"/>
        <w:widowControl w:val="0"/>
      </w:pPr>
      <w:r>
        <w:rPr>
          <w:rStyle w:val="FootnoteReference"/>
        </w:rPr>
        <w:footnoteRef/>
      </w:r>
      <w:r>
        <w:t xml:space="preserve"> Reply, </w:t>
      </w:r>
      <w:r w:rsidR="001B76A5">
        <w:t>Exhibit</w:t>
      </w:r>
      <w:r>
        <w:t xml:space="preserve"> A</w:t>
      </w:r>
      <w:r w:rsidR="001B76A5">
        <w:t xml:space="preserve"> (Engineering Statement Regarding LMCC Opposition)</w:t>
      </w:r>
      <w:r>
        <w:t xml:space="preserve"> at 2.</w:t>
      </w:r>
    </w:p>
  </w:footnote>
  <w:footnote w:id="25">
    <w:p w:rsidR="00AC3F46" w:rsidP="00F665D0" w14:paraId="72B93B5D" w14:textId="4A95F338">
      <w:pPr>
        <w:pStyle w:val="FootnoteText"/>
        <w:widowControl w:val="0"/>
      </w:pPr>
      <w:r>
        <w:rPr>
          <w:rStyle w:val="FootnoteReference"/>
        </w:rPr>
        <w:footnoteRef/>
      </w:r>
      <w:r>
        <w:t xml:space="preserve"> Reply at 7</w:t>
      </w:r>
      <w:r w:rsidR="00F06A71">
        <w:t>;</w:t>
      </w:r>
      <w:r w:rsidR="00A14B38">
        <w:t xml:space="preserve"> </w:t>
      </w:r>
      <w:r w:rsidR="001D6735">
        <w:t>Exhibit</w:t>
      </w:r>
      <w:r w:rsidR="00A14B38">
        <w:t xml:space="preserve"> B</w:t>
      </w:r>
      <w:r w:rsidR="001D6735">
        <w:t xml:space="preserve"> (Declaration of Harvey Arnold) at 1</w:t>
      </w:r>
      <w:r w:rsidR="00A14B38">
        <w:t xml:space="preserve">.  </w:t>
      </w:r>
      <w:r w:rsidRPr="00040F28" w:rsidR="00A14B38">
        <w:rPr>
          <w:i/>
          <w:iCs/>
        </w:rPr>
        <w:t>See also</w:t>
      </w:r>
      <w:r w:rsidR="00A14B38">
        <w:t xml:space="preserve"> </w:t>
      </w:r>
      <w:r w:rsidR="001D6735">
        <w:t>Exhibit</w:t>
      </w:r>
      <w:r w:rsidR="00A14B38">
        <w:t xml:space="preserve"> A</w:t>
      </w:r>
      <w:r w:rsidR="00FB420E">
        <w:t xml:space="preserve"> at 4-5</w:t>
      </w:r>
      <w:r w:rsidR="00A14B38">
        <w:t xml:space="preserve"> (</w:t>
      </w:r>
      <w:r w:rsidR="00013187">
        <w:t>providing technical information regarding the six stations the Licensee’s affiliates or parent company ha</w:t>
      </w:r>
      <w:r w:rsidR="001B709E">
        <w:t>ve</w:t>
      </w:r>
      <w:r w:rsidR="00013187">
        <w:t xml:space="preserve"> operated</w:t>
      </w:r>
      <w:r w:rsidR="005C2035">
        <w:t>,</w:t>
      </w:r>
      <w:r w:rsidR="00013187">
        <w:t xml:space="preserve"> and affirming the absence of any complaints of interference to land mobile systems during the television stations’ operations</w:t>
      </w:r>
      <w:r w:rsidR="00A14B38">
        <w:t>)</w:t>
      </w:r>
      <w:r w:rsidR="000C5902">
        <w:t xml:space="preserve"> and 6 (asserting th</w:t>
      </w:r>
      <w:r w:rsidR="00A0743F">
        <w:t>ere</w:t>
      </w:r>
      <w:r w:rsidR="000C5902">
        <w:t xml:space="preserve"> are currently over 40 full power television stations operating on channel 14 and that “the Commission understands that with proper filtering, land mobile facilities and Channel 14 television stations can co-exist on a non-interfering basis.”)</w:t>
      </w:r>
      <w:r w:rsidR="00013187">
        <w:t>.</w:t>
      </w:r>
    </w:p>
  </w:footnote>
  <w:footnote w:id="26">
    <w:p w:rsidR="00DD2786" w:rsidP="00F665D0" w14:paraId="62AB3194" w14:textId="5550CFB6">
      <w:pPr>
        <w:pStyle w:val="FootnoteText"/>
        <w:widowControl w:val="0"/>
      </w:pPr>
      <w:r>
        <w:rPr>
          <w:rStyle w:val="FootnoteReference"/>
        </w:rPr>
        <w:footnoteRef/>
      </w:r>
      <w:r>
        <w:t xml:space="preserve"> Reply, Exhibit A at </w:t>
      </w:r>
      <w:r w:rsidR="00040F28">
        <w:t>2-3</w:t>
      </w:r>
      <w:r>
        <w:t>.</w:t>
      </w:r>
    </w:p>
  </w:footnote>
  <w:footnote w:id="27">
    <w:p w:rsidR="007B393D" w:rsidP="00F665D0" w14:paraId="4781783F" w14:textId="719124DC">
      <w:pPr>
        <w:pStyle w:val="FootnoteText"/>
        <w:widowControl w:val="0"/>
      </w:pPr>
      <w:r>
        <w:rPr>
          <w:rStyle w:val="FootnoteReference"/>
        </w:rPr>
        <w:footnoteRef/>
      </w:r>
      <w:r>
        <w:t xml:space="preserve"> Reply at </w:t>
      </w:r>
      <w:r w:rsidR="00040F28">
        <w:t>5-6 and n.14;</w:t>
      </w:r>
      <w:r>
        <w:t xml:space="preserve"> Exhibit A at 2, 4-5.</w:t>
      </w:r>
    </w:p>
  </w:footnote>
  <w:footnote w:id="28">
    <w:p w:rsidR="003918D1" w:rsidP="00F665D0" w14:paraId="7C5C5E5B" w14:textId="0C70A16B">
      <w:pPr>
        <w:pStyle w:val="FootnoteText"/>
        <w:widowControl w:val="0"/>
      </w:pPr>
      <w:r>
        <w:rPr>
          <w:rStyle w:val="FootnoteReference"/>
        </w:rPr>
        <w:footnoteRef/>
      </w:r>
      <w:r>
        <w:t xml:space="preserve"> </w:t>
      </w:r>
      <w:r w:rsidRPr="0049235A">
        <w:rPr>
          <w:i/>
          <w:iCs/>
        </w:rPr>
        <w:t xml:space="preserve">Ex </w:t>
      </w:r>
      <w:r w:rsidRPr="0049235A">
        <w:rPr>
          <w:i/>
          <w:iCs/>
        </w:rPr>
        <w:t>Parte</w:t>
      </w:r>
      <w:r>
        <w:t xml:space="preserve"> at 1.</w:t>
      </w:r>
    </w:p>
  </w:footnote>
  <w:footnote w:id="29">
    <w:p w:rsidR="003D592A" w:rsidP="00F665D0" w14:paraId="103E3AF5" w14:textId="7247BE89">
      <w:pPr>
        <w:pStyle w:val="FootnoteText"/>
        <w:widowControl w:val="0"/>
      </w:pPr>
      <w:r>
        <w:rPr>
          <w:rStyle w:val="FootnoteReference"/>
        </w:rPr>
        <w:footnoteRef/>
      </w:r>
      <w:r>
        <w:t xml:space="preserve"> </w:t>
      </w:r>
      <w:r w:rsidRPr="0049235A">
        <w:rPr>
          <w:i/>
          <w:iCs/>
        </w:rPr>
        <w:t>Id</w:t>
      </w:r>
      <w:r>
        <w:t>. at 2.</w:t>
      </w:r>
    </w:p>
  </w:footnote>
  <w:footnote w:id="30">
    <w:p w:rsidR="003D592A" w:rsidP="00F665D0" w14:paraId="1A89FED6" w14:textId="35BC546C">
      <w:pPr>
        <w:pStyle w:val="FootnoteText"/>
        <w:widowControl w:val="0"/>
      </w:pPr>
      <w:r>
        <w:rPr>
          <w:rStyle w:val="FootnoteReference"/>
        </w:rPr>
        <w:footnoteRef/>
      </w:r>
      <w:r>
        <w:t xml:space="preserve"> </w:t>
      </w:r>
      <w:r w:rsidRPr="0049235A">
        <w:rPr>
          <w:i/>
          <w:iCs/>
        </w:rPr>
        <w:t>Id</w:t>
      </w:r>
      <w:r>
        <w:t>.</w:t>
      </w:r>
    </w:p>
  </w:footnote>
  <w:footnote w:id="31">
    <w:p w:rsidR="003960F9" w:rsidP="00F665D0" w14:paraId="0029606E" w14:textId="1D5653CE">
      <w:pPr>
        <w:pStyle w:val="FootnoteText"/>
        <w:widowControl w:val="0"/>
      </w:pPr>
      <w:r>
        <w:rPr>
          <w:rStyle w:val="FootnoteReference"/>
        </w:rPr>
        <w:footnoteRef/>
      </w:r>
      <w:r>
        <w:t xml:space="preserve"> </w:t>
      </w:r>
      <w:r w:rsidRPr="00E95352">
        <w:rPr>
          <w:i/>
          <w:iCs/>
        </w:rPr>
        <w:t>Id</w:t>
      </w:r>
      <w:r>
        <w:t>.  For example,</w:t>
      </w:r>
      <w:r w:rsidR="0049235A">
        <w:t xml:space="preserve"> LMCC states that because KTUL would be operating at 1000 kW, a “sharp cutoff” filter would be required to be installed by land mobile systems, which would significantly</w:t>
      </w:r>
      <w:r w:rsidR="007B611D">
        <w:t xml:space="preserve"> reduce “the received power at the antenna getting to the receivers” and that land mobile systems “do not add these filters routinely for just that reason.”  </w:t>
      </w:r>
      <w:r w:rsidRPr="00E95352" w:rsidR="007B611D">
        <w:rPr>
          <w:i/>
          <w:iCs/>
        </w:rPr>
        <w:t>Id</w:t>
      </w:r>
      <w:r w:rsidR="007B611D">
        <w:t xml:space="preserve">. </w:t>
      </w:r>
      <w:r w:rsidR="003B5D93">
        <w:t xml:space="preserve"> It a</w:t>
      </w:r>
      <w:r w:rsidR="007B611D">
        <w:t>lso complain</w:t>
      </w:r>
      <w:r w:rsidR="00A9483F">
        <w:t xml:space="preserve">s, </w:t>
      </w:r>
      <w:r w:rsidRPr="00115F78" w:rsidR="00A9483F">
        <w:rPr>
          <w:i/>
          <w:iCs/>
        </w:rPr>
        <w:t>inter alia</w:t>
      </w:r>
      <w:r w:rsidR="00A9483F">
        <w:t>,</w:t>
      </w:r>
      <w:r w:rsidR="007B611D">
        <w:t xml:space="preserve"> that “many hundreds” of land mobile radios would have to be retrofitted with filters and questions who would be responsible for the cost of the filters and the installation.  </w:t>
      </w:r>
      <w:r w:rsidRPr="00E95352" w:rsidR="007B611D">
        <w:rPr>
          <w:i/>
          <w:iCs/>
        </w:rPr>
        <w:t>Id</w:t>
      </w:r>
      <w:r w:rsidR="007B611D">
        <w:t>.</w:t>
      </w:r>
      <w:r w:rsidR="009B7025">
        <w:t xml:space="preserve">  </w:t>
      </w:r>
    </w:p>
  </w:footnote>
  <w:footnote w:id="32">
    <w:p w:rsidR="00000C05" w:rsidP="00F665D0" w14:paraId="5B9A02B1" w14:textId="1D8C6C7B">
      <w:pPr>
        <w:pStyle w:val="FootnoteText"/>
        <w:widowControl w:val="0"/>
      </w:pPr>
      <w:r>
        <w:rPr>
          <w:rStyle w:val="FootnoteReference"/>
        </w:rPr>
        <w:footnoteRef/>
      </w:r>
      <w:r>
        <w:t xml:space="preserve"> </w:t>
      </w:r>
      <w:r w:rsidRPr="00E95352">
        <w:rPr>
          <w:i/>
          <w:iCs/>
        </w:rPr>
        <w:t>Id.</w:t>
      </w:r>
      <w:r>
        <w:t xml:space="preserve"> at 4.</w:t>
      </w:r>
    </w:p>
  </w:footnote>
  <w:footnote w:id="33">
    <w:p w:rsidR="00A64148" w:rsidP="009B068F" w14:paraId="3DA69E7D" w14:textId="62DE207E">
      <w:pPr>
        <w:pStyle w:val="FootnoteText"/>
        <w:widowControl w:val="0"/>
      </w:pPr>
      <w:r>
        <w:rPr>
          <w:rStyle w:val="FootnoteReference"/>
        </w:rPr>
        <w:footnoteRef/>
      </w:r>
      <w:r>
        <w:t xml:space="preserve"> </w:t>
      </w:r>
      <w:r w:rsidRPr="00E84855">
        <w:rPr>
          <w:i/>
          <w:iCs/>
        </w:rPr>
        <w:t>Land Mobile Interference Order</w:t>
      </w:r>
      <w:r>
        <w:t xml:space="preserve">, 6 FCC </w:t>
      </w:r>
      <w:r>
        <w:t>Rcd</w:t>
      </w:r>
      <w:r>
        <w:t xml:space="preserve"> at 5150, para. 11.</w:t>
      </w:r>
      <w:r w:rsidR="008C59E5">
        <w:t xml:space="preserve">  We also note that land mobile systems do not solely operate on spectrum that is adjacent to channel 14, </w:t>
      </w:r>
      <w:r w:rsidR="009B068F">
        <w:t>s</w:t>
      </w:r>
      <w:r w:rsidRPr="00E84855" w:rsidR="008C59E5">
        <w:rPr>
          <w:i/>
          <w:iCs/>
        </w:rPr>
        <w:t>ee</w:t>
      </w:r>
      <w:r w:rsidR="008C59E5">
        <w:t xml:space="preserve"> 47 CFR §§ 90.20, 90.30</w:t>
      </w:r>
      <w:r w:rsidR="009B068F">
        <w:t xml:space="preserve">, so many are unaffected by channel 14 television operations.  </w:t>
      </w:r>
      <w:r w:rsidRPr="00DB24D7" w:rsidR="009B068F">
        <w:t>KTUL’s tower is located more than 5 miles from the southeast border of Tulsa, and</w:t>
      </w:r>
      <w:r w:rsidR="009B068F">
        <w:t xml:space="preserve"> LMCC has not identified any land mobile systems in the vicinity which </w:t>
      </w:r>
      <w:r w:rsidR="008D1AEA">
        <w:t>are</w:t>
      </w:r>
      <w:r w:rsidR="009B068F">
        <w:t xml:space="preserve"> operating on the frequency band adjacent to television channel 14.  </w:t>
      </w:r>
    </w:p>
  </w:footnote>
  <w:footnote w:id="34">
    <w:p w:rsidR="00182D3D" w:rsidP="00F665D0" w14:paraId="75C1784C" w14:textId="52893864">
      <w:pPr>
        <w:pStyle w:val="FootnoteText"/>
        <w:widowControl w:val="0"/>
      </w:pPr>
      <w:r>
        <w:rPr>
          <w:rStyle w:val="FootnoteReference"/>
        </w:rPr>
        <w:footnoteRef/>
      </w:r>
      <w:r>
        <w:t xml:space="preserve"> </w:t>
      </w:r>
      <w:r w:rsidR="00E84855">
        <w:rPr>
          <w:i/>
          <w:iCs/>
        </w:rPr>
        <w:t>Land Mobile Interference Order</w:t>
      </w:r>
      <w:r w:rsidR="00332D62">
        <w:t>,</w:t>
      </w:r>
      <w:r>
        <w:t xml:space="preserve"> </w:t>
      </w:r>
      <w:r w:rsidR="00E84855">
        <w:t xml:space="preserve">6 FCC </w:t>
      </w:r>
      <w:r w:rsidR="00E84855">
        <w:t>Rcd</w:t>
      </w:r>
      <w:r w:rsidR="00E84855">
        <w:t xml:space="preserve"> </w:t>
      </w:r>
      <w:r>
        <w:t>at 5151, para. 18.</w:t>
      </w:r>
      <w:r w:rsidR="00E84855">
        <w:t xml:space="preserve"> </w:t>
      </w:r>
      <w:r w:rsidRPr="00E84855" w:rsidR="00E84855">
        <w:rPr>
          <w:i/>
          <w:iCs/>
        </w:rPr>
        <w:t xml:space="preserve"> </w:t>
      </w:r>
      <w:r w:rsidRPr="003B3DB4" w:rsidR="00E84855">
        <w:rPr>
          <w:i/>
          <w:iCs/>
        </w:rPr>
        <w:t>See also</w:t>
      </w:r>
      <w:r w:rsidR="00E84855">
        <w:t xml:space="preserve"> Reply at 6 (“The Licensee recognizes its obligation under the Commission’s rules to correct a desensitization problem which may arise after Station operations commence . . .</w:t>
      </w:r>
      <w:r w:rsidR="00332D62">
        <w:t>”</w:t>
      </w:r>
      <w:r w:rsidR="00E84855">
        <w:t xml:space="preserve">) and Exhibit A at 2-3 (describing use of “band-stop” filters between the land mobile antenna and the receiver’s RF input to avoid front-end overload and </w:t>
      </w:r>
      <w:r w:rsidR="00A65FC4">
        <w:t>desensitization</w:t>
      </w:r>
      <w:r w:rsidR="00E84855">
        <w:t>, as well as potential intermodulation interference).</w:t>
      </w:r>
    </w:p>
  </w:footnote>
  <w:footnote w:id="35">
    <w:p w:rsidR="00CF5548" w14:paraId="7BA4D437" w14:textId="7AD4A266">
      <w:pPr>
        <w:pStyle w:val="FootnoteText"/>
      </w:pPr>
      <w:r>
        <w:rPr>
          <w:rStyle w:val="FootnoteReference"/>
        </w:rPr>
        <w:footnoteRef/>
      </w:r>
      <w:r>
        <w:t xml:space="preserve"> 47 CFR § 73.687(e)(4)(ii).</w:t>
      </w:r>
    </w:p>
  </w:footnote>
  <w:footnote w:id="36">
    <w:p w:rsidR="00FB420E" w:rsidP="00F665D0" w14:paraId="114B65F3" w14:textId="7CFA1768">
      <w:pPr>
        <w:pStyle w:val="FootnoteText"/>
        <w:widowControl w:val="0"/>
      </w:pPr>
      <w:r>
        <w:rPr>
          <w:rStyle w:val="FootnoteReference"/>
        </w:rPr>
        <w:footnoteRef/>
      </w:r>
      <w:r>
        <w:t xml:space="preserve"> </w:t>
      </w:r>
      <w:r w:rsidR="00C00ACF">
        <w:rPr>
          <w:i/>
          <w:iCs/>
        </w:rPr>
        <w:t>Land Mobile Interference Order</w:t>
      </w:r>
      <w:r w:rsidR="00BA21E4">
        <w:t>,</w:t>
      </w:r>
      <w:r w:rsidR="00427DA4">
        <w:t xml:space="preserve"> </w:t>
      </w:r>
      <w:r w:rsidR="00C00ACF">
        <w:t xml:space="preserve">6 FCC </w:t>
      </w:r>
      <w:r w:rsidR="00C00ACF">
        <w:t>Rcd</w:t>
      </w:r>
      <w:r w:rsidR="00C00ACF">
        <w:t xml:space="preserve"> </w:t>
      </w:r>
      <w:r w:rsidR="00427DA4">
        <w:t xml:space="preserve">at 5149-50, paras. 6-11.  In addition, </w:t>
      </w:r>
      <w:r w:rsidR="00E057BF">
        <w:t>a</w:t>
      </w:r>
      <w:r>
        <w:t>s the Licensee points out, there are a significant number of full power television stations licensed on channel 14.  Reply, Exhibit A at 6.</w:t>
      </w:r>
    </w:p>
  </w:footnote>
  <w:footnote w:id="37">
    <w:p w:rsidR="00A40533" w14:paraId="14F21873" w14:textId="3784C8E3">
      <w:pPr>
        <w:pStyle w:val="FootnoteText"/>
      </w:pPr>
      <w:r>
        <w:rPr>
          <w:rStyle w:val="FootnoteReference"/>
        </w:rPr>
        <w:footnoteRef/>
      </w:r>
      <w:r>
        <w:t xml:space="preserve"> Reply at n.10 and Exhibit A at 2.</w:t>
      </w:r>
    </w:p>
  </w:footnote>
  <w:footnote w:id="38">
    <w:p w:rsidR="00427DA4" w:rsidP="00F665D0" w14:paraId="0133308E" w14:textId="2FEFECC8">
      <w:pPr>
        <w:pStyle w:val="FootnoteText"/>
        <w:widowControl w:val="0"/>
      </w:pPr>
      <w:r>
        <w:rPr>
          <w:rStyle w:val="FootnoteReference"/>
        </w:rPr>
        <w:footnoteRef/>
      </w:r>
      <w:r>
        <w:t xml:space="preserve"> </w:t>
      </w:r>
      <w:r w:rsidR="002B4605">
        <w:t xml:space="preserve">We note, </w:t>
      </w:r>
      <w:r w:rsidR="009B4AA3">
        <w:t>LMCC generally, without any technical analysis, suggested that the Commission should examine the use of channels 18, 19 or 20 instead.</w:t>
      </w:r>
      <w:r w:rsidR="00C72FA6">
        <w:t xml:space="preserve">  LMCC Opposition at 1, 3-4.</w:t>
      </w:r>
      <w:r w:rsidR="009B4AA3">
        <w:t xml:space="preserve"> The burden for conducting such an analysis falls on LMCC as part of a counter proposal, not the Commission.</w:t>
      </w:r>
      <w:r w:rsidR="00C72FA6">
        <w:t xml:space="preserve">  </w:t>
      </w:r>
      <w:r w:rsidRPr="00F665D0" w:rsidR="00C72FA6">
        <w:rPr>
          <w:i/>
          <w:iCs/>
        </w:rPr>
        <w:t>See, e.g., Amendment of Section 73.622(b), Table of Allotments, Digital Television Broadcast Stations (Macon, Georgia)</w:t>
      </w:r>
      <w:r w:rsidR="00C72FA6">
        <w:t xml:space="preserve">, MM Docket No. 01-1, Report and Order, 17 FCC </w:t>
      </w:r>
      <w:r w:rsidR="00C72FA6">
        <w:t>Rcd</w:t>
      </w:r>
      <w:r w:rsidR="00C72FA6">
        <w:t xml:space="preserve"> 2081, 2082, para. 4 (VSD 2002) (“Counterproposals must be technically and procedurally correct when initially filed and may not be amended at a later date.”)</w:t>
      </w:r>
      <w:r w:rsidR="00F665D0">
        <w:t>.</w:t>
      </w:r>
      <w:r w:rsidR="00C329AC">
        <w:t xml:space="preserve">  In any event, we note that one of </w:t>
      </w:r>
      <w:r w:rsidR="00367AAE">
        <w:t xml:space="preserve">the </w:t>
      </w:r>
      <w:r w:rsidR="00C329AC">
        <w:t xml:space="preserve">channels proposed by LMCC is already licensed to KQCW-DT, channel 20, Muskogee, Oklahoma, which is in the Tulsa Designated Market Area, with a transmission site slightly east of Tulsa.  </w:t>
      </w:r>
      <w:r w:rsidR="00E57D3F">
        <w:t xml:space="preserve">Channel 18 </w:t>
      </w:r>
      <w:r w:rsidR="00C06A44">
        <w:t>or</w:t>
      </w:r>
      <w:r w:rsidR="00E57D3F">
        <w:t xml:space="preserve"> 19 </w:t>
      </w:r>
      <w:r w:rsidR="00C06A44">
        <w:t xml:space="preserve">would </w:t>
      </w:r>
      <w:r w:rsidR="00862713">
        <w:t xml:space="preserve">also </w:t>
      </w:r>
      <w:r w:rsidRPr="00B44EF0" w:rsidR="00C06A44">
        <w:t>cause impermissible interference</w:t>
      </w:r>
      <w:r w:rsidR="00C06A44">
        <w:t xml:space="preserve"> to other stations.</w:t>
      </w:r>
      <w:r w:rsidR="00143B6E">
        <w:t xml:space="preserve">  </w:t>
      </w:r>
      <w:r w:rsidR="00665222">
        <w:t>In addition, u</w:t>
      </w:r>
      <w:r w:rsidR="00143B6E">
        <w:t xml:space="preserve">sing </w:t>
      </w:r>
      <w:r w:rsidR="00862713">
        <w:t xml:space="preserve">the Commission’s </w:t>
      </w:r>
      <w:r w:rsidRPr="00B44EF0" w:rsidR="00862713">
        <w:rPr>
          <w:i/>
          <w:iCs/>
        </w:rPr>
        <w:t>TVStudy</w:t>
      </w:r>
      <w:r w:rsidR="001E4FA2">
        <w:t xml:space="preserve"> software and </w:t>
      </w:r>
      <w:r w:rsidR="00143B6E">
        <w:t>the</w:t>
      </w:r>
      <w:r w:rsidR="005058DA">
        <w:t xml:space="preserve"> cell size and terrain</w:t>
      </w:r>
      <w:r w:rsidR="00143B6E">
        <w:t xml:space="preserve"> settings used</w:t>
      </w:r>
      <w:r w:rsidR="001E4FA2">
        <w:t xml:space="preserve"> by the Licensee</w:t>
      </w:r>
      <w:r w:rsidR="00143B6E">
        <w:t xml:space="preserve"> in </w:t>
      </w:r>
      <w:r w:rsidR="001E4FA2">
        <w:t>its</w:t>
      </w:r>
      <w:r w:rsidR="00143B6E">
        <w:t xml:space="preserve"> proposal, channel 18 would interfere with KSNF</w:t>
      </w:r>
      <w:r w:rsidR="00665222">
        <w:t>, channel</w:t>
      </w:r>
      <w:r w:rsidR="00E87D0E">
        <w:t xml:space="preserve"> 17, Joplin, Missouri;</w:t>
      </w:r>
      <w:r w:rsidR="00143B6E">
        <w:t xml:space="preserve"> KUTU-CD, </w:t>
      </w:r>
      <w:r w:rsidR="00E87D0E">
        <w:t xml:space="preserve">channel 17, Tulsa; </w:t>
      </w:r>
      <w:r w:rsidR="00143B6E">
        <w:t>KFSM-TV,</w:t>
      </w:r>
      <w:r w:rsidR="00E87D0E">
        <w:t xml:space="preserve"> channel 18, Fort Smith, Arkansas;</w:t>
      </w:r>
      <w:r w:rsidR="00143B6E">
        <w:t xml:space="preserve"> and KOPX-TV, </w:t>
      </w:r>
      <w:r w:rsidR="00E87D0E">
        <w:t xml:space="preserve">channel 18, Oklahoma City, Oklahoma, </w:t>
      </w:r>
      <w:r w:rsidR="00143B6E">
        <w:t>while channel 19 would interfere with KFSM-TV</w:t>
      </w:r>
      <w:r w:rsidR="00E87D0E">
        <w:t>;</w:t>
      </w:r>
      <w:r w:rsidR="00143B6E">
        <w:t xml:space="preserve"> KYTV, </w:t>
      </w:r>
      <w:r w:rsidR="00E87D0E">
        <w:t xml:space="preserve">channel 19, Springfield, Missouri; </w:t>
      </w:r>
      <w:r w:rsidR="00143B6E">
        <w:t>KAUT-TV,</w:t>
      </w:r>
      <w:r w:rsidR="00E87D0E">
        <w:t xml:space="preserve"> channel 19, Oklahoma City;</w:t>
      </w:r>
      <w:r w:rsidR="00143B6E">
        <w:t xml:space="preserve"> and KQCW-DT.</w:t>
      </w:r>
    </w:p>
  </w:footnote>
  <w:footnote w:id="39">
    <w:p w:rsidR="0093055F" w:rsidP="0093055F" w14:paraId="0FCA3849" w14:textId="77777777">
      <w:pPr>
        <w:pStyle w:val="FootnoteText"/>
        <w:widowControl w:val="0"/>
      </w:pPr>
      <w:r>
        <w:rPr>
          <w:rStyle w:val="FootnoteReference"/>
        </w:rPr>
        <w:footnoteRef/>
      </w:r>
      <w:r>
        <w:t xml:space="preserve"> A “protected land mobile facility” is a receiver that is intended to receive transmissions from licensed land mobile stations within the frequency band below 470 MHz, as relates to television operations on channel 14, </w:t>
      </w:r>
      <w:r>
        <w:rPr>
          <w:color w:val="000000"/>
        </w:rPr>
        <w:t>and is associated with one or more land mobile stations for which a license has been issued by the Commission, or a proper application has been received by the Commission prior to the date of the filing of the TV construction permit application</w:t>
      </w:r>
      <w:r>
        <w:t>.  47 CFR § 73.687(e)(4)(</w:t>
      </w:r>
      <w:r>
        <w:t>i</w:t>
      </w:r>
      <w:r>
        <w:t>).</w:t>
      </w:r>
    </w:p>
  </w:footnote>
  <w:footnote w:id="40">
    <w:p w:rsidR="0093055F" w:rsidP="0093055F" w14:paraId="5BDDF58D" w14:textId="77777777">
      <w:pPr>
        <w:pStyle w:val="FootnoteText"/>
        <w:widowControl w:val="0"/>
      </w:pPr>
      <w:r>
        <w:rPr>
          <w:rStyle w:val="FootnoteReference"/>
        </w:rPr>
        <w:footnoteRef/>
      </w:r>
      <w:r>
        <w:t xml:space="preserve"> 47 CFR § 73.687(e)(4)(</w:t>
      </w:r>
      <w:r>
        <w:t>i</w:t>
      </w:r>
      <w:r>
        <w:t xml:space="preserve">)-(ii).  </w:t>
      </w:r>
      <w:r w:rsidRPr="00115F78">
        <w:rPr>
          <w:i/>
          <w:iCs/>
        </w:rPr>
        <w:t>See also Resolution of Interference Between UHF Channels 14 and 69 and Adjacent-Channel Land Mobile Operations</w:t>
      </w:r>
      <w:r>
        <w:t xml:space="preserve">, MM Docket No. 87-465, Report and Order, 6 FCC </w:t>
      </w:r>
      <w:r>
        <w:t>Rcd</w:t>
      </w:r>
      <w:r>
        <w:t xml:space="preserve"> 5148, 5153, para. 28 (1991) (</w:t>
      </w:r>
      <w:r w:rsidRPr="00115F78">
        <w:rPr>
          <w:i/>
          <w:iCs/>
        </w:rPr>
        <w:t>Land</w:t>
      </w:r>
      <w:r>
        <w:t xml:space="preserve"> </w:t>
      </w:r>
      <w:r w:rsidRPr="00115F78">
        <w:rPr>
          <w:i/>
          <w:iCs/>
        </w:rPr>
        <w:t>Mobile Interference Order</w:t>
      </w:r>
      <w:r>
        <w:t xml:space="preserve">).   Channel 69 spectrum is no longer allocated for television use.  </w:t>
      </w:r>
      <w:r w:rsidRPr="00087253">
        <w:rPr>
          <w:i/>
          <w:iCs/>
        </w:rPr>
        <w:t>See</w:t>
      </w:r>
      <w:r>
        <w:rPr>
          <w:rStyle w:val="Emphasis"/>
        </w:rPr>
        <w:t xml:space="preserve"> Reallocation of Television Channels 60-69, the 746-806 MHz Band, </w:t>
      </w:r>
      <w:r>
        <w:rPr>
          <w:rStyle w:val="Emphasis"/>
          <w:i w:val="0"/>
          <w:iCs w:val="0"/>
        </w:rPr>
        <w:t xml:space="preserve">ET Docket No. 97-152, Report and Order, 12 FCC </w:t>
      </w:r>
      <w:r>
        <w:rPr>
          <w:rStyle w:val="Emphasis"/>
          <w:i w:val="0"/>
          <w:iCs w:val="0"/>
        </w:rPr>
        <w:t>Rcd</w:t>
      </w:r>
      <w:r>
        <w:rPr>
          <w:rStyle w:val="Emphasis"/>
          <w:i w:val="0"/>
          <w:iCs w:val="0"/>
        </w:rPr>
        <w:t xml:space="preserve"> 22953 (1998). </w:t>
      </w:r>
      <w:r>
        <w:t xml:space="preserve"> </w:t>
      </w:r>
    </w:p>
  </w:footnote>
  <w:footnote w:id="41">
    <w:p w:rsidR="00130DFA" w14:paraId="57BA7CB2" w14:textId="20F94699">
      <w:pPr>
        <w:pStyle w:val="FootnoteText"/>
      </w:pPr>
      <w:r>
        <w:rPr>
          <w:rStyle w:val="FootnoteReference"/>
        </w:rPr>
        <w:footnoteRef/>
      </w:r>
      <w:r>
        <w:t xml:space="preserve"> 47 CFR § 73.687(e)(4)(</w:t>
      </w:r>
      <w:r>
        <w:t>i</w:t>
      </w:r>
      <w:r>
        <w:t>)-(ii).</w:t>
      </w:r>
    </w:p>
  </w:footnote>
  <w:footnote w:id="42">
    <w:p w:rsidR="00130DFA" w:rsidRPr="00F665D0" w:rsidP="00130DFA" w14:paraId="5A6871F2" w14:textId="68D75047">
      <w:pPr>
        <w:spacing w:after="120"/>
        <w:rPr>
          <w:sz w:val="20"/>
        </w:rPr>
      </w:pPr>
      <w:r w:rsidRPr="00130DFA">
        <w:rPr>
          <w:rStyle w:val="FootnoteReference"/>
          <w:szCs w:val="20"/>
        </w:rPr>
        <w:footnoteRef/>
      </w:r>
      <w:r w:rsidRPr="00D172A0">
        <w:rPr>
          <w:sz w:val="20"/>
          <w:szCs w:val="20"/>
        </w:rPr>
        <w:t xml:space="preserve"> </w:t>
      </w:r>
      <w:r w:rsidRPr="00DB24D7">
        <w:rPr>
          <w:rFonts w:ascii="Times New Roman" w:hAnsi="Times New Roman" w:cs="Times New Roman"/>
          <w:sz w:val="20"/>
          <w:szCs w:val="20"/>
        </w:rPr>
        <w:t xml:space="preserve">47 CFR §§ 73.1615 (Operation during modification of facilities), 73.1620 (Program Tests).  </w:t>
      </w:r>
      <w:r w:rsidRPr="00DB24D7" w:rsidR="009D5D45">
        <w:rPr>
          <w:rFonts w:ascii="Times New Roman" w:hAnsi="Times New Roman" w:cs="Times New Roman"/>
          <w:sz w:val="20"/>
          <w:szCs w:val="20"/>
        </w:rPr>
        <w:t xml:space="preserve">Because we are at the stage of amending the DTV Table of Allotments and an application for a construction permit for </w:t>
      </w:r>
      <w:r w:rsidRPr="00DB24D7" w:rsidR="009D5D45">
        <w:rPr>
          <w:rFonts w:ascii="Times New Roman" w:hAnsi="Times New Roman" w:cs="Times New Roman"/>
          <w:color w:val="000000" w:themeColor="text1"/>
          <w:sz w:val="20"/>
          <w:szCs w:val="20"/>
        </w:rPr>
        <w:t xml:space="preserve">channel 14 has not yet been submitted, we need not address LMCC’s interpretation of section 73.687(e)(4)(ii), which </w:t>
      </w:r>
      <w:r w:rsidRPr="00DB24D7" w:rsidR="00BD5729">
        <w:rPr>
          <w:rFonts w:ascii="Times New Roman" w:hAnsi="Times New Roman" w:cs="Times New Roman"/>
          <w:color w:val="000000" w:themeColor="text1"/>
          <w:sz w:val="20"/>
        </w:rPr>
        <w:t>is more appropriately considered in connection with a construction permit application</w:t>
      </w:r>
      <w:r w:rsidRPr="00DB24D7" w:rsidR="009D5D45">
        <w:rPr>
          <w:rFonts w:ascii="Times New Roman" w:hAnsi="Times New Roman" w:cs="Times New Roman"/>
          <w:color w:val="000000" w:themeColor="text1"/>
          <w:sz w:val="20"/>
          <w:szCs w:val="20"/>
        </w:rPr>
        <w:t xml:space="preserve">. </w:t>
      </w:r>
      <w:r w:rsidRPr="00DB24D7" w:rsidR="00BD5729">
        <w:rPr>
          <w:rFonts w:ascii="Times New Roman" w:hAnsi="Times New Roman" w:cs="Times New Roman"/>
          <w:color w:val="000000" w:themeColor="text1"/>
          <w:sz w:val="20"/>
        </w:rPr>
        <w:t xml:space="preserve"> Similarly</w:t>
      </w:r>
      <w:r w:rsidRPr="00DB24D7" w:rsidR="009D5D45">
        <w:rPr>
          <w:rFonts w:ascii="Times New Roman" w:hAnsi="Times New Roman" w:cs="Times New Roman"/>
          <w:color w:val="000000" w:themeColor="text1"/>
          <w:sz w:val="20"/>
          <w:szCs w:val="20"/>
        </w:rPr>
        <w:t>, t</w:t>
      </w:r>
      <w:r w:rsidRPr="00DB24D7" w:rsidR="009D5D45">
        <w:rPr>
          <w:rFonts w:ascii="Times New Roman" w:hAnsi="Times New Roman" w:cs="Times New Roman"/>
          <w:sz w:val="20"/>
          <w:szCs w:val="20"/>
        </w:rPr>
        <w:t xml:space="preserve">o the extent LMCC argues that the Bureau should require a “stop buzzer” contact during the Section 73.1610 testing period, </w:t>
      </w:r>
      <w:r w:rsidRPr="00FA6BB4" w:rsidR="009D5D45">
        <w:rPr>
          <w:rFonts w:ascii="Times New Roman" w:hAnsi="Times New Roman" w:cs="Times New Roman"/>
          <w:i/>
          <w:iCs/>
          <w:sz w:val="20"/>
          <w:szCs w:val="20"/>
        </w:rPr>
        <w:t>see</w:t>
      </w:r>
      <w:r w:rsidRPr="00DB24D7" w:rsidR="009D5D45">
        <w:rPr>
          <w:rFonts w:ascii="Times New Roman" w:hAnsi="Times New Roman" w:cs="Times New Roman"/>
          <w:sz w:val="20"/>
          <w:szCs w:val="20"/>
        </w:rPr>
        <w:t xml:space="preserve"> LMCC </w:t>
      </w:r>
      <w:r w:rsidRPr="00DB24D7" w:rsidR="009D5D45">
        <w:rPr>
          <w:rFonts w:ascii="Times New Roman" w:hAnsi="Times New Roman" w:cs="Times New Roman"/>
          <w:i/>
          <w:iCs/>
          <w:sz w:val="20"/>
          <w:szCs w:val="20"/>
        </w:rPr>
        <w:t xml:space="preserve">Ex </w:t>
      </w:r>
      <w:r w:rsidRPr="00DB24D7" w:rsidR="009D5D45">
        <w:rPr>
          <w:rFonts w:ascii="Times New Roman" w:hAnsi="Times New Roman" w:cs="Times New Roman"/>
          <w:i/>
          <w:iCs/>
          <w:sz w:val="20"/>
          <w:szCs w:val="20"/>
        </w:rPr>
        <w:t>Parte</w:t>
      </w:r>
      <w:r w:rsidRPr="00DB24D7" w:rsidR="009D5D45">
        <w:rPr>
          <w:rFonts w:ascii="Times New Roman" w:hAnsi="Times New Roman" w:cs="Times New Roman"/>
          <w:sz w:val="20"/>
          <w:szCs w:val="20"/>
        </w:rPr>
        <w:t xml:space="preserve"> at 2, this is a matter more appropriately addressed when considering a construction permit application.  In any event, we expect the Licensee will work promptly to resolve any interference during </w:t>
      </w:r>
      <w:r w:rsidRPr="00DB24D7" w:rsidR="00BD5729">
        <w:rPr>
          <w:rFonts w:ascii="Times New Roman" w:hAnsi="Times New Roman" w:cs="Times New Roman"/>
          <w:sz w:val="20"/>
          <w:szCs w:val="20"/>
        </w:rPr>
        <w:t xml:space="preserve">the Section 73.1610 </w:t>
      </w:r>
      <w:r w:rsidRPr="00DB24D7" w:rsidR="009D5D45">
        <w:rPr>
          <w:rFonts w:ascii="Times New Roman" w:hAnsi="Times New Roman" w:cs="Times New Roman"/>
          <w:sz w:val="20"/>
          <w:szCs w:val="20"/>
        </w:rPr>
        <w:t xml:space="preserve"> period.  Based on our experience that licensees and land mobile operators have successfully cooperated during the Section 73.1610 testing period, we see no need to adopt the “stop buzzer” contact proposal </w:t>
      </w:r>
      <w:r w:rsidRPr="00DB24D7" w:rsidR="009D5D45">
        <w:rPr>
          <w:rFonts w:ascii="Times New Roman" w:hAnsi="Times New Roman" w:cs="Times New Roman"/>
          <w:sz w:val="20"/>
        </w:rPr>
        <w:t>based on the record here</w:t>
      </w:r>
      <w:r w:rsidRPr="00DB24D7" w:rsidR="009D5D45">
        <w:rPr>
          <w:rFonts w:ascii="Times New Roman" w:hAnsi="Times New Roman" w:cs="Times New Roman"/>
          <w:sz w:val="20"/>
          <w:szCs w:val="20"/>
        </w:rPr>
        <w:t xml:space="preserve">.  </w:t>
      </w:r>
      <w:r w:rsidRPr="00FA6BB4" w:rsidR="009D5D45">
        <w:rPr>
          <w:rFonts w:ascii="Times New Roman" w:hAnsi="Times New Roman" w:cs="Times New Roman"/>
          <w:i/>
          <w:iCs/>
          <w:sz w:val="20"/>
          <w:szCs w:val="20"/>
        </w:rPr>
        <w:t>See</w:t>
      </w:r>
      <w:r w:rsidRPr="00DB24D7" w:rsidR="009D5D45">
        <w:rPr>
          <w:rFonts w:ascii="Times New Roman" w:hAnsi="Times New Roman" w:cs="Times New Roman"/>
          <w:sz w:val="20"/>
          <w:szCs w:val="20"/>
        </w:rPr>
        <w:t xml:space="preserve"> KUTL Reply at 4 (“committing to perform outreach to potentially affected land mobile facilities to identify and resolve any interference issues which may arise”).</w:t>
      </w:r>
    </w:p>
  </w:footnote>
  <w:footnote w:id="43">
    <w:p w:rsidR="0093055F" w:rsidP="0093055F" w14:paraId="4E7D549A" w14:textId="77777777">
      <w:pPr>
        <w:pStyle w:val="FootnoteText"/>
        <w:widowControl w:val="0"/>
      </w:pPr>
      <w:r>
        <w:rPr>
          <w:rStyle w:val="FootnoteReference"/>
        </w:rPr>
        <w:footnoteRef/>
      </w:r>
      <w:r>
        <w:t xml:space="preserve"> 47 CFR § 73.687(e)(4)(</w:t>
      </w:r>
      <w:r>
        <w:t>i</w:t>
      </w:r>
      <w:r>
        <w:t xml:space="preserve">); </w:t>
      </w:r>
      <w:r w:rsidRPr="00115F78">
        <w:rPr>
          <w:i/>
          <w:iCs/>
        </w:rPr>
        <w:t>Land Mobile Interference Order</w:t>
      </w:r>
      <w:r>
        <w:t xml:space="preserve">, 6 FCC </w:t>
      </w:r>
      <w:r>
        <w:t>Rcd</w:t>
      </w:r>
      <w:r>
        <w:t xml:space="preserve"> at 5153-54, para. 29.</w:t>
      </w:r>
    </w:p>
  </w:footnote>
  <w:footnote w:id="44">
    <w:p w:rsidR="008811AB" w:rsidRPr="00DB24D7" w:rsidP="00F665D0" w14:paraId="0755F6C1" w14:textId="13FA4895">
      <w:pPr>
        <w:spacing w:after="120"/>
        <w:rPr>
          <w:rFonts w:ascii="Times New Roman" w:hAnsi="Times New Roman" w:cs="Times New Roman"/>
          <w:sz w:val="20"/>
        </w:rPr>
      </w:pPr>
      <w:r w:rsidRPr="00DB24D7">
        <w:rPr>
          <w:rStyle w:val="FootnoteReference"/>
          <w:rFonts w:cs="Times New Roman"/>
        </w:rPr>
        <w:footnoteRef/>
      </w:r>
      <w:r w:rsidRPr="00DB24D7">
        <w:rPr>
          <w:rFonts w:ascii="Times New Roman" w:hAnsi="Times New Roman" w:cs="Times New Roman"/>
        </w:rPr>
        <w:t xml:space="preserve"> </w:t>
      </w:r>
      <w:r w:rsidRPr="00DB24D7" w:rsidR="008A0816">
        <w:rPr>
          <w:rFonts w:ascii="Times New Roman" w:hAnsi="Times New Roman" w:cs="Times New Roman"/>
          <w:sz w:val="20"/>
        </w:rPr>
        <w:t>The Bureau places the following condition on every channel 14 television construction permit</w:t>
      </w:r>
      <w:r w:rsidRPr="00DB24D7" w:rsidR="009F65AF">
        <w:rPr>
          <w:rFonts w:ascii="Times New Roman" w:hAnsi="Times New Roman" w:cs="Times New Roman"/>
          <w:sz w:val="20"/>
        </w:rPr>
        <w:t>:</w:t>
      </w:r>
      <w:r w:rsidRPr="00DB24D7" w:rsidR="008A0816">
        <w:rPr>
          <w:rFonts w:ascii="Times New Roman" w:hAnsi="Times New Roman" w:cs="Times New Roman"/>
          <w:sz w:val="20"/>
        </w:rPr>
        <w:t xml:space="preserve">  </w:t>
      </w:r>
      <w:r w:rsidRPr="00DB24D7" w:rsidR="009F65AF">
        <w:rPr>
          <w:rFonts w:ascii="Times New Roman" w:hAnsi="Times New Roman" w:cs="Times New Roman"/>
          <w:sz w:val="20"/>
        </w:rPr>
        <w:t>“</w:t>
      </w:r>
      <w:r w:rsidRPr="00DB24D7" w:rsidR="008A0816">
        <w:rPr>
          <w:rFonts w:ascii="Times New Roman" w:hAnsi="Times New Roman" w:cs="Times New Roman"/>
          <w:sz w:val="20"/>
        </w:rPr>
        <w:t>During equipment tests, authorized by Section 73.1610 of the Commission’s Rules</w:t>
      </w:r>
      <w:r w:rsidRPr="00DB24D7" w:rsidR="00104BE0">
        <w:rPr>
          <w:rFonts w:ascii="Times New Roman" w:hAnsi="Times New Roman" w:cs="Times New Roman"/>
          <w:sz w:val="20"/>
        </w:rPr>
        <w:t xml:space="preserve"> [47 CFR § 73.1610]</w:t>
      </w:r>
      <w:r w:rsidRPr="00DB24D7" w:rsidR="008A0816">
        <w:rPr>
          <w:rFonts w:ascii="Times New Roman" w:hAnsi="Times New Roman" w:cs="Times New Roman"/>
          <w:sz w:val="20"/>
        </w:rPr>
        <w:t xml:space="preserve">, the permittee shall take adequate measures to identify and substantially eliminate objectionable interference which may be caused to existing land mobile radio facilities in the 460 to 470 MHz band. </w:t>
      </w:r>
      <w:r w:rsidRPr="00DB24D7" w:rsidR="00E87D0E">
        <w:rPr>
          <w:rFonts w:ascii="Times New Roman" w:hAnsi="Times New Roman" w:cs="Times New Roman"/>
          <w:sz w:val="20"/>
        </w:rPr>
        <w:t xml:space="preserve"> </w:t>
      </w:r>
      <w:r w:rsidRPr="00DB24D7" w:rsidR="008A0816">
        <w:rPr>
          <w:rFonts w:ascii="Times New Roman" w:hAnsi="Times New Roman" w:cs="Times New Roman"/>
          <w:sz w:val="20"/>
        </w:rPr>
        <w:t xml:space="preserve">Documentation that objectionable interference will not be caused to existing land mobile radio facilities shall be submitted along with the request for Program Test Authority. </w:t>
      </w:r>
      <w:r w:rsidRPr="00DB24D7" w:rsidR="00E87D0E">
        <w:rPr>
          <w:rFonts w:ascii="Times New Roman" w:hAnsi="Times New Roman" w:cs="Times New Roman"/>
          <w:sz w:val="20"/>
        </w:rPr>
        <w:t xml:space="preserve"> </w:t>
      </w:r>
      <w:r w:rsidRPr="00DB24D7" w:rsidR="008A0816">
        <w:rPr>
          <w:rFonts w:ascii="Times New Roman" w:hAnsi="Times New Roman" w:cs="Times New Roman"/>
          <w:sz w:val="20"/>
        </w:rPr>
        <w:t>Program tests shall not be commenced under Section 73.1620(a) of the Commission’s Rules and may only be started after specific authority is granted by the Commission. An application for a license must be filed within 10 days after the start of program tests.</w:t>
      </w:r>
      <w:r w:rsidRPr="00DB24D7" w:rsidR="009F65AF">
        <w:rPr>
          <w:rFonts w:ascii="Times New Roman" w:hAnsi="Times New Roman" w:cs="Times New Roman"/>
          <w:sz w:val="20"/>
        </w:rPr>
        <w:t>”</w:t>
      </w:r>
    </w:p>
  </w:footnote>
  <w:footnote w:id="45">
    <w:p w:rsidR="003D6172" w:rsidP="00F665D0" w14:paraId="767A0141" w14:textId="0B1507CF">
      <w:pPr>
        <w:pStyle w:val="FootnoteText"/>
        <w:widowControl w:val="0"/>
      </w:pPr>
      <w:r>
        <w:rPr>
          <w:rStyle w:val="FootnoteReference"/>
        </w:rPr>
        <w:footnoteRef/>
      </w:r>
      <w:r>
        <w:t xml:space="preserve"> </w:t>
      </w:r>
      <w:r w:rsidRPr="00DB1F56">
        <w:t>While</w:t>
      </w:r>
      <w:r>
        <w:t xml:space="preserve"> the Licensee contends that the channel substitution would benefit ATSC 3.0 reception</w:t>
      </w:r>
      <w:r w:rsidRPr="00DB1F56">
        <w:t xml:space="preserve"> </w:t>
      </w:r>
      <w:r>
        <w:t xml:space="preserve">in addition to ATSC 1.0 reception, </w:t>
      </w:r>
      <w:r>
        <w:rPr>
          <w:i/>
          <w:iCs/>
        </w:rPr>
        <w:t>NPRM,</w:t>
      </w:r>
      <w:r w:rsidR="00E57F6E">
        <w:t xml:space="preserve"> 36 FCC </w:t>
      </w:r>
      <w:r w:rsidR="00E57F6E">
        <w:t>Rcd</w:t>
      </w:r>
      <w:r w:rsidR="00E57F6E">
        <w:t xml:space="preserve"> at 157,</w:t>
      </w:r>
      <w:r w:rsidR="00E57F6E">
        <w:rPr>
          <w:i/>
          <w:iCs/>
        </w:rPr>
        <w:t xml:space="preserve"> </w:t>
      </w:r>
      <w:r>
        <w:t>n.</w:t>
      </w:r>
      <w:r w:rsidR="00E57F6E">
        <w:t>2</w:t>
      </w:r>
      <w:r>
        <w:rPr>
          <w:i/>
          <w:iCs/>
        </w:rPr>
        <w:t xml:space="preserve"> </w:t>
      </w:r>
      <w:r>
        <w:t xml:space="preserve">and Comments at 1-2, </w:t>
      </w:r>
      <w:r w:rsidRPr="00DB1F56">
        <w:t xml:space="preserve">we do not find the </w:t>
      </w:r>
      <w:r w:rsidR="00E57F6E">
        <w:t>Licensee</w:t>
      </w:r>
      <w:r w:rsidRPr="00DB1F56">
        <w:t>’s arguments concerning ATSC 3.0 reception to be a controlling factor in our decision</w:t>
      </w:r>
      <w:r>
        <w:t>, especially given the early stages of deployment and limited availability of consumer devices.</w:t>
      </w:r>
    </w:p>
  </w:footnote>
  <w:footnote w:id="46">
    <w:p w:rsidR="00E97187" w:rsidP="00F665D0" w14:paraId="41D0D0B5" w14:textId="77777777">
      <w:pPr>
        <w:pStyle w:val="FootnoteText"/>
        <w:widowControl w:val="0"/>
      </w:pPr>
      <w:r>
        <w:rPr>
          <w:rStyle w:val="FootnoteReference"/>
        </w:rPr>
        <w:footnoteRef/>
      </w:r>
      <w:r>
        <w:t xml:space="preserve"> 47</w:t>
      </w:r>
      <w:r>
        <w:rPr>
          <w:spacing w:val="-3"/>
        </w:rPr>
        <w:t xml:space="preserve"> </w:t>
      </w:r>
      <w:r>
        <w:rPr>
          <w:spacing w:val="-1"/>
        </w:rPr>
        <w:t>CFR</w:t>
      </w:r>
      <w:r>
        <w:rPr>
          <w:spacing w:val="-5"/>
        </w:rPr>
        <w:t xml:space="preserve"> </w:t>
      </w:r>
      <w:r>
        <w:t>§</w:t>
      </w:r>
      <w:r>
        <w:rPr>
          <w:spacing w:val="-3"/>
        </w:rPr>
        <w:t xml:space="preserve"> </w:t>
      </w:r>
      <w:r>
        <w:t>73.625(a).</w:t>
      </w:r>
    </w:p>
  </w:footnote>
  <w:footnote w:id="47">
    <w:p w:rsidR="00E97187" w:rsidP="00F665D0" w14:paraId="6CE90BFC" w14:textId="77777777">
      <w:pPr>
        <w:pStyle w:val="FootnoteText"/>
        <w:widowControl w:val="0"/>
      </w:pPr>
      <w:r>
        <w:rPr>
          <w:rStyle w:val="FootnoteReference"/>
        </w:rPr>
        <w:footnoteRef/>
      </w:r>
      <w:r>
        <w:t xml:space="preserve"> 47</w:t>
      </w:r>
      <w:r>
        <w:rPr>
          <w:spacing w:val="-3"/>
        </w:rPr>
        <w:t xml:space="preserve"> </w:t>
      </w:r>
      <w:r>
        <w:rPr>
          <w:spacing w:val="-1"/>
        </w:rPr>
        <w:t>CFR</w:t>
      </w:r>
      <w:r>
        <w:rPr>
          <w:spacing w:val="-6"/>
        </w:rPr>
        <w:t xml:space="preserve"> </w:t>
      </w:r>
      <w:r>
        <w:t>§§</w:t>
      </w:r>
      <w:r>
        <w:rPr>
          <w:spacing w:val="-3"/>
        </w:rPr>
        <w:t xml:space="preserve"> </w:t>
      </w:r>
      <w:r>
        <w:t>73.616,</w:t>
      </w:r>
      <w:r>
        <w:rPr>
          <w:spacing w:val="-4"/>
        </w:rPr>
        <w:t xml:space="preserve"> </w:t>
      </w:r>
      <w:r>
        <w:t>73.623.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7F55" w14:paraId="6733DA6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D27F55" w:rsidP="00D27F55" w14:paraId="0BB49AD4" w14:textId="6CC06B2F">
    <w:pPr>
      <w:pStyle w:val="NoSpacing"/>
      <w:jc w:val="right"/>
      <w:rPr>
        <w:rFonts w:ascii="Times New Roman" w:hAnsi="Times New Roman" w:cs="Times New Roman"/>
        <w:b/>
        <w:bCs/>
      </w:rPr>
    </w:pPr>
    <w:r w:rsidRPr="00D27F55">
      <w:rPr>
        <w:rFonts w:ascii="Times New Roman" w:hAnsi="Times New Roman" w:cs="Times New Roman"/>
        <w:b/>
        <w:bCs/>
      </w:rPr>
      <w:t>Federal Communications Commission</w:t>
    </w:r>
    <w:r w:rsidRPr="00D27F55">
      <w:rPr>
        <w:rFonts w:ascii="Times New Roman" w:hAnsi="Times New Roman" w:cs="Times New Roman"/>
        <w:b/>
        <w:bCs/>
      </w:rPr>
      <w:tab/>
    </w:r>
    <w:r w:rsidRPr="00D27F55">
      <w:rPr>
        <w:rFonts w:ascii="Times New Roman" w:hAnsi="Times New Roman" w:cs="Times New Roman"/>
        <w:b/>
        <w:bCs/>
      </w:rPr>
      <w:tab/>
    </w:r>
    <w:r w:rsidRPr="00D27F55">
      <w:rPr>
        <w:rFonts w:ascii="Times New Roman" w:hAnsi="Times New Roman" w:cs="Times New Roman"/>
        <w:b/>
        <w:bCs/>
      </w:rPr>
      <w:tab/>
    </w:r>
    <w:r w:rsidRPr="00D27F55">
      <w:rPr>
        <w:rFonts w:ascii="Times New Roman" w:hAnsi="Times New Roman" w:cs="Times New Roman"/>
        <w:b/>
        <w:bCs/>
      </w:rPr>
      <w:tab/>
    </w:r>
    <w:r w:rsidRPr="00D27F55">
      <w:rPr>
        <w:rFonts w:ascii="Times New Roman" w:hAnsi="Times New Roman" w:cs="Times New Roman"/>
        <w:b/>
        <w:bCs/>
        <w:spacing w:val="-2"/>
      </w:rPr>
      <w:t>DA 21-</w:t>
    </w:r>
    <w:r>
      <w:rPr>
        <w:rFonts w:ascii="Times New Roman" w:hAnsi="Times New Roman" w:cs="Times New Roman"/>
        <w:b/>
        <w:bCs/>
        <w:spacing w:val="-2"/>
      </w:rPr>
      <w:t>1161</w:t>
    </w:r>
  </w:p>
  <w:p w:rsidR="00D25FB5" w14:paraId="2AA478A8"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2B57D02"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DA0B4C" w:rsidP="00DA0B4C" w14:paraId="5E84229C" w14:textId="113B436D">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rsidRPr="00DA0B4C">
      <w:t>Federal Communications Commission</w:t>
    </w:r>
    <w:r w:rsidRPr="00DA0B4C">
      <w:tab/>
    </w:r>
    <w:r w:rsidRPr="00DA0B4C" w:rsidR="00E97187">
      <w:rPr>
        <w:spacing w:val="-2"/>
      </w:rPr>
      <w:t>DA 21-</w:t>
    </w:r>
    <w:r w:rsidR="00D27F55">
      <w:rPr>
        <w:spacing w:val="-2"/>
      </w:rPr>
      <w:t>1161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01765D1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620"/>
        </w:tabs>
        <w:ind w:left="540" w:firstLine="720"/>
      </w:p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removePersonalInformation/>
  <w:removeDateAndTime/>
  <w:bordersDoNotSurroundHeader/>
  <w:bordersDoNotSurroundFooter/>
  <w:proofState w:spelling="clean" w:grammar="clean"/>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87"/>
    <w:rsid w:val="00000C05"/>
    <w:rsid w:val="00012088"/>
    <w:rsid w:val="00013187"/>
    <w:rsid w:val="00014A15"/>
    <w:rsid w:val="00021AB3"/>
    <w:rsid w:val="00031E32"/>
    <w:rsid w:val="00036039"/>
    <w:rsid w:val="00037F90"/>
    <w:rsid w:val="00040F28"/>
    <w:rsid w:val="00047752"/>
    <w:rsid w:val="00054504"/>
    <w:rsid w:val="0005462E"/>
    <w:rsid w:val="00064BDF"/>
    <w:rsid w:val="000709BB"/>
    <w:rsid w:val="00087253"/>
    <w:rsid w:val="000875BF"/>
    <w:rsid w:val="00087724"/>
    <w:rsid w:val="00091600"/>
    <w:rsid w:val="000917D9"/>
    <w:rsid w:val="00092AB5"/>
    <w:rsid w:val="000948E3"/>
    <w:rsid w:val="00095107"/>
    <w:rsid w:val="00096D8C"/>
    <w:rsid w:val="000A06B7"/>
    <w:rsid w:val="000A1402"/>
    <w:rsid w:val="000A1BDE"/>
    <w:rsid w:val="000B6166"/>
    <w:rsid w:val="000B6AD5"/>
    <w:rsid w:val="000C01B3"/>
    <w:rsid w:val="000C0B65"/>
    <w:rsid w:val="000C5902"/>
    <w:rsid w:val="000C7C50"/>
    <w:rsid w:val="000E05FE"/>
    <w:rsid w:val="000E1294"/>
    <w:rsid w:val="000E3D42"/>
    <w:rsid w:val="000E3EFF"/>
    <w:rsid w:val="000E67F9"/>
    <w:rsid w:val="001023E8"/>
    <w:rsid w:val="00104853"/>
    <w:rsid w:val="00104BE0"/>
    <w:rsid w:val="00115F78"/>
    <w:rsid w:val="00122BD5"/>
    <w:rsid w:val="001276F6"/>
    <w:rsid w:val="00130DFA"/>
    <w:rsid w:val="00132F45"/>
    <w:rsid w:val="00133ECA"/>
    <w:rsid w:val="00133F79"/>
    <w:rsid w:val="00143B6E"/>
    <w:rsid w:val="0014718D"/>
    <w:rsid w:val="00151F6C"/>
    <w:rsid w:val="00154D44"/>
    <w:rsid w:val="00156C7F"/>
    <w:rsid w:val="00156DD7"/>
    <w:rsid w:val="0017296B"/>
    <w:rsid w:val="00182D3D"/>
    <w:rsid w:val="00190580"/>
    <w:rsid w:val="00194A66"/>
    <w:rsid w:val="001A2175"/>
    <w:rsid w:val="001A4974"/>
    <w:rsid w:val="001A6147"/>
    <w:rsid w:val="001B10DB"/>
    <w:rsid w:val="001B628B"/>
    <w:rsid w:val="001B709E"/>
    <w:rsid w:val="001B712A"/>
    <w:rsid w:val="001B76A5"/>
    <w:rsid w:val="001C0375"/>
    <w:rsid w:val="001C1567"/>
    <w:rsid w:val="001C50DA"/>
    <w:rsid w:val="001D6735"/>
    <w:rsid w:val="001D6BCF"/>
    <w:rsid w:val="001D79B1"/>
    <w:rsid w:val="001E0027"/>
    <w:rsid w:val="001E01CA"/>
    <w:rsid w:val="001E2CD4"/>
    <w:rsid w:val="001E4FA2"/>
    <w:rsid w:val="001F03AD"/>
    <w:rsid w:val="001F325F"/>
    <w:rsid w:val="001F5E8F"/>
    <w:rsid w:val="00203929"/>
    <w:rsid w:val="002069AD"/>
    <w:rsid w:val="00206D86"/>
    <w:rsid w:val="002174AB"/>
    <w:rsid w:val="00227FAF"/>
    <w:rsid w:val="00245098"/>
    <w:rsid w:val="00260388"/>
    <w:rsid w:val="00267690"/>
    <w:rsid w:val="002755AC"/>
    <w:rsid w:val="00275CF5"/>
    <w:rsid w:val="0028284F"/>
    <w:rsid w:val="0028301F"/>
    <w:rsid w:val="00285017"/>
    <w:rsid w:val="002A2D2E"/>
    <w:rsid w:val="002A79DD"/>
    <w:rsid w:val="002B0104"/>
    <w:rsid w:val="002B2158"/>
    <w:rsid w:val="002B4605"/>
    <w:rsid w:val="002C00C7"/>
    <w:rsid w:val="002C00E8"/>
    <w:rsid w:val="002D2555"/>
    <w:rsid w:val="002E3756"/>
    <w:rsid w:val="002F3B70"/>
    <w:rsid w:val="002F4157"/>
    <w:rsid w:val="003103A5"/>
    <w:rsid w:val="003308CC"/>
    <w:rsid w:val="00332D62"/>
    <w:rsid w:val="003400FB"/>
    <w:rsid w:val="00343749"/>
    <w:rsid w:val="0035130A"/>
    <w:rsid w:val="00351C35"/>
    <w:rsid w:val="00361276"/>
    <w:rsid w:val="00363AF1"/>
    <w:rsid w:val="003660ED"/>
    <w:rsid w:val="00367AAE"/>
    <w:rsid w:val="00367B19"/>
    <w:rsid w:val="00381DCA"/>
    <w:rsid w:val="00384D9A"/>
    <w:rsid w:val="003918D1"/>
    <w:rsid w:val="003960F9"/>
    <w:rsid w:val="00397A31"/>
    <w:rsid w:val="003A0440"/>
    <w:rsid w:val="003A688B"/>
    <w:rsid w:val="003B0550"/>
    <w:rsid w:val="003B3DB4"/>
    <w:rsid w:val="003B5D93"/>
    <w:rsid w:val="003B694F"/>
    <w:rsid w:val="003D1FF7"/>
    <w:rsid w:val="003D592A"/>
    <w:rsid w:val="003D6172"/>
    <w:rsid w:val="003E1A4C"/>
    <w:rsid w:val="003E629E"/>
    <w:rsid w:val="003F171C"/>
    <w:rsid w:val="003F2F96"/>
    <w:rsid w:val="003F4D5E"/>
    <w:rsid w:val="003F73DF"/>
    <w:rsid w:val="003F7895"/>
    <w:rsid w:val="00400001"/>
    <w:rsid w:val="0040157D"/>
    <w:rsid w:val="00407347"/>
    <w:rsid w:val="00412FC5"/>
    <w:rsid w:val="00422276"/>
    <w:rsid w:val="004242F1"/>
    <w:rsid w:val="00424EA6"/>
    <w:rsid w:val="00427DA4"/>
    <w:rsid w:val="00433AF7"/>
    <w:rsid w:val="004438E6"/>
    <w:rsid w:val="00445A00"/>
    <w:rsid w:val="00451B0F"/>
    <w:rsid w:val="00453DB5"/>
    <w:rsid w:val="00457563"/>
    <w:rsid w:val="00461A0F"/>
    <w:rsid w:val="00471E93"/>
    <w:rsid w:val="00481086"/>
    <w:rsid w:val="0049235A"/>
    <w:rsid w:val="00497FD9"/>
    <w:rsid w:val="004A57F0"/>
    <w:rsid w:val="004B1636"/>
    <w:rsid w:val="004C2EE3"/>
    <w:rsid w:val="004D1A3D"/>
    <w:rsid w:val="004D4DB7"/>
    <w:rsid w:val="004E1830"/>
    <w:rsid w:val="004E4A22"/>
    <w:rsid w:val="004F3EEB"/>
    <w:rsid w:val="004F404D"/>
    <w:rsid w:val="0050108E"/>
    <w:rsid w:val="005058DA"/>
    <w:rsid w:val="00506E79"/>
    <w:rsid w:val="005077A3"/>
    <w:rsid w:val="0051167B"/>
    <w:rsid w:val="00511968"/>
    <w:rsid w:val="00511E8C"/>
    <w:rsid w:val="00513DCD"/>
    <w:rsid w:val="00527228"/>
    <w:rsid w:val="00535CE5"/>
    <w:rsid w:val="005379F9"/>
    <w:rsid w:val="0055614C"/>
    <w:rsid w:val="00565508"/>
    <w:rsid w:val="00566D06"/>
    <w:rsid w:val="00590F45"/>
    <w:rsid w:val="005A60EF"/>
    <w:rsid w:val="005C1ECA"/>
    <w:rsid w:val="005C2035"/>
    <w:rsid w:val="005C5CB8"/>
    <w:rsid w:val="005E14C2"/>
    <w:rsid w:val="005E15A6"/>
    <w:rsid w:val="005F0FB5"/>
    <w:rsid w:val="005F5220"/>
    <w:rsid w:val="00607BA5"/>
    <w:rsid w:val="0061180A"/>
    <w:rsid w:val="00616F89"/>
    <w:rsid w:val="0062065C"/>
    <w:rsid w:val="00621954"/>
    <w:rsid w:val="00625FAE"/>
    <w:rsid w:val="00626EB6"/>
    <w:rsid w:val="00632D21"/>
    <w:rsid w:val="006366F3"/>
    <w:rsid w:val="006409B6"/>
    <w:rsid w:val="00641051"/>
    <w:rsid w:val="00653B26"/>
    <w:rsid w:val="00655D03"/>
    <w:rsid w:val="00660DDD"/>
    <w:rsid w:val="006635A4"/>
    <w:rsid w:val="00665222"/>
    <w:rsid w:val="00673BE4"/>
    <w:rsid w:val="00676695"/>
    <w:rsid w:val="006777C5"/>
    <w:rsid w:val="00683388"/>
    <w:rsid w:val="00683F84"/>
    <w:rsid w:val="00685A1C"/>
    <w:rsid w:val="00691886"/>
    <w:rsid w:val="006945ED"/>
    <w:rsid w:val="006A6A81"/>
    <w:rsid w:val="006C73C6"/>
    <w:rsid w:val="006D11C1"/>
    <w:rsid w:val="006E2ABD"/>
    <w:rsid w:val="006F7393"/>
    <w:rsid w:val="0070224F"/>
    <w:rsid w:val="007039D7"/>
    <w:rsid w:val="00704459"/>
    <w:rsid w:val="007076D4"/>
    <w:rsid w:val="00710D1E"/>
    <w:rsid w:val="007115F7"/>
    <w:rsid w:val="00711A32"/>
    <w:rsid w:val="007135CF"/>
    <w:rsid w:val="00716576"/>
    <w:rsid w:val="007250C3"/>
    <w:rsid w:val="00730ECF"/>
    <w:rsid w:val="007356FB"/>
    <w:rsid w:val="007460D0"/>
    <w:rsid w:val="007469D2"/>
    <w:rsid w:val="00750FF8"/>
    <w:rsid w:val="00751508"/>
    <w:rsid w:val="00752E7E"/>
    <w:rsid w:val="00757308"/>
    <w:rsid w:val="00776C11"/>
    <w:rsid w:val="007850B5"/>
    <w:rsid w:val="00785689"/>
    <w:rsid w:val="007926DD"/>
    <w:rsid w:val="0079668C"/>
    <w:rsid w:val="0079754B"/>
    <w:rsid w:val="007A1E6D"/>
    <w:rsid w:val="007A7D14"/>
    <w:rsid w:val="007B0EB2"/>
    <w:rsid w:val="007B393D"/>
    <w:rsid w:val="007B611D"/>
    <w:rsid w:val="007C63F2"/>
    <w:rsid w:val="007D2A92"/>
    <w:rsid w:val="007E31D4"/>
    <w:rsid w:val="007F6ED0"/>
    <w:rsid w:val="0080033E"/>
    <w:rsid w:val="00810B6F"/>
    <w:rsid w:val="008114FC"/>
    <w:rsid w:val="00814A10"/>
    <w:rsid w:val="00822CE0"/>
    <w:rsid w:val="00831117"/>
    <w:rsid w:val="00841AB1"/>
    <w:rsid w:val="00843363"/>
    <w:rsid w:val="00845454"/>
    <w:rsid w:val="00852F57"/>
    <w:rsid w:val="0085773E"/>
    <w:rsid w:val="00862713"/>
    <w:rsid w:val="008811AB"/>
    <w:rsid w:val="0088691D"/>
    <w:rsid w:val="00886969"/>
    <w:rsid w:val="00890654"/>
    <w:rsid w:val="008A0816"/>
    <w:rsid w:val="008B22BC"/>
    <w:rsid w:val="008C309F"/>
    <w:rsid w:val="008C59E5"/>
    <w:rsid w:val="008C68F1"/>
    <w:rsid w:val="008C6F34"/>
    <w:rsid w:val="008D1AEA"/>
    <w:rsid w:val="008D43B6"/>
    <w:rsid w:val="008D5153"/>
    <w:rsid w:val="008D6709"/>
    <w:rsid w:val="008E1110"/>
    <w:rsid w:val="008E6722"/>
    <w:rsid w:val="009078BE"/>
    <w:rsid w:val="00907B80"/>
    <w:rsid w:val="009111F0"/>
    <w:rsid w:val="00921803"/>
    <w:rsid w:val="00924BBC"/>
    <w:rsid w:val="00926503"/>
    <w:rsid w:val="00927A2C"/>
    <w:rsid w:val="0093055F"/>
    <w:rsid w:val="009336AA"/>
    <w:rsid w:val="00941655"/>
    <w:rsid w:val="00946960"/>
    <w:rsid w:val="00947062"/>
    <w:rsid w:val="009523B3"/>
    <w:rsid w:val="00955554"/>
    <w:rsid w:val="00964269"/>
    <w:rsid w:val="00965E3E"/>
    <w:rsid w:val="00970417"/>
    <w:rsid w:val="009726D8"/>
    <w:rsid w:val="0097489B"/>
    <w:rsid w:val="00975C76"/>
    <w:rsid w:val="009919F5"/>
    <w:rsid w:val="00991EFB"/>
    <w:rsid w:val="00997909"/>
    <w:rsid w:val="009A25D5"/>
    <w:rsid w:val="009A48F4"/>
    <w:rsid w:val="009B068F"/>
    <w:rsid w:val="009B262E"/>
    <w:rsid w:val="009B4AA3"/>
    <w:rsid w:val="009B5BBF"/>
    <w:rsid w:val="009B7025"/>
    <w:rsid w:val="009D2708"/>
    <w:rsid w:val="009D5D45"/>
    <w:rsid w:val="009D6F7B"/>
    <w:rsid w:val="009D7308"/>
    <w:rsid w:val="009F50D1"/>
    <w:rsid w:val="009F5726"/>
    <w:rsid w:val="009F65AF"/>
    <w:rsid w:val="009F76DB"/>
    <w:rsid w:val="00A01EEE"/>
    <w:rsid w:val="00A02814"/>
    <w:rsid w:val="00A0743F"/>
    <w:rsid w:val="00A14B38"/>
    <w:rsid w:val="00A2491E"/>
    <w:rsid w:val="00A31CDC"/>
    <w:rsid w:val="00A32C3B"/>
    <w:rsid w:val="00A40533"/>
    <w:rsid w:val="00A4084D"/>
    <w:rsid w:val="00A45F4F"/>
    <w:rsid w:val="00A53951"/>
    <w:rsid w:val="00A600A9"/>
    <w:rsid w:val="00A64148"/>
    <w:rsid w:val="00A651AA"/>
    <w:rsid w:val="00A65FC4"/>
    <w:rsid w:val="00A76717"/>
    <w:rsid w:val="00A8479F"/>
    <w:rsid w:val="00A85EE9"/>
    <w:rsid w:val="00A87670"/>
    <w:rsid w:val="00A9483F"/>
    <w:rsid w:val="00AA55B7"/>
    <w:rsid w:val="00AA5B9E"/>
    <w:rsid w:val="00AB02D6"/>
    <w:rsid w:val="00AB0804"/>
    <w:rsid w:val="00AB2407"/>
    <w:rsid w:val="00AB39E8"/>
    <w:rsid w:val="00AB53DF"/>
    <w:rsid w:val="00AC3F46"/>
    <w:rsid w:val="00AC58BC"/>
    <w:rsid w:val="00AC7016"/>
    <w:rsid w:val="00AD28E0"/>
    <w:rsid w:val="00AD66C0"/>
    <w:rsid w:val="00AE423E"/>
    <w:rsid w:val="00AE585E"/>
    <w:rsid w:val="00AE7B72"/>
    <w:rsid w:val="00B00503"/>
    <w:rsid w:val="00B01A14"/>
    <w:rsid w:val="00B050C5"/>
    <w:rsid w:val="00B07E5C"/>
    <w:rsid w:val="00B221C0"/>
    <w:rsid w:val="00B26A65"/>
    <w:rsid w:val="00B3697B"/>
    <w:rsid w:val="00B41CE6"/>
    <w:rsid w:val="00B432A4"/>
    <w:rsid w:val="00B44EF0"/>
    <w:rsid w:val="00B45D37"/>
    <w:rsid w:val="00B61212"/>
    <w:rsid w:val="00B66A30"/>
    <w:rsid w:val="00B7119B"/>
    <w:rsid w:val="00B811F7"/>
    <w:rsid w:val="00B934DF"/>
    <w:rsid w:val="00B95561"/>
    <w:rsid w:val="00BA21E4"/>
    <w:rsid w:val="00BA5DC6"/>
    <w:rsid w:val="00BA6196"/>
    <w:rsid w:val="00BC1099"/>
    <w:rsid w:val="00BC6D8C"/>
    <w:rsid w:val="00BD5729"/>
    <w:rsid w:val="00BE281F"/>
    <w:rsid w:val="00BF0056"/>
    <w:rsid w:val="00BF5B57"/>
    <w:rsid w:val="00C00808"/>
    <w:rsid w:val="00C00ACF"/>
    <w:rsid w:val="00C0403D"/>
    <w:rsid w:val="00C06A44"/>
    <w:rsid w:val="00C1621D"/>
    <w:rsid w:val="00C2185E"/>
    <w:rsid w:val="00C329AC"/>
    <w:rsid w:val="00C34006"/>
    <w:rsid w:val="00C34A62"/>
    <w:rsid w:val="00C36B4C"/>
    <w:rsid w:val="00C374CC"/>
    <w:rsid w:val="00C426B1"/>
    <w:rsid w:val="00C43C45"/>
    <w:rsid w:val="00C66160"/>
    <w:rsid w:val="00C721AC"/>
    <w:rsid w:val="00C72FA6"/>
    <w:rsid w:val="00C738D7"/>
    <w:rsid w:val="00C802E6"/>
    <w:rsid w:val="00C814B4"/>
    <w:rsid w:val="00C85E24"/>
    <w:rsid w:val="00C90D6A"/>
    <w:rsid w:val="00CA247E"/>
    <w:rsid w:val="00CA4457"/>
    <w:rsid w:val="00CA6D21"/>
    <w:rsid w:val="00CB1130"/>
    <w:rsid w:val="00CB55AE"/>
    <w:rsid w:val="00CC72B6"/>
    <w:rsid w:val="00CD7473"/>
    <w:rsid w:val="00CF5548"/>
    <w:rsid w:val="00CF65F3"/>
    <w:rsid w:val="00D0218D"/>
    <w:rsid w:val="00D035FA"/>
    <w:rsid w:val="00D172A0"/>
    <w:rsid w:val="00D24764"/>
    <w:rsid w:val="00D25FB5"/>
    <w:rsid w:val="00D26C01"/>
    <w:rsid w:val="00D27F55"/>
    <w:rsid w:val="00D3417F"/>
    <w:rsid w:val="00D35C96"/>
    <w:rsid w:val="00D369E3"/>
    <w:rsid w:val="00D4160A"/>
    <w:rsid w:val="00D44223"/>
    <w:rsid w:val="00D63DBF"/>
    <w:rsid w:val="00D711F6"/>
    <w:rsid w:val="00D76DA2"/>
    <w:rsid w:val="00D77BE9"/>
    <w:rsid w:val="00D854AE"/>
    <w:rsid w:val="00D91644"/>
    <w:rsid w:val="00D950E0"/>
    <w:rsid w:val="00DA0B4C"/>
    <w:rsid w:val="00DA2529"/>
    <w:rsid w:val="00DA3482"/>
    <w:rsid w:val="00DA6951"/>
    <w:rsid w:val="00DB130A"/>
    <w:rsid w:val="00DB1F56"/>
    <w:rsid w:val="00DB24D7"/>
    <w:rsid w:val="00DB2EBB"/>
    <w:rsid w:val="00DB6831"/>
    <w:rsid w:val="00DC10A1"/>
    <w:rsid w:val="00DC1CF3"/>
    <w:rsid w:val="00DC655F"/>
    <w:rsid w:val="00DC699B"/>
    <w:rsid w:val="00DD0B59"/>
    <w:rsid w:val="00DD212E"/>
    <w:rsid w:val="00DD2786"/>
    <w:rsid w:val="00DD5BF0"/>
    <w:rsid w:val="00DD7EBD"/>
    <w:rsid w:val="00DF0BBF"/>
    <w:rsid w:val="00DF2EB3"/>
    <w:rsid w:val="00DF32E4"/>
    <w:rsid w:val="00DF5C1A"/>
    <w:rsid w:val="00DF62B6"/>
    <w:rsid w:val="00DF6A60"/>
    <w:rsid w:val="00E00DE8"/>
    <w:rsid w:val="00E01E31"/>
    <w:rsid w:val="00E057BF"/>
    <w:rsid w:val="00E07225"/>
    <w:rsid w:val="00E208EC"/>
    <w:rsid w:val="00E21E18"/>
    <w:rsid w:val="00E25A83"/>
    <w:rsid w:val="00E260F8"/>
    <w:rsid w:val="00E51E7F"/>
    <w:rsid w:val="00E5409F"/>
    <w:rsid w:val="00E57D3F"/>
    <w:rsid w:val="00E57F6E"/>
    <w:rsid w:val="00E67C78"/>
    <w:rsid w:val="00E769A4"/>
    <w:rsid w:val="00E82A72"/>
    <w:rsid w:val="00E84855"/>
    <w:rsid w:val="00E87D0E"/>
    <w:rsid w:val="00E920CA"/>
    <w:rsid w:val="00E95352"/>
    <w:rsid w:val="00E95C8E"/>
    <w:rsid w:val="00E97187"/>
    <w:rsid w:val="00EA52F5"/>
    <w:rsid w:val="00EB2038"/>
    <w:rsid w:val="00EB60CC"/>
    <w:rsid w:val="00EC220E"/>
    <w:rsid w:val="00EC2856"/>
    <w:rsid w:val="00EC4DB1"/>
    <w:rsid w:val="00EC588B"/>
    <w:rsid w:val="00EC5F55"/>
    <w:rsid w:val="00ED24FC"/>
    <w:rsid w:val="00ED2F72"/>
    <w:rsid w:val="00EE3F30"/>
    <w:rsid w:val="00EE6488"/>
    <w:rsid w:val="00EE6D5C"/>
    <w:rsid w:val="00EF37B0"/>
    <w:rsid w:val="00F021FA"/>
    <w:rsid w:val="00F06A71"/>
    <w:rsid w:val="00F1421A"/>
    <w:rsid w:val="00F23FF8"/>
    <w:rsid w:val="00F35705"/>
    <w:rsid w:val="00F36305"/>
    <w:rsid w:val="00F372C7"/>
    <w:rsid w:val="00F376C5"/>
    <w:rsid w:val="00F466AA"/>
    <w:rsid w:val="00F51BF7"/>
    <w:rsid w:val="00F61CB8"/>
    <w:rsid w:val="00F62E97"/>
    <w:rsid w:val="00F64209"/>
    <w:rsid w:val="00F665D0"/>
    <w:rsid w:val="00F704E0"/>
    <w:rsid w:val="00F76BF4"/>
    <w:rsid w:val="00F84FA0"/>
    <w:rsid w:val="00F864DB"/>
    <w:rsid w:val="00F86933"/>
    <w:rsid w:val="00F93BF5"/>
    <w:rsid w:val="00FA066B"/>
    <w:rsid w:val="00FA32C7"/>
    <w:rsid w:val="00FA4C43"/>
    <w:rsid w:val="00FA6BB4"/>
    <w:rsid w:val="00FB420E"/>
    <w:rsid w:val="00FD36C5"/>
    <w:rsid w:val="00FE2FCA"/>
    <w:rsid w:val="00FE5AA9"/>
    <w:rsid w:val="00FE7CD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98AE0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B4C"/>
    <w:pPr>
      <w:spacing w:after="200" w:line="276" w:lineRule="auto"/>
    </w:pPr>
    <w:rPr>
      <w:rFonts w:asciiTheme="minorHAnsi" w:eastAsiaTheme="minorHAnsi" w:hAnsiTheme="minorHAnsi" w:cstheme="minorBidi"/>
      <w:sz w:val="22"/>
      <w:szCs w:val="22"/>
    </w:rPr>
  </w:style>
  <w:style w:type="paragraph" w:styleId="Heading1">
    <w:name w:val="heading 1"/>
    <w:basedOn w:val="Normal"/>
    <w:next w:val="ParaNum"/>
    <w:qFormat/>
    <w:rsid w:val="00CF554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F5548"/>
    <w:pPr>
      <w:keepNext/>
      <w:numPr>
        <w:ilvl w:val="1"/>
        <w:numId w:val="3"/>
      </w:numPr>
      <w:spacing w:after="120"/>
      <w:outlineLvl w:val="1"/>
    </w:pPr>
    <w:rPr>
      <w:b/>
    </w:rPr>
  </w:style>
  <w:style w:type="paragraph" w:styleId="Heading3">
    <w:name w:val="heading 3"/>
    <w:basedOn w:val="Normal"/>
    <w:next w:val="ParaNum"/>
    <w:qFormat/>
    <w:rsid w:val="00CF5548"/>
    <w:pPr>
      <w:keepNext/>
      <w:numPr>
        <w:ilvl w:val="2"/>
        <w:numId w:val="3"/>
      </w:numPr>
      <w:tabs>
        <w:tab w:val="left" w:pos="2160"/>
      </w:tabs>
      <w:spacing w:after="120"/>
      <w:outlineLvl w:val="2"/>
    </w:pPr>
    <w:rPr>
      <w:b/>
    </w:rPr>
  </w:style>
  <w:style w:type="paragraph" w:styleId="Heading4">
    <w:name w:val="heading 4"/>
    <w:basedOn w:val="Normal"/>
    <w:next w:val="ParaNum"/>
    <w:qFormat/>
    <w:rsid w:val="00CF5548"/>
    <w:pPr>
      <w:keepNext/>
      <w:numPr>
        <w:ilvl w:val="3"/>
        <w:numId w:val="3"/>
      </w:numPr>
      <w:tabs>
        <w:tab w:val="left" w:pos="2880"/>
      </w:tabs>
      <w:spacing w:after="120"/>
      <w:outlineLvl w:val="3"/>
    </w:pPr>
    <w:rPr>
      <w:b/>
    </w:rPr>
  </w:style>
  <w:style w:type="paragraph" w:styleId="Heading5">
    <w:name w:val="heading 5"/>
    <w:basedOn w:val="Normal"/>
    <w:next w:val="ParaNum"/>
    <w:qFormat/>
    <w:rsid w:val="00CF554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F5548"/>
    <w:pPr>
      <w:numPr>
        <w:ilvl w:val="5"/>
        <w:numId w:val="3"/>
      </w:numPr>
      <w:tabs>
        <w:tab w:val="left" w:pos="4320"/>
      </w:tabs>
      <w:spacing w:after="120"/>
      <w:outlineLvl w:val="5"/>
    </w:pPr>
    <w:rPr>
      <w:b/>
    </w:rPr>
  </w:style>
  <w:style w:type="paragraph" w:styleId="Heading7">
    <w:name w:val="heading 7"/>
    <w:basedOn w:val="Normal"/>
    <w:next w:val="ParaNum"/>
    <w:qFormat/>
    <w:rsid w:val="00CF554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F554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F554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A0B4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A0B4C"/>
  </w:style>
  <w:style w:type="paragraph" w:customStyle="1" w:styleId="ParaNum">
    <w:name w:val="ParaNum"/>
    <w:basedOn w:val="Normal"/>
    <w:link w:val="ParaNumChar1"/>
    <w:rsid w:val="00CF5548"/>
    <w:pPr>
      <w:numPr>
        <w:numId w:val="2"/>
      </w:numPr>
      <w:tabs>
        <w:tab w:val="num" w:pos="1440"/>
        <w:tab w:val="clear" w:pos="1620"/>
      </w:tabs>
      <w:spacing w:after="120"/>
      <w:ind w:left="0"/>
    </w:pPr>
  </w:style>
  <w:style w:type="paragraph" w:styleId="EndnoteText">
    <w:name w:val="endnote text"/>
    <w:basedOn w:val="Normal"/>
    <w:semiHidden/>
    <w:rsid w:val="00CF5548"/>
    <w:rPr>
      <w:sz w:val="20"/>
    </w:rPr>
  </w:style>
  <w:style w:type="character" w:styleId="EndnoteReference">
    <w:name w:val="endnote reference"/>
    <w:semiHidden/>
    <w:rsid w:val="00CF5548"/>
    <w:rPr>
      <w:vertAlign w:val="superscript"/>
    </w:rPr>
  </w:style>
  <w:style w:type="paragraph" w:styleId="FootnoteText">
    <w:name w:val="footnote text"/>
    <w:aliases w:val="Footnote Text Char Char1 Char,Footnote Text Char Char1 Char Char Char1,Footnote Text Char1,Footnote Text Char1 Char,Footnote Text Char1 Char Char Char1 Char Char,Footnote Text Char2 Char1 Char Char,f,fn Char,fn Char Char"/>
    <w:link w:val="FootnoteTextChar"/>
    <w:rsid w:val="00CF5548"/>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CF5548"/>
    <w:rPr>
      <w:rFonts w:ascii="Times New Roman" w:hAnsi="Times New Roman"/>
      <w:dstrike w:val="0"/>
      <w:color w:val="auto"/>
      <w:sz w:val="20"/>
      <w:vertAlign w:val="superscript"/>
    </w:rPr>
  </w:style>
  <w:style w:type="paragraph" w:styleId="TOC1">
    <w:name w:val="toc 1"/>
    <w:basedOn w:val="Normal"/>
    <w:next w:val="Normal"/>
    <w:semiHidden/>
    <w:rsid w:val="00CF554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F5548"/>
    <w:pPr>
      <w:tabs>
        <w:tab w:val="left" w:pos="720"/>
        <w:tab w:val="right" w:leader="dot" w:pos="9360"/>
      </w:tabs>
      <w:suppressAutoHyphens/>
      <w:ind w:left="720" w:right="720" w:hanging="360"/>
    </w:pPr>
    <w:rPr>
      <w:noProof/>
    </w:rPr>
  </w:style>
  <w:style w:type="paragraph" w:styleId="TOC3">
    <w:name w:val="toc 3"/>
    <w:basedOn w:val="Normal"/>
    <w:next w:val="Normal"/>
    <w:semiHidden/>
    <w:rsid w:val="00CF554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F554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F554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F554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F554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F554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F554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F5548"/>
    <w:pPr>
      <w:tabs>
        <w:tab w:val="right" w:pos="9360"/>
      </w:tabs>
      <w:suppressAutoHyphens/>
    </w:pPr>
  </w:style>
  <w:style w:type="character" w:customStyle="1" w:styleId="EquationCaption">
    <w:name w:val="_Equation Caption"/>
    <w:rsid w:val="00CF5548"/>
  </w:style>
  <w:style w:type="paragraph" w:styleId="Header">
    <w:name w:val="header"/>
    <w:basedOn w:val="Normal"/>
    <w:autoRedefine/>
    <w:rsid w:val="00DA0B4C"/>
    <w:pPr>
      <w:tabs>
        <w:tab w:val="center" w:pos="4680"/>
        <w:tab w:val="right" w:pos="9360"/>
      </w:tabs>
    </w:pPr>
    <w:rPr>
      <w:rFonts w:ascii="Times New Roman" w:hAnsi="Times New Roman" w:cs="Times New Roman"/>
      <w:b/>
    </w:rPr>
  </w:style>
  <w:style w:type="paragraph" w:styleId="Footer">
    <w:name w:val="footer"/>
    <w:basedOn w:val="Normal"/>
    <w:link w:val="FooterChar"/>
    <w:uiPriority w:val="99"/>
    <w:rsid w:val="00CF5548"/>
    <w:pPr>
      <w:tabs>
        <w:tab w:val="center" w:pos="4320"/>
        <w:tab w:val="right" w:pos="8640"/>
      </w:tabs>
    </w:pPr>
  </w:style>
  <w:style w:type="character" w:styleId="PageNumber">
    <w:name w:val="page number"/>
    <w:basedOn w:val="DefaultParagraphFont"/>
    <w:rsid w:val="00CF5548"/>
  </w:style>
  <w:style w:type="paragraph" w:styleId="BlockText">
    <w:name w:val="Block Text"/>
    <w:basedOn w:val="Normal"/>
    <w:rsid w:val="00CF5548"/>
    <w:pPr>
      <w:spacing w:after="240"/>
      <w:ind w:left="1440" w:right="1440"/>
    </w:pPr>
  </w:style>
  <w:style w:type="paragraph" w:customStyle="1" w:styleId="Paratitle">
    <w:name w:val="Para title"/>
    <w:basedOn w:val="Normal"/>
    <w:rsid w:val="00CF5548"/>
    <w:pPr>
      <w:tabs>
        <w:tab w:val="center" w:pos="9270"/>
      </w:tabs>
      <w:spacing w:after="240"/>
    </w:pPr>
    <w:rPr>
      <w:spacing w:val="-2"/>
    </w:rPr>
  </w:style>
  <w:style w:type="paragraph" w:customStyle="1" w:styleId="Bullet">
    <w:name w:val="Bullet"/>
    <w:basedOn w:val="Normal"/>
    <w:rsid w:val="00CF5548"/>
    <w:pPr>
      <w:tabs>
        <w:tab w:val="left" w:pos="2160"/>
      </w:tabs>
      <w:spacing w:after="220"/>
      <w:ind w:left="2160" w:hanging="720"/>
    </w:pPr>
  </w:style>
  <w:style w:type="paragraph" w:customStyle="1" w:styleId="TableFormat">
    <w:name w:val="TableFormat"/>
    <w:basedOn w:val="Bullet"/>
    <w:rsid w:val="00CF5548"/>
    <w:pPr>
      <w:tabs>
        <w:tab w:val="clear" w:pos="2160"/>
        <w:tab w:val="left" w:pos="5040"/>
      </w:tabs>
      <w:ind w:left="5040" w:hanging="3600"/>
    </w:pPr>
  </w:style>
  <w:style w:type="paragraph" w:customStyle="1" w:styleId="TOCTitle">
    <w:name w:val="TOC Title"/>
    <w:basedOn w:val="Normal"/>
    <w:rsid w:val="00CF554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F5548"/>
    <w:pPr>
      <w:jc w:val="center"/>
    </w:pPr>
    <w:rPr>
      <w:rFonts w:ascii="Times New Roman Bold" w:hAnsi="Times New Roman Bold"/>
      <w:b/>
      <w:bCs/>
      <w:caps/>
    </w:rPr>
  </w:style>
  <w:style w:type="character" w:styleId="Hyperlink">
    <w:name w:val="Hyperlink"/>
    <w:rsid w:val="00CF5548"/>
    <w:rPr>
      <w:color w:val="0000FF"/>
      <w:u w:val="single"/>
    </w:rPr>
  </w:style>
  <w:style w:type="character" w:customStyle="1" w:styleId="FooterChar">
    <w:name w:val="Footer Char"/>
    <w:link w:val="Footer"/>
    <w:uiPriority w:val="99"/>
    <w:rsid w:val="00CF5548"/>
    <w:rPr>
      <w:snapToGrid w:val="0"/>
      <w:kern w:val="28"/>
      <w:sz w:val="22"/>
    </w:rPr>
  </w:style>
  <w:style w:type="paragraph" w:styleId="BodyText">
    <w:name w:val="Body Text"/>
    <w:basedOn w:val="Normal"/>
    <w:link w:val="BodyTextChar"/>
    <w:uiPriority w:val="1"/>
    <w:qFormat/>
    <w:rsid w:val="00E97187"/>
    <w:pPr>
      <w:ind w:left="128"/>
    </w:pPr>
    <w:rPr>
      <w:snapToGrid w:val="0"/>
    </w:rPr>
  </w:style>
  <w:style w:type="character" w:customStyle="1" w:styleId="BodyTextChar">
    <w:name w:val="Body Text Char"/>
    <w:link w:val="BodyText"/>
    <w:uiPriority w:val="1"/>
    <w:rsid w:val="00E97187"/>
    <w:rPr>
      <w:snapToGrid w:val="0"/>
      <w:kern w:val="28"/>
      <w:sz w:val="22"/>
    </w:rPr>
  </w:style>
  <w:style w:type="character" w:customStyle="1" w:styleId="FootnoteTextChar">
    <w:name w:val="Footnote Text Char"/>
    <w:aliases w:val="Footnote Text Char Char1 Char Char Char1 Char1,Footnote Text Char Char1 Char Char1,Footnote Text Char1 Char Char Char1 Char Char Char1,Footnote Text Char1 Char Char1,Footnote Text Char1 Char2,Footnote Text Char2 Char1 Char Char Char"/>
    <w:link w:val="FootnoteText"/>
    <w:rsid w:val="00E97187"/>
  </w:style>
  <w:style w:type="character" w:customStyle="1" w:styleId="ParaNumChar1">
    <w:name w:val="ParaNum Char1"/>
    <w:link w:val="ParaNum"/>
    <w:locked/>
    <w:rsid w:val="006409B6"/>
    <w:rPr>
      <w:snapToGrid w:val="0"/>
      <w:kern w:val="28"/>
      <w:sz w:val="22"/>
    </w:rPr>
  </w:style>
  <w:style w:type="paragraph" w:styleId="BalloonText">
    <w:name w:val="Balloon Text"/>
    <w:basedOn w:val="Normal"/>
    <w:link w:val="BalloonTextChar"/>
    <w:rsid w:val="00C2185E"/>
    <w:rPr>
      <w:rFonts w:ascii="Segoe UI" w:hAnsi="Segoe UI" w:cs="Segoe UI"/>
      <w:snapToGrid w:val="0"/>
      <w:sz w:val="18"/>
      <w:szCs w:val="18"/>
    </w:rPr>
  </w:style>
  <w:style w:type="character" w:customStyle="1" w:styleId="BalloonTextChar">
    <w:name w:val="Balloon Text Char"/>
    <w:basedOn w:val="DefaultParagraphFont"/>
    <w:link w:val="BalloonText"/>
    <w:rsid w:val="00C2185E"/>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rsid w:val="00C2185E"/>
  </w:style>
  <w:style w:type="character" w:styleId="CommentReference">
    <w:name w:val="annotation reference"/>
    <w:basedOn w:val="DefaultParagraphFont"/>
    <w:rsid w:val="007E31D4"/>
    <w:rPr>
      <w:sz w:val="16"/>
      <w:szCs w:val="16"/>
    </w:rPr>
  </w:style>
  <w:style w:type="paragraph" w:styleId="CommentText">
    <w:name w:val="annotation text"/>
    <w:basedOn w:val="Normal"/>
    <w:link w:val="CommentTextChar"/>
    <w:rsid w:val="007E31D4"/>
    <w:rPr>
      <w:snapToGrid w:val="0"/>
      <w:sz w:val="20"/>
    </w:rPr>
  </w:style>
  <w:style w:type="character" w:customStyle="1" w:styleId="CommentTextChar">
    <w:name w:val="Comment Text Char"/>
    <w:basedOn w:val="DefaultParagraphFont"/>
    <w:link w:val="CommentText"/>
    <w:rsid w:val="007E31D4"/>
    <w:rPr>
      <w:snapToGrid w:val="0"/>
      <w:kern w:val="28"/>
    </w:rPr>
  </w:style>
  <w:style w:type="paragraph" w:styleId="CommentSubject">
    <w:name w:val="annotation subject"/>
    <w:basedOn w:val="CommentText"/>
    <w:next w:val="CommentText"/>
    <w:link w:val="CommentSubjectChar"/>
    <w:rsid w:val="007E31D4"/>
    <w:rPr>
      <w:b/>
      <w:bCs/>
    </w:rPr>
  </w:style>
  <w:style w:type="character" w:customStyle="1" w:styleId="CommentSubjectChar">
    <w:name w:val="Comment Subject Char"/>
    <w:basedOn w:val="CommentTextChar"/>
    <w:link w:val="CommentSubject"/>
    <w:rsid w:val="007E31D4"/>
    <w:rPr>
      <w:b/>
      <w:bCs/>
      <w:snapToGrid w:val="0"/>
      <w:kern w:val="28"/>
    </w:rPr>
  </w:style>
  <w:style w:type="character" w:styleId="Emphasis">
    <w:name w:val="Emphasis"/>
    <w:basedOn w:val="DefaultParagraphFont"/>
    <w:uiPriority w:val="20"/>
    <w:qFormat/>
    <w:rsid w:val="003F73DF"/>
    <w:rPr>
      <w:i/>
      <w:iCs/>
    </w:rPr>
  </w:style>
  <w:style w:type="paragraph" w:styleId="Revision">
    <w:name w:val="Revision"/>
    <w:hidden/>
    <w:uiPriority w:val="99"/>
    <w:semiHidden/>
    <w:rsid w:val="00665222"/>
    <w:rPr>
      <w:snapToGrid w:val="0"/>
      <w:kern w:val="28"/>
      <w:sz w:val="22"/>
    </w:rPr>
  </w:style>
  <w:style w:type="paragraph" w:styleId="ListBullet">
    <w:name w:val="List Bullet"/>
    <w:basedOn w:val="Normal"/>
    <w:rsid w:val="009B068F"/>
    <w:pPr>
      <w:numPr>
        <w:numId w:val="10"/>
      </w:numPr>
      <w:contextualSpacing/>
    </w:pPr>
  </w:style>
  <w:style w:type="paragraph" w:styleId="NoSpacing">
    <w:name w:val="No Spacing"/>
    <w:uiPriority w:val="1"/>
    <w:qFormat/>
    <w:rsid w:val="00DA0B4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yce.Bernstein@fc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