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E2D78" w:rsidRPr="00683723" w:rsidP="00AE2D78" w14:paraId="6966B52C" w14:textId="0E37363C">
      <w:pPr>
        <w:jc w:val="center"/>
        <w:rPr>
          <w:b/>
          <w:szCs w:val="22"/>
        </w:rPr>
      </w:pPr>
      <w:r w:rsidRPr="00683723">
        <w:rPr>
          <w:b/>
          <w:szCs w:val="22"/>
        </w:rPr>
        <w:t>Before the</w:t>
      </w:r>
    </w:p>
    <w:p w:rsidR="00AE2D78" w:rsidRPr="00683723" w:rsidP="00AE2D78" w14:paraId="24414508" w14:textId="77777777">
      <w:pPr>
        <w:jc w:val="center"/>
        <w:rPr>
          <w:b/>
          <w:szCs w:val="22"/>
        </w:rPr>
      </w:pPr>
      <w:r w:rsidRPr="00683723">
        <w:rPr>
          <w:b/>
          <w:szCs w:val="22"/>
        </w:rPr>
        <w:t>Federal Communications Commission</w:t>
      </w:r>
    </w:p>
    <w:p w:rsidR="00AE2D78" w:rsidRPr="00683723" w:rsidP="00AE2D78" w14:paraId="77021AE5" w14:textId="77777777">
      <w:pPr>
        <w:jc w:val="center"/>
        <w:rPr>
          <w:b/>
          <w:szCs w:val="22"/>
        </w:rPr>
      </w:pPr>
      <w:r w:rsidRPr="00683723">
        <w:rPr>
          <w:b/>
          <w:szCs w:val="22"/>
        </w:rPr>
        <w:t>Washington, D.C. 20554</w:t>
      </w:r>
    </w:p>
    <w:p w:rsidR="00AE2D78" w:rsidRPr="00683723" w:rsidP="00AE2D78" w14:paraId="26CEBEFA" w14:textId="77777777">
      <w:pPr>
        <w:rPr>
          <w:szCs w:val="22"/>
        </w:rPr>
      </w:pPr>
    </w:p>
    <w:tbl>
      <w:tblPr>
        <w:tblW w:w="9648" w:type="dxa"/>
        <w:tblLayout w:type="fixed"/>
        <w:tblLook w:val="0000"/>
      </w:tblPr>
      <w:tblGrid>
        <w:gridCol w:w="4698"/>
        <w:gridCol w:w="720"/>
        <w:gridCol w:w="4230"/>
      </w:tblGrid>
      <w:tr w14:paraId="6A444266" w14:textId="77777777" w:rsidTr="00197841">
        <w:tblPrEx>
          <w:tblW w:w="9648" w:type="dxa"/>
          <w:tblLayout w:type="fixed"/>
          <w:tblLook w:val="0000"/>
        </w:tblPrEx>
        <w:tc>
          <w:tcPr>
            <w:tcW w:w="4698" w:type="dxa"/>
          </w:tcPr>
          <w:p w:rsidR="00AE2D78" w:rsidRPr="00683723" w:rsidP="00197841" w14:paraId="648132FE" w14:textId="77777777">
            <w:pPr>
              <w:ind w:right="-18"/>
              <w:rPr>
                <w:szCs w:val="22"/>
              </w:rPr>
            </w:pPr>
            <w:r w:rsidRPr="00683723">
              <w:rPr>
                <w:szCs w:val="22"/>
              </w:rPr>
              <w:t xml:space="preserve">In re Application of  </w:t>
            </w:r>
          </w:p>
          <w:p w:rsidR="00AE2D78" w:rsidRPr="00683723" w:rsidP="00197841" w14:paraId="4B8E20A0" w14:textId="77777777">
            <w:pPr>
              <w:ind w:right="-18"/>
              <w:rPr>
                <w:szCs w:val="22"/>
              </w:rPr>
            </w:pPr>
          </w:p>
          <w:p w:rsidR="0085545E" w:rsidRPr="0085545E" w:rsidP="0085545E" w14:paraId="379349E7" w14:textId="77777777">
            <w:pPr>
              <w:tabs>
                <w:tab w:val="left" w:pos="0"/>
              </w:tabs>
              <w:suppressAutoHyphens/>
              <w:ind w:left="5040" w:hanging="5040"/>
              <w:rPr>
                <w:szCs w:val="22"/>
              </w:rPr>
            </w:pPr>
            <w:r w:rsidRPr="0085545E">
              <w:rPr>
                <w:szCs w:val="22"/>
              </w:rPr>
              <w:t>Diponti</w:t>
            </w:r>
            <w:r w:rsidRPr="0085545E">
              <w:rPr>
                <w:szCs w:val="22"/>
              </w:rPr>
              <w:t xml:space="preserve"> Communications, LLC</w:t>
            </w:r>
          </w:p>
          <w:p w:rsidR="00D50E50" w:rsidRPr="00683723" w:rsidP="00197841" w14:paraId="1F44F925" w14:textId="77777777">
            <w:pPr>
              <w:tabs>
                <w:tab w:val="left" w:pos="0"/>
              </w:tabs>
              <w:suppressAutoHyphens/>
              <w:ind w:left="5040" w:hanging="5040"/>
              <w:rPr>
                <w:szCs w:val="22"/>
              </w:rPr>
            </w:pPr>
          </w:p>
          <w:p w:rsidR="004701EB" w:rsidP="00471790" w14:paraId="342CF8CC" w14:textId="77777777">
            <w:pPr>
              <w:ind w:right="-18"/>
              <w:rPr>
                <w:szCs w:val="22"/>
              </w:rPr>
            </w:pPr>
            <w:r w:rsidRPr="00683723">
              <w:rPr>
                <w:szCs w:val="22"/>
              </w:rPr>
              <w:t xml:space="preserve">For Renewal of </w:t>
            </w:r>
            <w:r w:rsidR="002E35A6">
              <w:rPr>
                <w:szCs w:val="22"/>
              </w:rPr>
              <w:t xml:space="preserve">License </w:t>
            </w:r>
            <w:r>
              <w:rPr>
                <w:szCs w:val="22"/>
              </w:rPr>
              <w:t>and</w:t>
            </w:r>
          </w:p>
          <w:p w:rsidR="002E35A6" w:rsidP="00471790" w14:paraId="56733260" w14:textId="04752656">
            <w:pPr>
              <w:ind w:right="-18"/>
              <w:rPr>
                <w:szCs w:val="22"/>
              </w:rPr>
            </w:pPr>
            <w:r>
              <w:rPr>
                <w:szCs w:val="22"/>
              </w:rPr>
              <w:t xml:space="preserve">Special Temporary Authority </w:t>
            </w:r>
            <w:r>
              <w:rPr>
                <w:szCs w:val="22"/>
              </w:rPr>
              <w:t xml:space="preserve">for </w:t>
            </w:r>
          </w:p>
          <w:p w:rsidR="00AE2D78" w:rsidP="00197841" w14:paraId="29FE1BF5" w14:textId="77777777">
            <w:pPr>
              <w:ind w:right="-18"/>
              <w:rPr>
                <w:szCs w:val="22"/>
              </w:rPr>
            </w:pPr>
            <w:r w:rsidRPr="00B64766">
              <w:rPr>
                <w:szCs w:val="22"/>
              </w:rPr>
              <w:t>W276DF</w:t>
            </w:r>
            <w:r>
              <w:rPr>
                <w:szCs w:val="22"/>
              </w:rPr>
              <w:t xml:space="preserve">, </w:t>
            </w:r>
            <w:r w:rsidR="000F2DAD">
              <w:rPr>
                <w:szCs w:val="22"/>
              </w:rPr>
              <w:t>Westerly, RI</w:t>
            </w:r>
          </w:p>
          <w:p w:rsidR="005F7BEC" w:rsidRPr="005F7BEC" w:rsidP="00197841" w14:paraId="6A15853A" w14:textId="36DA51A4">
            <w:pPr>
              <w:ind w:right="-18"/>
              <w:rPr>
                <w:szCs w:val="22"/>
              </w:rPr>
            </w:pPr>
            <w:r w:rsidRPr="005F7BEC">
              <w:rPr>
                <w:szCs w:val="22"/>
              </w:rPr>
              <w:t>(formerly W228AU, North Bennington, Vermont)</w:t>
            </w:r>
          </w:p>
        </w:tc>
        <w:tc>
          <w:tcPr>
            <w:tcW w:w="720" w:type="dxa"/>
          </w:tcPr>
          <w:p w:rsidR="00AE2D78" w:rsidRPr="00683723" w:rsidP="00197841" w14:paraId="56A4E8DF" w14:textId="77777777">
            <w:pPr>
              <w:rPr>
                <w:b/>
                <w:szCs w:val="22"/>
              </w:rPr>
            </w:pPr>
            <w:r w:rsidRPr="00683723">
              <w:rPr>
                <w:b/>
                <w:szCs w:val="22"/>
              </w:rPr>
              <w:t>)</w:t>
            </w:r>
          </w:p>
          <w:p w:rsidR="00AE2D78" w:rsidRPr="00683723" w:rsidP="00197841" w14:paraId="0F8694F2" w14:textId="77777777">
            <w:pPr>
              <w:rPr>
                <w:b/>
                <w:szCs w:val="22"/>
              </w:rPr>
            </w:pPr>
            <w:r w:rsidRPr="00683723">
              <w:rPr>
                <w:b/>
                <w:szCs w:val="22"/>
              </w:rPr>
              <w:t>)</w:t>
            </w:r>
          </w:p>
          <w:p w:rsidR="00AE2D78" w:rsidRPr="00683723" w:rsidP="00197841" w14:paraId="390CCAE7" w14:textId="77777777">
            <w:pPr>
              <w:rPr>
                <w:b/>
                <w:szCs w:val="22"/>
              </w:rPr>
            </w:pPr>
            <w:r w:rsidRPr="00683723">
              <w:rPr>
                <w:b/>
                <w:szCs w:val="22"/>
              </w:rPr>
              <w:t>)</w:t>
            </w:r>
          </w:p>
          <w:p w:rsidR="00AE2D78" w:rsidRPr="00683723" w:rsidP="00197841" w14:paraId="3AD0C23B" w14:textId="77777777">
            <w:pPr>
              <w:rPr>
                <w:b/>
                <w:szCs w:val="22"/>
              </w:rPr>
            </w:pPr>
            <w:r w:rsidRPr="00683723">
              <w:rPr>
                <w:b/>
                <w:szCs w:val="22"/>
              </w:rPr>
              <w:t>)</w:t>
            </w:r>
          </w:p>
          <w:p w:rsidR="00AE2D78" w:rsidRPr="00683723" w:rsidP="00197841" w14:paraId="75B821C1" w14:textId="77777777">
            <w:pPr>
              <w:rPr>
                <w:b/>
                <w:szCs w:val="22"/>
              </w:rPr>
            </w:pPr>
            <w:r w:rsidRPr="00683723">
              <w:rPr>
                <w:b/>
                <w:szCs w:val="22"/>
              </w:rPr>
              <w:t>)</w:t>
            </w:r>
          </w:p>
          <w:p w:rsidR="00AE2D78" w:rsidP="00197841" w14:paraId="4B4EE1B1" w14:textId="77777777">
            <w:pPr>
              <w:rPr>
                <w:b/>
                <w:szCs w:val="22"/>
              </w:rPr>
            </w:pPr>
            <w:r w:rsidRPr="00683723">
              <w:rPr>
                <w:b/>
                <w:szCs w:val="22"/>
              </w:rPr>
              <w:t>)</w:t>
            </w:r>
          </w:p>
          <w:p w:rsidR="005F7BEC" w:rsidP="00197841" w14:paraId="6D2E814A" w14:textId="77777777">
            <w:pPr>
              <w:rPr>
                <w:b/>
                <w:szCs w:val="22"/>
              </w:rPr>
            </w:pPr>
            <w:r>
              <w:rPr>
                <w:b/>
                <w:szCs w:val="22"/>
              </w:rPr>
              <w:t>)</w:t>
            </w:r>
          </w:p>
          <w:p w:rsidR="0013287B" w:rsidRPr="00683723" w:rsidP="00197841" w14:paraId="2DACACCC" w14:textId="2C22F210">
            <w:pPr>
              <w:rPr>
                <w:b/>
                <w:szCs w:val="22"/>
              </w:rPr>
            </w:pPr>
            <w:r>
              <w:rPr>
                <w:b/>
                <w:szCs w:val="22"/>
              </w:rPr>
              <w:t>)</w:t>
            </w:r>
          </w:p>
        </w:tc>
        <w:tc>
          <w:tcPr>
            <w:tcW w:w="4230" w:type="dxa"/>
          </w:tcPr>
          <w:p w:rsidR="00AE2D78" w:rsidRPr="00683723" w:rsidP="00197841" w14:paraId="546DDA16" w14:textId="77777777">
            <w:pPr>
              <w:rPr>
                <w:szCs w:val="22"/>
              </w:rPr>
            </w:pPr>
          </w:p>
          <w:p w:rsidR="00AE2D78" w:rsidRPr="00683723" w:rsidP="00197841" w14:paraId="15545EE1" w14:textId="77777777">
            <w:pPr>
              <w:rPr>
                <w:szCs w:val="22"/>
              </w:rPr>
            </w:pPr>
          </w:p>
          <w:p w:rsidR="00AE2D78" w:rsidRPr="00683723" w:rsidP="00197841" w14:paraId="60C88BE4" w14:textId="6BD914C7">
            <w:pPr>
              <w:rPr>
                <w:szCs w:val="22"/>
              </w:rPr>
            </w:pPr>
            <w:r w:rsidRPr="00683723">
              <w:rPr>
                <w:szCs w:val="22"/>
              </w:rPr>
              <w:t xml:space="preserve">Facility ID No. </w:t>
            </w:r>
            <w:bookmarkStart w:id="0" w:name="_Hlk82525857"/>
            <w:r w:rsidR="000F2DAD">
              <w:rPr>
                <w:szCs w:val="22"/>
              </w:rPr>
              <w:t>26347</w:t>
            </w:r>
            <w:bookmarkEnd w:id="0"/>
          </w:p>
          <w:p w:rsidR="00AE2D78" w:rsidRPr="00683723" w:rsidP="00197841" w14:paraId="08ABA5D7" w14:textId="028F93B1">
            <w:pPr>
              <w:rPr>
                <w:szCs w:val="22"/>
              </w:rPr>
            </w:pPr>
            <w:r w:rsidRPr="00683723">
              <w:rPr>
                <w:szCs w:val="22"/>
              </w:rPr>
              <w:t>NAL/Acct. No. MB-</w:t>
            </w:r>
            <w:r w:rsidR="00E16F2D">
              <w:t>202141410047</w:t>
            </w:r>
          </w:p>
          <w:p w:rsidR="00AE2D78" w:rsidRPr="00683723" w:rsidP="00197841" w14:paraId="3C05CDD2" w14:textId="55568566">
            <w:pPr>
              <w:rPr>
                <w:szCs w:val="22"/>
              </w:rPr>
            </w:pPr>
            <w:r w:rsidRPr="00683723">
              <w:rPr>
                <w:szCs w:val="22"/>
              </w:rPr>
              <w:t xml:space="preserve">FRN:  </w:t>
            </w:r>
            <w:r w:rsidRPr="00527E80" w:rsidR="00527E80">
              <w:rPr>
                <w:szCs w:val="22"/>
              </w:rPr>
              <w:t>0028981561</w:t>
            </w:r>
          </w:p>
          <w:p w:rsidR="00AE2D78" w:rsidP="00197841" w14:paraId="5039B712" w14:textId="77777777">
            <w:pPr>
              <w:rPr>
                <w:szCs w:val="22"/>
              </w:rPr>
            </w:pPr>
            <w:r>
              <w:rPr>
                <w:szCs w:val="22"/>
              </w:rPr>
              <w:t xml:space="preserve">Application </w:t>
            </w:r>
            <w:r w:rsidRPr="00683723" w:rsidR="003C67E5">
              <w:rPr>
                <w:szCs w:val="22"/>
              </w:rPr>
              <w:t>File No</w:t>
            </w:r>
            <w:r w:rsidR="001B5246">
              <w:rPr>
                <w:szCs w:val="22"/>
              </w:rPr>
              <w:t>s</w:t>
            </w:r>
            <w:r w:rsidRPr="00683723" w:rsidR="00762D8E">
              <w:rPr>
                <w:szCs w:val="22"/>
              </w:rPr>
              <w:t xml:space="preserve">. </w:t>
            </w:r>
            <w:r w:rsidRPr="000F2DAD" w:rsidR="000F2DAD">
              <w:rPr>
                <w:szCs w:val="22"/>
              </w:rPr>
              <w:t>0000121418</w:t>
            </w:r>
          </w:p>
          <w:p w:rsidR="001B5246" w:rsidRPr="00683723" w:rsidP="00197841" w14:paraId="45B5CB47" w14:textId="5A8E8927">
            <w:pPr>
              <w:rPr>
                <w:szCs w:val="22"/>
              </w:rPr>
            </w:pPr>
            <w:r w:rsidRPr="001B5246">
              <w:rPr>
                <w:szCs w:val="22"/>
              </w:rPr>
              <w:t>BELSTA-20210326AAB</w:t>
            </w:r>
          </w:p>
        </w:tc>
      </w:tr>
    </w:tbl>
    <w:p w:rsidR="00AE2D78" w:rsidRPr="00683723" w:rsidP="00AE2D78" w14:paraId="57B43A90" w14:textId="77777777">
      <w:pPr>
        <w:rPr>
          <w:szCs w:val="22"/>
        </w:rPr>
      </w:pPr>
    </w:p>
    <w:p w:rsidR="00AE2D78" w:rsidRPr="00683723" w:rsidP="00AE2D78" w14:paraId="38379BA7" w14:textId="77777777">
      <w:pPr>
        <w:jc w:val="center"/>
        <w:rPr>
          <w:b/>
          <w:spacing w:val="-2"/>
          <w:szCs w:val="22"/>
        </w:rPr>
      </w:pPr>
      <w:r w:rsidRPr="00683723">
        <w:rPr>
          <w:b/>
          <w:spacing w:val="-2"/>
          <w:szCs w:val="22"/>
        </w:rPr>
        <w:t xml:space="preserve">MEMORANDUM OPINION AND ORDER </w:t>
      </w:r>
    </w:p>
    <w:p w:rsidR="00AE2D78" w:rsidRPr="00683723" w:rsidP="00AE2D78" w14:paraId="485B1A61" w14:textId="77777777">
      <w:pPr>
        <w:jc w:val="center"/>
        <w:rPr>
          <w:b/>
          <w:spacing w:val="-2"/>
          <w:szCs w:val="22"/>
        </w:rPr>
      </w:pPr>
      <w:r w:rsidRPr="00683723">
        <w:rPr>
          <w:b/>
          <w:spacing w:val="-2"/>
          <w:szCs w:val="22"/>
        </w:rPr>
        <w:t>AND</w:t>
      </w:r>
    </w:p>
    <w:p w:rsidR="00AE2D78" w:rsidRPr="00683723" w:rsidP="00AE2D78" w14:paraId="6A0FC45E" w14:textId="77777777">
      <w:pPr>
        <w:jc w:val="center"/>
        <w:rPr>
          <w:b/>
          <w:szCs w:val="22"/>
        </w:rPr>
      </w:pPr>
      <w:r w:rsidRPr="00683723">
        <w:rPr>
          <w:b/>
          <w:spacing w:val="-2"/>
          <w:szCs w:val="22"/>
        </w:rPr>
        <w:t>NOTICE OF APPARENT LIABILITY FOR FORFEITURE</w:t>
      </w:r>
    </w:p>
    <w:p w:rsidR="00AE2D78" w:rsidRPr="00683723" w:rsidP="00AE2D78" w14:paraId="79ED2EC6" w14:textId="77777777">
      <w:pPr>
        <w:rPr>
          <w:szCs w:val="22"/>
        </w:rPr>
      </w:pPr>
    </w:p>
    <w:p w:rsidR="00AE2D78" w:rsidRPr="00683723" w:rsidP="00AE2D78" w14:paraId="1B285FF6" w14:textId="59D28D8A">
      <w:pPr>
        <w:tabs>
          <w:tab w:val="left" w:pos="5760"/>
        </w:tabs>
        <w:rPr>
          <w:b/>
          <w:szCs w:val="22"/>
        </w:rPr>
      </w:pPr>
      <w:r w:rsidRPr="00683723">
        <w:rPr>
          <w:b/>
          <w:szCs w:val="22"/>
        </w:rPr>
        <w:t xml:space="preserve">Adopted: </w:t>
      </w:r>
      <w:r w:rsidRPr="00683723" w:rsidR="00787F68">
        <w:rPr>
          <w:b/>
          <w:szCs w:val="22"/>
        </w:rPr>
        <w:t xml:space="preserve"> </w:t>
      </w:r>
      <w:r w:rsidR="005F7BEC">
        <w:rPr>
          <w:b/>
          <w:szCs w:val="22"/>
        </w:rPr>
        <w:t>September</w:t>
      </w:r>
      <w:r w:rsidRPr="00683723" w:rsidR="00762D8E">
        <w:rPr>
          <w:b/>
          <w:szCs w:val="22"/>
        </w:rPr>
        <w:t xml:space="preserve"> </w:t>
      </w:r>
      <w:r w:rsidR="000410C0">
        <w:rPr>
          <w:b/>
          <w:szCs w:val="22"/>
        </w:rPr>
        <w:t>20</w:t>
      </w:r>
      <w:r w:rsidRPr="00683723" w:rsidR="00787F68">
        <w:rPr>
          <w:b/>
          <w:szCs w:val="22"/>
        </w:rPr>
        <w:t>, 202</w:t>
      </w:r>
      <w:r w:rsidR="0044571B">
        <w:rPr>
          <w:b/>
          <w:szCs w:val="22"/>
        </w:rPr>
        <w:t>1</w:t>
      </w:r>
      <w:r w:rsidRPr="00683723">
        <w:rPr>
          <w:b/>
          <w:szCs w:val="22"/>
        </w:rPr>
        <w:tab/>
      </w:r>
      <w:r w:rsidRPr="00683723" w:rsidR="003344E3">
        <w:rPr>
          <w:b/>
          <w:szCs w:val="22"/>
        </w:rPr>
        <w:tab/>
      </w:r>
      <w:r w:rsidRPr="00683723">
        <w:rPr>
          <w:b/>
          <w:szCs w:val="22"/>
        </w:rPr>
        <w:t xml:space="preserve">Released: </w:t>
      </w:r>
      <w:r w:rsidRPr="00683723" w:rsidR="009C4B9E">
        <w:rPr>
          <w:b/>
          <w:szCs w:val="22"/>
        </w:rPr>
        <w:t xml:space="preserve"> </w:t>
      </w:r>
      <w:r w:rsidR="000410C0">
        <w:rPr>
          <w:b/>
          <w:szCs w:val="22"/>
        </w:rPr>
        <w:t>September</w:t>
      </w:r>
      <w:r w:rsidRPr="00683723" w:rsidR="00762D8E">
        <w:rPr>
          <w:b/>
          <w:szCs w:val="22"/>
        </w:rPr>
        <w:t xml:space="preserve"> </w:t>
      </w:r>
      <w:r w:rsidR="00E16F2D">
        <w:rPr>
          <w:b/>
          <w:szCs w:val="22"/>
        </w:rPr>
        <w:t>21</w:t>
      </w:r>
      <w:r w:rsidRPr="00683723" w:rsidR="003344E3">
        <w:rPr>
          <w:b/>
          <w:szCs w:val="22"/>
        </w:rPr>
        <w:t>, 202</w:t>
      </w:r>
      <w:r w:rsidR="0044571B">
        <w:rPr>
          <w:b/>
          <w:szCs w:val="22"/>
        </w:rPr>
        <w:t>1</w:t>
      </w:r>
    </w:p>
    <w:p w:rsidR="00AE2D78" w:rsidRPr="00683723" w:rsidP="00AE2D78" w14:paraId="76F627EC" w14:textId="77777777">
      <w:pPr>
        <w:tabs>
          <w:tab w:val="left" w:pos="5760"/>
        </w:tabs>
        <w:rPr>
          <w:b/>
          <w:szCs w:val="22"/>
        </w:rPr>
      </w:pPr>
    </w:p>
    <w:p w:rsidR="00AE2D78" w:rsidRPr="00683723" w:rsidP="00AE2D78" w14:paraId="5C66747B" w14:textId="77777777">
      <w:pPr>
        <w:tabs>
          <w:tab w:val="left" w:pos="5760"/>
        </w:tabs>
        <w:rPr>
          <w:spacing w:val="-2"/>
          <w:szCs w:val="22"/>
        </w:rPr>
      </w:pPr>
      <w:r w:rsidRPr="00683723">
        <w:rPr>
          <w:szCs w:val="22"/>
        </w:rPr>
        <w:t>By the Chief, Audio Division, Media Bureau</w:t>
      </w:r>
      <w:r w:rsidRPr="00683723">
        <w:rPr>
          <w:spacing w:val="-2"/>
          <w:szCs w:val="22"/>
        </w:rPr>
        <w:t>:</w:t>
      </w:r>
    </w:p>
    <w:p w:rsidR="00AE2D78" w:rsidRPr="00683723" w:rsidP="00AE2D78" w14:paraId="618F7450" w14:textId="77777777">
      <w:pPr>
        <w:tabs>
          <w:tab w:val="left" w:pos="5760"/>
        </w:tabs>
        <w:rPr>
          <w:szCs w:val="22"/>
        </w:rPr>
      </w:pPr>
    </w:p>
    <w:p w:rsidR="00AE2D78" w:rsidRPr="00683723" w:rsidP="00573FFC" w14:paraId="576E14E7" w14:textId="77777777">
      <w:pPr>
        <w:pStyle w:val="Heading1"/>
        <w:rPr>
          <w:rFonts w:ascii="Times New Roman" w:hAnsi="Times New Roman"/>
          <w:szCs w:val="22"/>
        </w:rPr>
      </w:pPr>
      <w:r w:rsidRPr="00683723">
        <w:rPr>
          <w:rFonts w:ascii="Times New Roman" w:hAnsi="Times New Roman"/>
          <w:szCs w:val="22"/>
        </w:rPr>
        <w:t>INTRODUCTION</w:t>
      </w:r>
    </w:p>
    <w:p w:rsidR="00581D3E" w:rsidRPr="00F03E36" w:rsidP="00581D3E" w14:paraId="3524B4B7" w14:textId="2FD87256">
      <w:pPr>
        <w:pStyle w:val="ParaNum"/>
        <w:rPr>
          <w:szCs w:val="22"/>
        </w:rPr>
      </w:pPr>
      <w:r w:rsidRPr="00683723">
        <w:rPr>
          <w:szCs w:val="22"/>
        </w:rPr>
        <w:t xml:space="preserve">The </w:t>
      </w:r>
      <w:r w:rsidRPr="00F03E36">
        <w:rPr>
          <w:szCs w:val="22"/>
        </w:rPr>
        <w:t>Media Bureau (Bureau) has before it the application (Application)</w:t>
      </w:r>
      <w:r>
        <w:rPr>
          <w:rStyle w:val="FootnoteReference"/>
          <w:sz w:val="22"/>
          <w:szCs w:val="22"/>
        </w:rPr>
        <w:footnoteReference w:id="3"/>
      </w:r>
      <w:r w:rsidRPr="00F03E36">
        <w:rPr>
          <w:szCs w:val="22"/>
        </w:rPr>
        <w:t xml:space="preserve"> of </w:t>
      </w:r>
      <w:bookmarkStart w:id="1" w:name="_Hlk83040054"/>
      <w:r w:rsidR="000B2B40">
        <w:rPr>
          <w:szCs w:val="22"/>
        </w:rPr>
        <w:t>Diponti</w:t>
      </w:r>
      <w:r w:rsidR="000B2B40">
        <w:rPr>
          <w:szCs w:val="22"/>
        </w:rPr>
        <w:t xml:space="preserve"> Communications, LLC</w:t>
      </w:r>
      <w:bookmarkEnd w:id="1"/>
      <w:r w:rsidRPr="00F03E36" w:rsidR="00573FFC">
        <w:rPr>
          <w:szCs w:val="22"/>
        </w:rPr>
        <w:t xml:space="preserve"> </w:t>
      </w:r>
      <w:r w:rsidRPr="00F03E36">
        <w:rPr>
          <w:szCs w:val="22"/>
        </w:rPr>
        <w:t>(</w:t>
      </w:r>
      <w:r w:rsidR="00FD6C53">
        <w:rPr>
          <w:szCs w:val="22"/>
        </w:rPr>
        <w:t>Diponti</w:t>
      </w:r>
      <w:r w:rsidRPr="00F03E36">
        <w:rPr>
          <w:szCs w:val="22"/>
        </w:rPr>
        <w:t xml:space="preserve">) for renewal of its license </w:t>
      </w:r>
      <w:r w:rsidR="00390B9C">
        <w:rPr>
          <w:szCs w:val="22"/>
        </w:rPr>
        <w:t xml:space="preserve">for </w:t>
      </w:r>
      <w:r w:rsidR="000B2B40">
        <w:rPr>
          <w:szCs w:val="22"/>
        </w:rPr>
        <w:t xml:space="preserve">FM Translator Station </w:t>
      </w:r>
      <w:r w:rsidRPr="000B2B40" w:rsidR="000B2B40">
        <w:rPr>
          <w:szCs w:val="22"/>
        </w:rPr>
        <w:t>W276DF, Westerly, RI</w:t>
      </w:r>
      <w:r w:rsidR="000B2B40">
        <w:rPr>
          <w:szCs w:val="22"/>
        </w:rPr>
        <w:t xml:space="preserve"> </w:t>
      </w:r>
      <w:r w:rsidRPr="00F03E36">
        <w:rPr>
          <w:szCs w:val="22"/>
        </w:rPr>
        <w:t>(Station)</w:t>
      </w:r>
      <w:r>
        <w:rPr>
          <w:rStyle w:val="FootnoteReference"/>
          <w:szCs w:val="22"/>
        </w:rPr>
        <w:footnoteReference w:id="4"/>
      </w:r>
      <w:r w:rsidR="00A55564">
        <w:rPr>
          <w:szCs w:val="22"/>
        </w:rPr>
        <w:t xml:space="preserve"> and a request for extension of Special Temporary Authority (STA) to operate</w:t>
      </w:r>
      <w:r w:rsidRPr="00F03E36">
        <w:rPr>
          <w:szCs w:val="22"/>
        </w:rPr>
        <w:t>.</w:t>
      </w:r>
      <w:r>
        <w:rPr>
          <w:rStyle w:val="FootnoteReference"/>
          <w:szCs w:val="22"/>
        </w:rPr>
        <w:footnoteReference w:id="5"/>
      </w:r>
      <w:r w:rsidRPr="00F03E36">
        <w:rPr>
          <w:szCs w:val="22"/>
        </w:rPr>
        <w:t xml:space="preserve">  In this </w:t>
      </w:r>
      <w:r w:rsidRPr="00F03E36">
        <w:rPr>
          <w:i/>
          <w:iCs/>
          <w:szCs w:val="22"/>
        </w:rPr>
        <w:t>Memorandum Opinion and Order and Notice of Apparent Liability for Forfeiture</w:t>
      </w:r>
      <w:r w:rsidRPr="00F03E36">
        <w:rPr>
          <w:szCs w:val="22"/>
        </w:rPr>
        <w:t xml:space="preserve"> (</w:t>
      </w:r>
      <w:r w:rsidRPr="00F03E36">
        <w:rPr>
          <w:i/>
          <w:iCs/>
          <w:szCs w:val="22"/>
        </w:rPr>
        <w:t>NAL</w:t>
      </w:r>
      <w:r w:rsidRPr="00F03E36">
        <w:rPr>
          <w:szCs w:val="22"/>
        </w:rPr>
        <w:t>)</w:t>
      </w:r>
      <w:r w:rsidRPr="00F03E36" w:rsidR="003364B8">
        <w:rPr>
          <w:szCs w:val="22"/>
        </w:rPr>
        <w:t>,</w:t>
      </w:r>
      <w:r>
        <w:rPr>
          <w:rStyle w:val="FootnoteReference"/>
          <w:sz w:val="22"/>
          <w:szCs w:val="22"/>
        </w:rPr>
        <w:footnoteReference w:id="6"/>
      </w:r>
      <w:r w:rsidRPr="00F03E36">
        <w:rPr>
          <w:szCs w:val="22"/>
        </w:rPr>
        <w:t xml:space="preserve"> we find </w:t>
      </w:r>
      <w:r w:rsidRPr="00F03E36" w:rsidR="003364B8">
        <w:rPr>
          <w:szCs w:val="22"/>
        </w:rPr>
        <w:t>th</w:t>
      </w:r>
      <w:r w:rsidR="00145D4B">
        <w:rPr>
          <w:szCs w:val="22"/>
        </w:rPr>
        <w:t xml:space="preserve">at </w:t>
      </w:r>
      <w:r w:rsidR="00145D4B">
        <w:rPr>
          <w:szCs w:val="22"/>
        </w:rPr>
        <w:t>Diponti</w:t>
      </w:r>
      <w:r w:rsidRPr="00F03E36">
        <w:rPr>
          <w:szCs w:val="22"/>
        </w:rPr>
        <w:t xml:space="preserve"> apparently </w:t>
      </w:r>
      <w:r w:rsidRPr="00683723" w:rsidR="0000095C">
        <w:rPr>
          <w:szCs w:val="22"/>
        </w:rPr>
        <w:t xml:space="preserve">willfully violated </w:t>
      </w:r>
      <w:r w:rsidRPr="00F51C6A" w:rsidR="00F51C6A">
        <w:rPr>
          <w:szCs w:val="22"/>
        </w:rPr>
        <w:t>section</w:t>
      </w:r>
      <w:r w:rsidR="0014794E">
        <w:rPr>
          <w:szCs w:val="22"/>
        </w:rPr>
        <w:t xml:space="preserve"> </w:t>
      </w:r>
      <w:r w:rsidRPr="00F51C6A" w:rsidR="00F51C6A">
        <w:rPr>
          <w:szCs w:val="22"/>
        </w:rPr>
        <w:t>73.3539 of the Rules</w:t>
      </w:r>
      <w:r>
        <w:rPr>
          <w:szCs w:val="22"/>
          <w:vertAlign w:val="superscript"/>
        </w:rPr>
        <w:footnoteReference w:id="7"/>
      </w:r>
      <w:r w:rsidRPr="00F51C6A" w:rsidR="00F51C6A">
        <w:rPr>
          <w:szCs w:val="22"/>
        </w:rPr>
        <w:t xml:space="preserve"> by failing to timely file a license renewal application and </w:t>
      </w:r>
      <w:r w:rsidRPr="006C6DAD" w:rsidR="006C6DAD">
        <w:rPr>
          <w:szCs w:val="22"/>
        </w:rPr>
        <w:t xml:space="preserve">apparently willfully and repeatedly violated Section 301 of the </w:t>
      </w:r>
      <w:r w:rsidR="0014794E">
        <w:rPr>
          <w:szCs w:val="22"/>
        </w:rPr>
        <w:t>Act</w:t>
      </w:r>
      <w:bookmarkStart w:id="2" w:name="co_tablefootnote_4_1"/>
      <w:bookmarkEnd w:id="2"/>
      <w:r>
        <w:rPr>
          <w:rStyle w:val="FootnoteReference"/>
          <w:szCs w:val="22"/>
        </w:rPr>
        <w:footnoteReference w:id="8"/>
      </w:r>
      <w:r w:rsidRPr="006C6DAD" w:rsidR="006C6DAD">
        <w:rPr>
          <w:szCs w:val="22"/>
        </w:rPr>
        <w:t xml:space="preserve"> by engaging in unauthorized </w:t>
      </w:r>
      <w:r w:rsidR="009E5D02">
        <w:rPr>
          <w:szCs w:val="22"/>
        </w:rPr>
        <w:t>operation</w:t>
      </w:r>
      <w:r w:rsidRPr="006C6DAD" w:rsidR="006C6DAD">
        <w:rPr>
          <w:szCs w:val="22"/>
        </w:rPr>
        <w:t xml:space="preserve"> of the Station after its </w:t>
      </w:r>
      <w:r w:rsidRPr="00F51C6A" w:rsidR="00F51C6A">
        <w:rPr>
          <w:szCs w:val="22"/>
        </w:rPr>
        <w:t>license had expired</w:t>
      </w:r>
      <w:r w:rsidRPr="00683723" w:rsidR="0000095C">
        <w:rPr>
          <w:szCs w:val="22"/>
        </w:rPr>
        <w:t>.  Based upon our review of the facts and circumstances befor</w:t>
      </w:r>
      <w:r w:rsidRPr="005C3464" w:rsidR="0000095C">
        <w:rPr>
          <w:szCs w:val="22"/>
        </w:rPr>
        <w:t xml:space="preserve">e us, we conclude that </w:t>
      </w:r>
      <w:r w:rsidR="00145D4B">
        <w:rPr>
          <w:szCs w:val="22"/>
        </w:rPr>
        <w:t>Diponti</w:t>
      </w:r>
      <w:r w:rsidRPr="005C3464" w:rsidR="0000095C">
        <w:rPr>
          <w:szCs w:val="22"/>
        </w:rPr>
        <w:t xml:space="preserve"> is apparently liable for a monetary forfeiture in the amount of </w:t>
      </w:r>
      <w:r w:rsidR="009E5D02">
        <w:rPr>
          <w:szCs w:val="22"/>
        </w:rPr>
        <w:t>seven</w:t>
      </w:r>
      <w:r w:rsidRPr="005C3464" w:rsidR="0000095C">
        <w:rPr>
          <w:szCs w:val="22"/>
        </w:rPr>
        <w:t xml:space="preserve"> thousand dollars ($</w:t>
      </w:r>
      <w:r w:rsidR="009E5D02">
        <w:rPr>
          <w:szCs w:val="22"/>
        </w:rPr>
        <w:t>7</w:t>
      </w:r>
      <w:r w:rsidRPr="005C3464" w:rsidR="0000095C">
        <w:rPr>
          <w:szCs w:val="22"/>
        </w:rPr>
        <w:t>,</w:t>
      </w:r>
      <w:r w:rsidRPr="005C3464" w:rsidR="00B61A54">
        <w:rPr>
          <w:szCs w:val="22"/>
        </w:rPr>
        <w:t>0</w:t>
      </w:r>
      <w:r w:rsidRPr="005C3464" w:rsidR="0000095C">
        <w:rPr>
          <w:szCs w:val="22"/>
        </w:rPr>
        <w:t>00)</w:t>
      </w:r>
      <w:r w:rsidR="009E5D02">
        <w:rPr>
          <w:szCs w:val="22"/>
        </w:rPr>
        <w:t>.</w:t>
      </w:r>
    </w:p>
    <w:p w:rsidR="009512E7" w:rsidRPr="009512E7" w:rsidP="009512E7" w14:paraId="439859CB" w14:textId="6AA63145">
      <w:pPr>
        <w:pStyle w:val="Heading1"/>
        <w:rPr>
          <w:rFonts w:ascii="Times New Roman" w:hAnsi="Times New Roman"/>
          <w:szCs w:val="22"/>
        </w:rPr>
      </w:pPr>
      <w:r w:rsidRPr="00683723">
        <w:rPr>
          <w:rFonts w:ascii="Times New Roman" w:hAnsi="Times New Roman"/>
          <w:szCs w:val="22"/>
        </w:rPr>
        <w:t>BACKGROUND</w:t>
      </w:r>
    </w:p>
    <w:p w:rsidR="009512E7" w:rsidRPr="009512E7" w:rsidP="009512E7" w14:paraId="2D698176" w14:textId="41BDAA50">
      <w:pPr>
        <w:pStyle w:val="ParaNum"/>
        <w:rPr>
          <w:szCs w:val="22"/>
        </w:rPr>
      </w:pPr>
      <w:r w:rsidRPr="00683723">
        <w:rPr>
          <w:szCs w:val="22"/>
        </w:rP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 w:val="22"/>
          <w:szCs w:val="22"/>
        </w:rPr>
        <w:footnoteReference w:id="9"/>
      </w:r>
      <w:r w:rsidRPr="00683723">
        <w:rPr>
          <w:szCs w:val="22"/>
        </w:rPr>
        <w:t xml:space="preserve">  </w:t>
      </w:r>
      <w:r>
        <w:rPr>
          <w:szCs w:val="22"/>
        </w:rPr>
        <w:t xml:space="preserve">If a station has not filed a timely application for license renewal it has no authority to continue operating past the expiration date unless it requests and </w:t>
      </w:r>
      <w:r>
        <w:rPr>
          <w:szCs w:val="22"/>
        </w:rPr>
        <w:t>obtains STA.</w:t>
      </w:r>
      <w:r>
        <w:rPr>
          <w:rStyle w:val="FootnoteReference"/>
          <w:szCs w:val="22"/>
        </w:rPr>
        <w:footnoteReference w:id="10"/>
      </w:r>
      <w:r>
        <w:rPr>
          <w:szCs w:val="22"/>
        </w:rPr>
        <w:t xml:space="preserve">  Although the Commission will process late-filed applications for license renewal to </w:t>
      </w:r>
      <w:r w:rsidRPr="00D85509">
        <w:rPr>
          <w:szCs w:val="22"/>
        </w:rPr>
        <w:t>provide stations with the opportunity to rectify th</w:t>
      </w:r>
      <w:r w:rsidR="001216CE">
        <w:rPr>
          <w:szCs w:val="22"/>
        </w:rPr>
        <w:t>e situation and</w:t>
      </w:r>
      <w:r>
        <w:rPr>
          <w:szCs w:val="22"/>
        </w:rPr>
        <w:t xml:space="preserve"> </w:t>
      </w:r>
      <w:r w:rsidRPr="00DD4998">
        <w:rPr>
          <w:szCs w:val="22"/>
        </w:rPr>
        <w:t xml:space="preserve">to avoid disruption of service to the public, </w:t>
      </w:r>
      <w:r>
        <w:rPr>
          <w:szCs w:val="22"/>
        </w:rPr>
        <w:t>the Commission generally</w:t>
      </w:r>
      <w:r w:rsidR="00DF3AE8">
        <w:rPr>
          <w:szCs w:val="22"/>
        </w:rPr>
        <w:t xml:space="preserve"> takes</w:t>
      </w:r>
      <w:r>
        <w:rPr>
          <w:szCs w:val="22"/>
        </w:rPr>
        <w:t xml:space="preserve"> appropriate </w:t>
      </w:r>
      <w:r w:rsidRPr="00D85509">
        <w:rPr>
          <w:szCs w:val="22"/>
        </w:rPr>
        <w:t>enforcement actio</w:t>
      </w:r>
      <w:r>
        <w:rPr>
          <w:szCs w:val="22"/>
        </w:rPr>
        <w:t>n, such as monetary forfeitures,</w:t>
      </w:r>
      <w:r w:rsidR="00DF3AE8">
        <w:rPr>
          <w:szCs w:val="22"/>
        </w:rPr>
        <w:t xml:space="preserve"> in response to</w:t>
      </w:r>
      <w:r>
        <w:rPr>
          <w:szCs w:val="22"/>
        </w:rPr>
        <w:t xml:space="preserve"> the licensee’s resulting</w:t>
      </w:r>
      <w:r w:rsidRPr="00D85509">
        <w:rPr>
          <w:szCs w:val="22"/>
        </w:rPr>
        <w:t xml:space="preserve"> rule violations.</w:t>
      </w:r>
      <w:r>
        <w:rPr>
          <w:rStyle w:val="FootnoteReference"/>
          <w:szCs w:val="22"/>
        </w:rPr>
        <w:footnoteReference w:id="11"/>
      </w:r>
    </w:p>
    <w:p w:rsidR="003715FE" w:rsidP="003364B8" w14:paraId="73890775" w14:textId="3B0AE995">
      <w:pPr>
        <w:pStyle w:val="ParaNum"/>
        <w:rPr>
          <w:szCs w:val="22"/>
        </w:rPr>
      </w:pPr>
      <w:r>
        <w:rPr>
          <w:szCs w:val="22"/>
        </w:rPr>
        <w:t>In this case, t</w:t>
      </w:r>
      <w:r w:rsidR="009512E7">
        <w:rPr>
          <w:szCs w:val="22"/>
        </w:rPr>
        <w:t>he Station’s license expired significantly earlier than other</w:t>
      </w:r>
      <w:r w:rsidR="00C123B9">
        <w:rPr>
          <w:szCs w:val="22"/>
        </w:rPr>
        <w:t xml:space="preserve"> </w:t>
      </w:r>
      <w:r w:rsidR="009512E7">
        <w:rPr>
          <w:szCs w:val="22"/>
        </w:rPr>
        <w:t xml:space="preserve">Rhode Island stations because </w:t>
      </w:r>
      <w:r>
        <w:rPr>
          <w:szCs w:val="22"/>
        </w:rPr>
        <w:t xml:space="preserve">the </w:t>
      </w:r>
      <w:r w:rsidR="00254BEE">
        <w:rPr>
          <w:szCs w:val="22"/>
        </w:rPr>
        <w:t xml:space="preserve">prior licensee </w:t>
      </w:r>
      <w:r w:rsidR="009512E7">
        <w:rPr>
          <w:szCs w:val="22"/>
        </w:rPr>
        <w:t xml:space="preserve">had received a short-term </w:t>
      </w:r>
      <w:r>
        <w:rPr>
          <w:szCs w:val="22"/>
        </w:rPr>
        <w:t xml:space="preserve">license </w:t>
      </w:r>
      <w:r w:rsidR="009512E7">
        <w:rPr>
          <w:szCs w:val="22"/>
        </w:rPr>
        <w:t>renewal</w:t>
      </w:r>
      <w:r w:rsidR="00571F23">
        <w:rPr>
          <w:szCs w:val="22"/>
        </w:rPr>
        <w:t xml:space="preserve"> grant</w:t>
      </w:r>
      <w:r w:rsidR="009512E7">
        <w:rPr>
          <w:szCs w:val="22"/>
        </w:rPr>
        <w:t>.</w:t>
      </w:r>
      <w:r>
        <w:rPr>
          <w:szCs w:val="22"/>
          <w:vertAlign w:val="superscript"/>
        </w:rPr>
        <w:footnoteReference w:id="12"/>
      </w:r>
      <w:r w:rsidR="009512E7">
        <w:rPr>
          <w:szCs w:val="22"/>
        </w:rPr>
        <w:t xml:space="preserve">  Specifically, t</w:t>
      </w:r>
      <w:r w:rsidR="0050645C">
        <w:rPr>
          <w:szCs w:val="22"/>
        </w:rPr>
        <w:t xml:space="preserve">he Station’s original licensee, </w:t>
      </w:r>
      <w:r w:rsidRPr="001B5F46" w:rsidR="001B5F46">
        <w:rPr>
          <w:szCs w:val="22"/>
        </w:rPr>
        <w:t>Brian Dodge d/b/a Harvest Broadcasting Association</w:t>
      </w:r>
      <w:r w:rsidR="001B5F46">
        <w:rPr>
          <w:szCs w:val="22"/>
        </w:rPr>
        <w:t xml:space="preserve"> (Harvest</w:t>
      </w:r>
      <w:r w:rsidR="00DE5C14">
        <w:rPr>
          <w:szCs w:val="22"/>
        </w:rPr>
        <w:t>)</w:t>
      </w:r>
      <w:r w:rsidR="0050645C">
        <w:rPr>
          <w:szCs w:val="22"/>
        </w:rPr>
        <w:t xml:space="preserve">, </w:t>
      </w:r>
      <w:r w:rsidR="001B5F46">
        <w:rPr>
          <w:szCs w:val="22"/>
        </w:rPr>
        <w:t xml:space="preserve">entered into a Consent Decree with the Bureau in </w:t>
      </w:r>
      <w:r w:rsidR="00BD484A">
        <w:rPr>
          <w:szCs w:val="22"/>
        </w:rPr>
        <w:t xml:space="preserve">October </w:t>
      </w:r>
      <w:r w:rsidR="001B5F46">
        <w:rPr>
          <w:szCs w:val="22"/>
        </w:rPr>
        <w:t xml:space="preserve">2016 to resolve numerous </w:t>
      </w:r>
      <w:r w:rsidR="0050645C">
        <w:rPr>
          <w:szCs w:val="22"/>
        </w:rPr>
        <w:t xml:space="preserve">qualifications-related </w:t>
      </w:r>
      <w:r w:rsidR="001B5F46">
        <w:rPr>
          <w:szCs w:val="22"/>
        </w:rPr>
        <w:t>issues.</w:t>
      </w:r>
      <w:r>
        <w:rPr>
          <w:szCs w:val="22"/>
          <w:vertAlign w:val="superscript"/>
        </w:rPr>
        <w:footnoteReference w:id="13"/>
      </w:r>
      <w:r w:rsidR="001B5F46">
        <w:rPr>
          <w:szCs w:val="22"/>
        </w:rPr>
        <w:t xml:space="preserve">   </w:t>
      </w:r>
      <w:r w:rsidRPr="001B5F46" w:rsidR="001B5F46">
        <w:rPr>
          <w:szCs w:val="22"/>
        </w:rPr>
        <w:t xml:space="preserve">Under the terms of </w:t>
      </w:r>
      <w:r w:rsidR="001B5F46">
        <w:rPr>
          <w:szCs w:val="22"/>
        </w:rPr>
        <w:t xml:space="preserve">the </w:t>
      </w:r>
      <w:r w:rsidRPr="001B5F46" w:rsidR="001B5F46">
        <w:rPr>
          <w:szCs w:val="22"/>
        </w:rPr>
        <w:t xml:space="preserve">Consent Decree, the Station was among a group of “retained stations” that </w:t>
      </w:r>
      <w:r w:rsidR="0003405A">
        <w:rPr>
          <w:szCs w:val="22"/>
        </w:rPr>
        <w:t xml:space="preserve">Harvest was permitted to keep </w:t>
      </w:r>
      <w:r w:rsidR="001E1516">
        <w:rPr>
          <w:szCs w:val="22"/>
        </w:rPr>
        <w:t xml:space="preserve">(or sell) </w:t>
      </w:r>
      <w:r w:rsidR="0003405A">
        <w:rPr>
          <w:szCs w:val="22"/>
        </w:rPr>
        <w:t xml:space="preserve">but that </w:t>
      </w:r>
      <w:r w:rsidRPr="001B5F46" w:rsidR="001B5F46">
        <w:rPr>
          <w:szCs w:val="22"/>
        </w:rPr>
        <w:t>received a conditional, one-year short-term renewal of license</w:t>
      </w:r>
      <w:r w:rsidR="00C64439">
        <w:rPr>
          <w:szCs w:val="22"/>
        </w:rPr>
        <w:t xml:space="preserve"> so that the Bureau could </w:t>
      </w:r>
      <w:r w:rsidR="00747C26">
        <w:rPr>
          <w:szCs w:val="22"/>
        </w:rPr>
        <w:t>evaluate</w:t>
      </w:r>
      <w:r w:rsidR="00C64439">
        <w:rPr>
          <w:szCs w:val="22"/>
        </w:rPr>
        <w:t xml:space="preserve"> </w:t>
      </w:r>
      <w:r w:rsidR="00571F23">
        <w:rPr>
          <w:szCs w:val="22"/>
        </w:rPr>
        <w:t>the S</w:t>
      </w:r>
      <w:r w:rsidR="00E506C2">
        <w:rPr>
          <w:szCs w:val="22"/>
        </w:rPr>
        <w:t>tation</w:t>
      </w:r>
      <w:r w:rsidR="00571F23">
        <w:rPr>
          <w:szCs w:val="22"/>
        </w:rPr>
        <w:t>’s</w:t>
      </w:r>
      <w:r w:rsidR="00E506C2">
        <w:rPr>
          <w:szCs w:val="22"/>
        </w:rPr>
        <w:t xml:space="preserve"> </w:t>
      </w:r>
      <w:r w:rsidR="00C64439">
        <w:rPr>
          <w:szCs w:val="22"/>
        </w:rPr>
        <w:t>performance in light of past problems</w:t>
      </w:r>
      <w:r w:rsidRPr="001B5F46" w:rsidR="001B5F46">
        <w:rPr>
          <w:szCs w:val="22"/>
        </w:rPr>
        <w:t>.</w:t>
      </w:r>
      <w:r>
        <w:rPr>
          <w:szCs w:val="22"/>
          <w:vertAlign w:val="superscript"/>
        </w:rPr>
        <w:footnoteReference w:id="14"/>
      </w:r>
      <w:r w:rsidRPr="001B5F46" w:rsidR="001B5F46">
        <w:rPr>
          <w:szCs w:val="22"/>
        </w:rPr>
        <w:t xml:space="preserve">  </w:t>
      </w:r>
      <w:r w:rsidR="00677182">
        <w:rPr>
          <w:szCs w:val="22"/>
        </w:rPr>
        <w:t>On November 3, 2016</w:t>
      </w:r>
      <w:r w:rsidR="00571F23">
        <w:rPr>
          <w:szCs w:val="22"/>
        </w:rPr>
        <w:t>,</w:t>
      </w:r>
      <w:r w:rsidR="00677182">
        <w:rPr>
          <w:szCs w:val="22"/>
        </w:rPr>
        <w:t xml:space="preserve"> Harvest </w:t>
      </w:r>
      <w:r w:rsidR="00571F23">
        <w:rPr>
          <w:szCs w:val="22"/>
        </w:rPr>
        <w:t xml:space="preserve">and </w:t>
      </w:r>
      <w:r w:rsidR="00571F23">
        <w:rPr>
          <w:szCs w:val="22"/>
        </w:rPr>
        <w:t>Diponti</w:t>
      </w:r>
      <w:r w:rsidR="00571F23">
        <w:rPr>
          <w:szCs w:val="22"/>
        </w:rPr>
        <w:t xml:space="preserve"> </w:t>
      </w:r>
      <w:r w:rsidR="00677182">
        <w:rPr>
          <w:szCs w:val="22"/>
        </w:rPr>
        <w:t xml:space="preserve">filed an application for consent to assign the license </w:t>
      </w:r>
      <w:r w:rsidR="00571F23">
        <w:rPr>
          <w:szCs w:val="22"/>
        </w:rPr>
        <w:t xml:space="preserve">from the former </w:t>
      </w:r>
      <w:r w:rsidR="00677182">
        <w:rPr>
          <w:szCs w:val="22"/>
        </w:rPr>
        <w:t xml:space="preserve">to </w:t>
      </w:r>
      <w:r w:rsidR="00571F23">
        <w:rPr>
          <w:szCs w:val="22"/>
        </w:rPr>
        <w:t>the latter</w:t>
      </w:r>
      <w:r w:rsidR="00677182">
        <w:rPr>
          <w:szCs w:val="22"/>
        </w:rPr>
        <w:t xml:space="preserve">.  </w:t>
      </w:r>
      <w:r w:rsidR="00FD6C53">
        <w:rPr>
          <w:szCs w:val="22"/>
        </w:rPr>
        <w:t xml:space="preserve">The </w:t>
      </w:r>
      <w:r w:rsidR="005476A9">
        <w:rPr>
          <w:szCs w:val="22"/>
        </w:rPr>
        <w:t>Bureau</w:t>
      </w:r>
      <w:r w:rsidR="00677182">
        <w:rPr>
          <w:szCs w:val="22"/>
        </w:rPr>
        <w:t xml:space="preserve"> </w:t>
      </w:r>
      <w:r w:rsidR="005476A9">
        <w:rPr>
          <w:szCs w:val="22"/>
        </w:rPr>
        <w:t xml:space="preserve">renewed the </w:t>
      </w:r>
      <w:r w:rsidR="00A50D3B">
        <w:rPr>
          <w:szCs w:val="22"/>
        </w:rPr>
        <w:t>Station</w:t>
      </w:r>
      <w:r w:rsidR="00CF5512">
        <w:rPr>
          <w:szCs w:val="22"/>
        </w:rPr>
        <w:t>’</w:t>
      </w:r>
      <w:r w:rsidR="00A50D3B">
        <w:rPr>
          <w:szCs w:val="22"/>
        </w:rPr>
        <w:t>s</w:t>
      </w:r>
      <w:r w:rsidR="00CF5512">
        <w:rPr>
          <w:szCs w:val="22"/>
        </w:rPr>
        <w:t xml:space="preserve"> </w:t>
      </w:r>
      <w:r w:rsidR="00FD6C53">
        <w:rPr>
          <w:szCs w:val="22"/>
        </w:rPr>
        <w:t xml:space="preserve">license </w:t>
      </w:r>
      <w:r w:rsidR="005476A9">
        <w:rPr>
          <w:szCs w:val="22"/>
        </w:rPr>
        <w:t>on</w:t>
      </w:r>
      <w:r w:rsidR="00FD6C53">
        <w:rPr>
          <w:szCs w:val="22"/>
        </w:rPr>
        <w:t xml:space="preserve"> </w:t>
      </w:r>
      <w:r w:rsidR="00350C3D">
        <w:rPr>
          <w:szCs w:val="22"/>
        </w:rPr>
        <w:t>November 8, 201</w:t>
      </w:r>
      <w:r w:rsidR="005476A9">
        <w:rPr>
          <w:szCs w:val="22"/>
        </w:rPr>
        <w:t xml:space="preserve">6, </w:t>
      </w:r>
      <w:r w:rsidR="00747C26">
        <w:rPr>
          <w:szCs w:val="22"/>
        </w:rPr>
        <w:t>with a</w:t>
      </w:r>
      <w:r w:rsidR="00677182">
        <w:rPr>
          <w:szCs w:val="22"/>
        </w:rPr>
        <w:t xml:space="preserve"> short-term</w:t>
      </w:r>
      <w:r w:rsidR="00747C26">
        <w:rPr>
          <w:szCs w:val="22"/>
        </w:rPr>
        <w:t xml:space="preserve"> expiration date of</w:t>
      </w:r>
      <w:r w:rsidR="00FD6C53">
        <w:rPr>
          <w:szCs w:val="22"/>
        </w:rPr>
        <w:t xml:space="preserve"> </w:t>
      </w:r>
      <w:r w:rsidR="00350C3D">
        <w:rPr>
          <w:szCs w:val="22"/>
        </w:rPr>
        <w:t>November 8, 2017</w:t>
      </w:r>
      <w:r w:rsidR="00FD6C53">
        <w:rPr>
          <w:szCs w:val="22"/>
        </w:rPr>
        <w:t xml:space="preserve">.  </w:t>
      </w:r>
      <w:r w:rsidR="00CF5512">
        <w:rPr>
          <w:szCs w:val="22"/>
        </w:rPr>
        <w:t xml:space="preserve">On November 15, 2016, the Bureau granted </w:t>
      </w:r>
      <w:r w:rsidR="006857AC">
        <w:rPr>
          <w:szCs w:val="22"/>
        </w:rPr>
        <w:t xml:space="preserve">Harvest’s application for a permit </w:t>
      </w:r>
      <w:r w:rsidR="00CF5512">
        <w:rPr>
          <w:szCs w:val="22"/>
        </w:rPr>
        <w:t>to relocate</w:t>
      </w:r>
      <w:r w:rsidR="00C64439">
        <w:rPr>
          <w:szCs w:val="22"/>
        </w:rPr>
        <w:t xml:space="preserve"> </w:t>
      </w:r>
      <w:r w:rsidR="006857AC">
        <w:rPr>
          <w:szCs w:val="22"/>
        </w:rPr>
        <w:t xml:space="preserve">the </w:t>
      </w:r>
      <w:r w:rsidR="00B55374">
        <w:rPr>
          <w:szCs w:val="22"/>
        </w:rPr>
        <w:t>Station</w:t>
      </w:r>
      <w:r w:rsidR="006857AC">
        <w:rPr>
          <w:szCs w:val="22"/>
        </w:rPr>
        <w:t xml:space="preserve"> from Vermont to Rhode Island </w:t>
      </w:r>
      <w:r w:rsidR="00C64439">
        <w:rPr>
          <w:szCs w:val="22"/>
        </w:rPr>
        <w:t>so it could</w:t>
      </w:r>
      <w:r w:rsidR="00716E72">
        <w:rPr>
          <w:szCs w:val="22"/>
        </w:rPr>
        <w:t xml:space="preserve"> </w:t>
      </w:r>
      <w:r w:rsidR="00CF5512">
        <w:rPr>
          <w:szCs w:val="22"/>
        </w:rPr>
        <w:t xml:space="preserve">rebroadcast </w:t>
      </w:r>
      <w:r w:rsidR="00CF5512">
        <w:rPr>
          <w:szCs w:val="22"/>
        </w:rPr>
        <w:t>Diponti’s</w:t>
      </w:r>
      <w:r w:rsidR="00716E72">
        <w:rPr>
          <w:szCs w:val="22"/>
        </w:rPr>
        <w:t xml:space="preserve"> </w:t>
      </w:r>
      <w:r w:rsidR="00CF5512">
        <w:rPr>
          <w:szCs w:val="22"/>
        </w:rPr>
        <w:t>station WBLQ(AM), Westerly, Rhode Island</w:t>
      </w:r>
      <w:r w:rsidR="00716E72">
        <w:rPr>
          <w:szCs w:val="22"/>
        </w:rPr>
        <w:t xml:space="preserve">, </w:t>
      </w:r>
      <w:r w:rsidRPr="00716E72" w:rsidR="00716E72">
        <w:rPr>
          <w:szCs w:val="22"/>
        </w:rPr>
        <w:t>pursuant to AM revitalization policies</w:t>
      </w:r>
      <w:r w:rsidR="00CF5512">
        <w:rPr>
          <w:szCs w:val="22"/>
        </w:rPr>
        <w:t xml:space="preserve">.  </w:t>
      </w:r>
      <w:r w:rsidR="00677182">
        <w:rPr>
          <w:szCs w:val="22"/>
        </w:rPr>
        <w:t xml:space="preserve">The Bureau approved the license assignment from Harvest to </w:t>
      </w:r>
      <w:r w:rsidR="00FD6C53">
        <w:rPr>
          <w:szCs w:val="22"/>
        </w:rPr>
        <w:t>Di</w:t>
      </w:r>
      <w:r w:rsidR="00030FC2">
        <w:rPr>
          <w:szCs w:val="22"/>
        </w:rPr>
        <w:t>p</w:t>
      </w:r>
      <w:r w:rsidR="00FD6C53">
        <w:rPr>
          <w:szCs w:val="22"/>
        </w:rPr>
        <w:t>onti</w:t>
      </w:r>
      <w:r w:rsidR="00FD6C53">
        <w:rPr>
          <w:szCs w:val="22"/>
        </w:rPr>
        <w:t xml:space="preserve"> </w:t>
      </w:r>
      <w:r w:rsidR="00677182">
        <w:rPr>
          <w:szCs w:val="22"/>
        </w:rPr>
        <w:t>on January 17, 2017</w:t>
      </w:r>
      <w:r w:rsidR="00571F23">
        <w:rPr>
          <w:szCs w:val="22"/>
        </w:rPr>
        <w:t>,</w:t>
      </w:r>
      <w:r w:rsidR="00677182">
        <w:rPr>
          <w:szCs w:val="22"/>
        </w:rPr>
        <w:t xml:space="preserve"> and the </w:t>
      </w:r>
      <w:r w:rsidR="005B2923">
        <w:rPr>
          <w:szCs w:val="22"/>
        </w:rPr>
        <w:t xml:space="preserve">parties consummated the </w:t>
      </w:r>
      <w:r w:rsidR="00677182">
        <w:rPr>
          <w:szCs w:val="22"/>
        </w:rPr>
        <w:t xml:space="preserve">transaction on </w:t>
      </w:r>
      <w:r w:rsidR="00C84588">
        <w:rPr>
          <w:szCs w:val="22"/>
        </w:rPr>
        <w:t>March 8, 2017</w:t>
      </w:r>
      <w:r w:rsidR="001B5F46">
        <w:rPr>
          <w:szCs w:val="22"/>
        </w:rPr>
        <w:t>.</w:t>
      </w:r>
      <w:r>
        <w:rPr>
          <w:szCs w:val="22"/>
          <w:vertAlign w:val="superscript"/>
        </w:rPr>
        <w:footnoteReference w:id="15"/>
      </w:r>
      <w:r w:rsidRPr="001B5F46" w:rsidR="001B5F46">
        <w:rPr>
          <w:szCs w:val="22"/>
        </w:rPr>
        <w:t xml:space="preserve"> </w:t>
      </w:r>
      <w:r w:rsidR="001B5F46">
        <w:rPr>
          <w:szCs w:val="22"/>
        </w:rPr>
        <w:t xml:space="preserve">  </w:t>
      </w:r>
    </w:p>
    <w:p w:rsidR="009C705A" w:rsidP="00350EE9" w14:paraId="2A1C9391" w14:textId="77777777">
      <w:pPr>
        <w:pStyle w:val="ParaNum"/>
        <w:rPr>
          <w:szCs w:val="22"/>
        </w:rPr>
      </w:pPr>
      <w:r>
        <w:rPr>
          <w:szCs w:val="22"/>
        </w:rPr>
        <w:t>Diponti</w:t>
      </w:r>
      <w:r>
        <w:rPr>
          <w:szCs w:val="22"/>
        </w:rPr>
        <w:t xml:space="preserve"> should have filed a</w:t>
      </w:r>
      <w:r w:rsidRPr="0049521D" w:rsidR="0049521D">
        <w:rPr>
          <w:szCs w:val="22"/>
        </w:rPr>
        <w:t>n application to renew the Station’s license</w:t>
      </w:r>
      <w:r>
        <w:rPr>
          <w:szCs w:val="22"/>
        </w:rPr>
        <w:t xml:space="preserve"> </w:t>
      </w:r>
      <w:r w:rsidRPr="0049521D" w:rsidR="0049521D">
        <w:rPr>
          <w:szCs w:val="22"/>
        </w:rPr>
        <w:t xml:space="preserve">by July 1, 2017, the first day of the fourth full calendar month prior to the Station’s license expiration date of November 8, 2017.    </w:t>
      </w:r>
      <w:r w:rsidRPr="00683BD4" w:rsidR="00350C3D">
        <w:rPr>
          <w:szCs w:val="22"/>
        </w:rPr>
        <w:t>Diponti</w:t>
      </w:r>
      <w:r w:rsidRPr="00683BD4" w:rsidR="00541385">
        <w:rPr>
          <w:szCs w:val="22"/>
        </w:rPr>
        <w:t xml:space="preserve"> did not file </w:t>
      </w:r>
      <w:r w:rsidRPr="00683BD4" w:rsidR="0053298C">
        <w:rPr>
          <w:szCs w:val="22"/>
        </w:rPr>
        <w:t>the Application</w:t>
      </w:r>
      <w:r w:rsidRPr="00683BD4" w:rsidR="00712A98">
        <w:rPr>
          <w:szCs w:val="22"/>
        </w:rPr>
        <w:t xml:space="preserve"> </w:t>
      </w:r>
      <w:r w:rsidRPr="00683BD4" w:rsidR="0053298C">
        <w:rPr>
          <w:szCs w:val="22"/>
        </w:rPr>
        <w:t xml:space="preserve">until </w:t>
      </w:r>
      <w:r w:rsidRPr="00683BD4" w:rsidR="00E51FA9">
        <w:rPr>
          <w:szCs w:val="22"/>
        </w:rPr>
        <w:t>September 11, 2020</w:t>
      </w:r>
      <w:r w:rsidR="007E1CE8">
        <w:rPr>
          <w:szCs w:val="22"/>
        </w:rPr>
        <w:t xml:space="preserve"> and did not request STA until</w:t>
      </w:r>
      <w:r w:rsidRPr="007E1CE8" w:rsidR="007E1CE8">
        <w:rPr>
          <w:szCs w:val="22"/>
        </w:rPr>
        <w:t xml:space="preserve"> September 16, 2020, </w:t>
      </w:r>
      <w:r w:rsidR="00AA228B">
        <w:rPr>
          <w:szCs w:val="22"/>
        </w:rPr>
        <w:t xml:space="preserve">almost three years after the </w:t>
      </w:r>
      <w:r w:rsidR="001B5246">
        <w:rPr>
          <w:szCs w:val="22"/>
        </w:rPr>
        <w:t xml:space="preserve">Station’s </w:t>
      </w:r>
      <w:r w:rsidR="00AA228B">
        <w:rPr>
          <w:szCs w:val="22"/>
        </w:rPr>
        <w:t>license expired</w:t>
      </w:r>
      <w:r w:rsidRPr="00683BD4" w:rsidR="00541385">
        <w:rPr>
          <w:szCs w:val="22"/>
        </w:rPr>
        <w:t>.</w:t>
      </w:r>
      <w:r w:rsidR="007E1CE8">
        <w:rPr>
          <w:szCs w:val="22"/>
        </w:rPr>
        <w:t xml:space="preserve"> </w:t>
      </w:r>
      <w:r w:rsidRPr="00683BD4" w:rsidR="00541385">
        <w:rPr>
          <w:szCs w:val="22"/>
        </w:rPr>
        <w:t xml:space="preserve"> </w:t>
      </w:r>
      <w:r w:rsidRPr="00683BD4" w:rsidR="00832F67">
        <w:rPr>
          <w:szCs w:val="22"/>
        </w:rPr>
        <w:t>Diponti</w:t>
      </w:r>
      <w:r w:rsidRPr="00683BD4" w:rsidR="00406A52">
        <w:rPr>
          <w:szCs w:val="22"/>
        </w:rPr>
        <w:t xml:space="preserve"> </w:t>
      </w:r>
      <w:r w:rsidR="0057212F">
        <w:rPr>
          <w:szCs w:val="22"/>
        </w:rPr>
        <w:t>acknowledges that</w:t>
      </w:r>
      <w:r w:rsidR="00AF0570">
        <w:rPr>
          <w:szCs w:val="22"/>
        </w:rPr>
        <w:t xml:space="preserve"> the Application </w:t>
      </w:r>
      <w:r w:rsidR="0057212F">
        <w:rPr>
          <w:szCs w:val="22"/>
        </w:rPr>
        <w:t xml:space="preserve">is late </w:t>
      </w:r>
      <w:r w:rsidR="00075D35">
        <w:rPr>
          <w:szCs w:val="22"/>
        </w:rPr>
        <w:t xml:space="preserve">but </w:t>
      </w:r>
      <w:r w:rsidR="0057212F">
        <w:rPr>
          <w:szCs w:val="22"/>
        </w:rPr>
        <w:t xml:space="preserve">states that it did not realize that its license had expired due to </w:t>
      </w:r>
      <w:r w:rsidR="00075D35">
        <w:rPr>
          <w:szCs w:val="22"/>
        </w:rPr>
        <w:t>the</w:t>
      </w:r>
      <w:r w:rsidR="0057212F">
        <w:rPr>
          <w:szCs w:val="22"/>
        </w:rPr>
        <w:t xml:space="preserve"> short-term renewal.</w:t>
      </w:r>
      <w:r>
        <w:rPr>
          <w:rStyle w:val="FootnoteReference"/>
          <w:szCs w:val="22"/>
        </w:rPr>
        <w:footnoteReference w:id="16"/>
      </w:r>
      <w:r w:rsidRPr="00683BD4" w:rsidR="00832F67">
        <w:rPr>
          <w:szCs w:val="22"/>
        </w:rPr>
        <w:t xml:space="preserve"> </w:t>
      </w:r>
      <w:r w:rsidRPr="00683BD4" w:rsidR="00A50D3B">
        <w:rPr>
          <w:szCs w:val="22"/>
        </w:rPr>
        <w:t xml:space="preserve"> </w:t>
      </w:r>
      <w:r w:rsidRPr="00683BD4" w:rsidR="005F284E">
        <w:rPr>
          <w:szCs w:val="22"/>
        </w:rPr>
        <w:t xml:space="preserve">On September 16, 2020, </w:t>
      </w:r>
      <w:r w:rsidRPr="00683BD4" w:rsidR="005F284E">
        <w:rPr>
          <w:szCs w:val="22"/>
        </w:rPr>
        <w:t>Diponti</w:t>
      </w:r>
      <w:r w:rsidRPr="00683BD4" w:rsidR="005F284E">
        <w:rPr>
          <w:szCs w:val="22"/>
        </w:rPr>
        <w:t xml:space="preserve"> </w:t>
      </w:r>
      <w:r w:rsidRPr="00683BD4" w:rsidR="007A3CC1">
        <w:rPr>
          <w:szCs w:val="22"/>
        </w:rPr>
        <w:t xml:space="preserve">sought </w:t>
      </w:r>
      <w:r w:rsidRPr="00683BD4" w:rsidR="00957F4D">
        <w:rPr>
          <w:szCs w:val="22"/>
        </w:rPr>
        <w:t xml:space="preserve">STA </w:t>
      </w:r>
      <w:r w:rsidR="00571F23">
        <w:rPr>
          <w:szCs w:val="22"/>
        </w:rPr>
        <w:t xml:space="preserve">for the Station </w:t>
      </w:r>
      <w:r w:rsidRPr="00683BD4" w:rsidR="00957F4D">
        <w:rPr>
          <w:szCs w:val="22"/>
        </w:rPr>
        <w:t>to remain operational while the Commission processed the Application.</w:t>
      </w:r>
      <w:r>
        <w:rPr>
          <w:rStyle w:val="FootnoteReference"/>
          <w:szCs w:val="22"/>
        </w:rPr>
        <w:footnoteReference w:id="17"/>
      </w:r>
      <w:r w:rsidRPr="00683BD4" w:rsidR="00957F4D">
        <w:rPr>
          <w:szCs w:val="22"/>
        </w:rPr>
        <w:t xml:space="preserve"> </w:t>
      </w:r>
      <w:r w:rsidR="001B5246">
        <w:rPr>
          <w:szCs w:val="22"/>
        </w:rPr>
        <w:t xml:space="preserve"> The Bureau </w:t>
      </w:r>
      <w:r w:rsidRPr="00683BD4" w:rsidR="00957F4D">
        <w:rPr>
          <w:szCs w:val="22"/>
        </w:rPr>
        <w:t>granted STA on October 2, 202</w:t>
      </w:r>
      <w:r w:rsidRPr="00683BD4" w:rsidR="00FF09FE">
        <w:rPr>
          <w:szCs w:val="22"/>
        </w:rPr>
        <w:t>0</w:t>
      </w:r>
      <w:r w:rsidR="00AF0570">
        <w:rPr>
          <w:szCs w:val="22"/>
        </w:rPr>
        <w:t xml:space="preserve"> for a six-month </w:t>
      </w:r>
    </w:p>
    <w:p w:rsidR="009C705A" w14:paraId="6CF27BE4" w14:textId="77777777">
      <w:pPr>
        <w:widowControl/>
        <w:rPr>
          <w:szCs w:val="22"/>
        </w:rPr>
      </w:pPr>
      <w:r>
        <w:rPr>
          <w:szCs w:val="22"/>
        </w:rPr>
        <w:br w:type="page"/>
      </w:r>
    </w:p>
    <w:p w:rsidR="00350EE9" w:rsidP="009C705A" w14:paraId="2CFD18AA" w14:textId="2555F05A">
      <w:pPr>
        <w:pStyle w:val="ParaNum"/>
        <w:numPr>
          <w:ilvl w:val="0"/>
          <w:numId w:val="0"/>
        </w:numPr>
        <w:rPr>
          <w:szCs w:val="22"/>
        </w:rPr>
      </w:pPr>
      <w:r>
        <w:rPr>
          <w:szCs w:val="22"/>
        </w:rPr>
        <w:t>period</w:t>
      </w:r>
      <w:r w:rsidRPr="00683BD4" w:rsidR="00FF09FE">
        <w:rPr>
          <w:szCs w:val="22"/>
        </w:rPr>
        <w:t>.</w:t>
      </w:r>
      <w:r>
        <w:rPr>
          <w:rStyle w:val="FootnoteReference"/>
          <w:szCs w:val="22"/>
        </w:rPr>
        <w:footnoteReference w:id="18"/>
      </w:r>
      <w:r w:rsidRPr="00683BD4" w:rsidR="00FF09FE">
        <w:rPr>
          <w:szCs w:val="22"/>
        </w:rPr>
        <w:t xml:space="preserve">  </w:t>
      </w:r>
      <w:r>
        <w:rPr>
          <w:szCs w:val="22"/>
        </w:rPr>
        <w:t>D</w:t>
      </w:r>
      <w:r w:rsidR="006C70AF">
        <w:rPr>
          <w:szCs w:val="22"/>
        </w:rPr>
        <w:t>i</w:t>
      </w:r>
      <w:r>
        <w:rPr>
          <w:szCs w:val="22"/>
        </w:rPr>
        <w:t>ponti</w:t>
      </w:r>
      <w:r w:rsidRPr="00683BD4" w:rsidR="00FF09FE">
        <w:rPr>
          <w:szCs w:val="22"/>
        </w:rPr>
        <w:t xml:space="preserve"> </w:t>
      </w:r>
      <w:r w:rsidRPr="00683BD4" w:rsidR="00B57DC5">
        <w:rPr>
          <w:szCs w:val="22"/>
        </w:rPr>
        <w:t xml:space="preserve">timely </w:t>
      </w:r>
      <w:r w:rsidRPr="00683BD4" w:rsidR="00FF09FE">
        <w:rPr>
          <w:szCs w:val="22"/>
        </w:rPr>
        <w:t xml:space="preserve">sought extension of the STA </w:t>
      </w:r>
      <w:r w:rsidR="00836E53">
        <w:rPr>
          <w:szCs w:val="22"/>
        </w:rPr>
        <w:t>i</w:t>
      </w:r>
      <w:r w:rsidRPr="00683BD4" w:rsidR="00957F4D">
        <w:rPr>
          <w:szCs w:val="22"/>
        </w:rPr>
        <w:t xml:space="preserve">n </w:t>
      </w:r>
      <w:r w:rsidR="00836E53">
        <w:rPr>
          <w:szCs w:val="22"/>
        </w:rPr>
        <w:t xml:space="preserve">the </w:t>
      </w:r>
      <w:r w:rsidRPr="00683BD4" w:rsidR="00957F4D">
        <w:rPr>
          <w:szCs w:val="22"/>
        </w:rPr>
        <w:t>March 2</w:t>
      </w:r>
      <w:r w:rsidRPr="00683BD4" w:rsidR="00FF09FE">
        <w:rPr>
          <w:szCs w:val="22"/>
        </w:rPr>
        <w:t xml:space="preserve">6, </w:t>
      </w:r>
      <w:r w:rsidRPr="00683BD4" w:rsidR="00957F4D">
        <w:rPr>
          <w:szCs w:val="22"/>
        </w:rPr>
        <w:t>2021</w:t>
      </w:r>
      <w:r w:rsidRPr="00683BD4" w:rsidR="005B2322">
        <w:rPr>
          <w:szCs w:val="22"/>
        </w:rPr>
        <w:t xml:space="preserve"> </w:t>
      </w:r>
      <w:r w:rsidR="007B301E">
        <w:rPr>
          <w:szCs w:val="22"/>
        </w:rPr>
        <w:t>STA Request</w:t>
      </w:r>
      <w:r w:rsidR="00836E53">
        <w:rPr>
          <w:szCs w:val="22"/>
        </w:rPr>
        <w:t>,</w:t>
      </w:r>
      <w:r w:rsidR="007B301E">
        <w:rPr>
          <w:szCs w:val="22"/>
        </w:rPr>
        <w:t xml:space="preserve"> </w:t>
      </w:r>
      <w:r w:rsidRPr="00683BD4" w:rsidR="005B2322">
        <w:rPr>
          <w:szCs w:val="22"/>
        </w:rPr>
        <w:t>which remains pending</w:t>
      </w:r>
      <w:r w:rsidRPr="00683BD4" w:rsidR="00957F4D">
        <w:rPr>
          <w:szCs w:val="22"/>
        </w:rPr>
        <w:t>.</w:t>
      </w:r>
      <w:r>
        <w:rPr>
          <w:rStyle w:val="FootnoteReference"/>
          <w:szCs w:val="22"/>
        </w:rPr>
        <w:footnoteReference w:id="19"/>
      </w:r>
      <w:r w:rsidRPr="00683BD4" w:rsidR="008116AD">
        <w:rPr>
          <w:szCs w:val="22"/>
        </w:rPr>
        <w:t xml:space="preserve">  </w:t>
      </w:r>
    </w:p>
    <w:p w:rsidR="007C71AB" w:rsidP="007C71AB" w14:paraId="01367AE4" w14:textId="38FED229">
      <w:pPr>
        <w:pStyle w:val="ParaNum"/>
        <w:rPr>
          <w:szCs w:val="22"/>
        </w:rPr>
      </w:pPr>
      <w:r>
        <w:rPr>
          <w:szCs w:val="22"/>
        </w:rPr>
        <w:t xml:space="preserve">In a July 2021 e-mail exchange </w:t>
      </w:r>
      <w:r w:rsidR="00D000EC">
        <w:rPr>
          <w:szCs w:val="22"/>
        </w:rPr>
        <w:t xml:space="preserve">about </w:t>
      </w:r>
      <w:r>
        <w:rPr>
          <w:szCs w:val="22"/>
        </w:rPr>
        <w:t xml:space="preserve">the Application’s status, </w:t>
      </w:r>
      <w:r w:rsidRPr="00350EE9" w:rsidR="008116AD">
        <w:rPr>
          <w:szCs w:val="22"/>
        </w:rPr>
        <w:t xml:space="preserve">counsel </w:t>
      </w:r>
      <w:r w:rsidRPr="00D6034F" w:rsidR="00D6034F">
        <w:rPr>
          <w:bCs/>
          <w:szCs w:val="22"/>
        </w:rPr>
        <w:t xml:space="preserve">argued that </w:t>
      </w:r>
      <w:r w:rsidR="007821D2">
        <w:rPr>
          <w:bCs/>
          <w:szCs w:val="22"/>
        </w:rPr>
        <w:t xml:space="preserve">the Application is uncontested and that </w:t>
      </w:r>
      <w:r w:rsidRPr="00D6034F" w:rsidR="00D6034F">
        <w:rPr>
          <w:bCs/>
          <w:szCs w:val="22"/>
        </w:rPr>
        <w:t xml:space="preserve">grant would be consistent with a policy enunciated in the </w:t>
      </w:r>
      <w:r w:rsidRPr="00D6034F" w:rsidR="00D6034F">
        <w:rPr>
          <w:bCs/>
          <w:i/>
          <w:iCs/>
          <w:szCs w:val="22"/>
        </w:rPr>
        <w:t xml:space="preserve">Atlantic City </w:t>
      </w:r>
      <w:r w:rsidRPr="00D6034F" w:rsidR="00D6034F">
        <w:rPr>
          <w:bCs/>
          <w:szCs w:val="22"/>
        </w:rPr>
        <w:t>case, to process late-filed renewal applications</w:t>
      </w:r>
      <w:r w:rsidR="00D6034F">
        <w:rPr>
          <w:bCs/>
          <w:szCs w:val="22"/>
        </w:rPr>
        <w:t xml:space="preserve"> and not </w:t>
      </w:r>
      <w:r w:rsidR="0099000E">
        <w:rPr>
          <w:bCs/>
          <w:szCs w:val="22"/>
        </w:rPr>
        <w:t xml:space="preserve">to </w:t>
      </w:r>
      <w:r w:rsidR="00D6034F">
        <w:rPr>
          <w:bCs/>
          <w:szCs w:val="22"/>
        </w:rPr>
        <w:t>consider such matters fatal</w:t>
      </w:r>
      <w:r w:rsidRPr="00D6034F" w:rsidR="00D6034F">
        <w:rPr>
          <w:bCs/>
          <w:szCs w:val="22"/>
        </w:rPr>
        <w:t>.</w:t>
      </w:r>
      <w:r>
        <w:rPr>
          <w:bCs/>
          <w:szCs w:val="22"/>
          <w:vertAlign w:val="superscript"/>
        </w:rPr>
        <w:footnoteReference w:id="20"/>
      </w:r>
      <w:r w:rsidR="00D6034F">
        <w:rPr>
          <w:bCs/>
          <w:szCs w:val="22"/>
        </w:rPr>
        <w:t xml:space="preserve">  Counsel also </w:t>
      </w:r>
      <w:r w:rsidR="00D6034F">
        <w:rPr>
          <w:szCs w:val="22"/>
        </w:rPr>
        <w:t>notified</w:t>
      </w:r>
      <w:r w:rsidR="00D000EC">
        <w:rPr>
          <w:szCs w:val="22"/>
        </w:rPr>
        <w:t xml:space="preserve"> the Bureau </w:t>
      </w:r>
      <w:r w:rsidR="00D6034F">
        <w:rPr>
          <w:szCs w:val="22"/>
        </w:rPr>
        <w:t>of</w:t>
      </w:r>
      <w:r w:rsidRPr="00350EE9" w:rsidR="008116AD">
        <w:rPr>
          <w:szCs w:val="22"/>
        </w:rPr>
        <w:t xml:space="preserve"> a discrepancy between the</w:t>
      </w:r>
      <w:r>
        <w:rPr>
          <w:szCs w:val="22"/>
        </w:rPr>
        <w:t xml:space="preserve"> </w:t>
      </w:r>
      <w:r w:rsidRPr="00350EE9" w:rsidR="008116AD">
        <w:rPr>
          <w:szCs w:val="22"/>
        </w:rPr>
        <w:t>license expiration date</w:t>
      </w:r>
      <w:r w:rsidRPr="00350EE9" w:rsidR="00AF0570">
        <w:rPr>
          <w:szCs w:val="22"/>
        </w:rPr>
        <w:t xml:space="preserve"> established p</w:t>
      </w:r>
      <w:r>
        <w:rPr>
          <w:szCs w:val="22"/>
        </w:rPr>
        <w:t>u</w:t>
      </w:r>
      <w:r w:rsidRPr="00350EE9" w:rsidR="00AF0570">
        <w:rPr>
          <w:szCs w:val="22"/>
        </w:rPr>
        <w:t>rsuant to the Consent Decree</w:t>
      </w:r>
      <w:r w:rsidRPr="00350EE9" w:rsidR="008116AD">
        <w:rPr>
          <w:szCs w:val="22"/>
        </w:rPr>
        <w:t xml:space="preserve"> </w:t>
      </w:r>
      <w:r w:rsidR="00D000EC">
        <w:rPr>
          <w:szCs w:val="22"/>
        </w:rPr>
        <w:t xml:space="preserve">(November 8, 2017) </w:t>
      </w:r>
      <w:r w:rsidRPr="00350EE9" w:rsidR="008116AD">
        <w:rPr>
          <w:szCs w:val="22"/>
        </w:rPr>
        <w:t xml:space="preserve">and that </w:t>
      </w:r>
      <w:r w:rsidRPr="00350EE9" w:rsidR="00AF0570">
        <w:rPr>
          <w:szCs w:val="22"/>
        </w:rPr>
        <w:t xml:space="preserve">listed </w:t>
      </w:r>
      <w:r w:rsidRPr="00350EE9" w:rsidR="008116AD">
        <w:rPr>
          <w:szCs w:val="22"/>
        </w:rPr>
        <w:t>in the Commission’s Licensing Management System (LMS) database</w:t>
      </w:r>
      <w:r w:rsidR="00D000EC">
        <w:rPr>
          <w:szCs w:val="22"/>
        </w:rPr>
        <w:t xml:space="preserve"> (April 1, 2022)</w:t>
      </w:r>
      <w:r w:rsidRPr="00350EE9" w:rsidR="00E74AE7">
        <w:rPr>
          <w:szCs w:val="22"/>
        </w:rPr>
        <w:t>.</w:t>
      </w:r>
      <w:r>
        <w:rPr>
          <w:rStyle w:val="FootnoteReference"/>
          <w:rFonts w:eastAsia="SimSun"/>
          <w:bCs/>
        </w:rPr>
        <w:footnoteReference w:id="21"/>
      </w:r>
      <w:r w:rsidRPr="00350EE9" w:rsidR="008116AD">
        <w:rPr>
          <w:rFonts w:eastAsia="SimSun"/>
          <w:bCs/>
        </w:rPr>
        <w:t xml:space="preserve"> </w:t>
      </w:r>
      <w:r w:rsidRPr="00350EE9" w:rsidR="00AF0570">
        <w:rPr>
          <w:rFonts w:eastAsia="SimSun"/>
          <w:bCs/>
        </w:rPr>
        <w:t xml:space="preserve">  </w:t>
      </w:r>
    </w:p>
    <w:p w:rsidR="00581D3E" w:rsidP="00406A52" w14:paraId="548FAE66" w14:textId="140510F0">
      <w:pPr>
        <w:pStyle w:val="Heading1"/>
        <w:rPr>
          <w:rFonts w:ascii="Times New Roman" w:hAnsi="Times New Roman"/>
          <w:szCs w:val="22"/>
        </w:rPr>
      </w:pPr>
      <w:r w:rsidRPr="00683723">
        <w:rPr>
          <w:rFonts w:ascii="Times New Roman" w:hAnsi="Times New Roman"/>
          <w:szCs w:val="22"/>
        </w:rPr>
        <w:t>DISCUSSION</w:t>
      </w:r>
    </w:p>
    <w:p w:rsidR="005C3CF4" w:rsidRPr="005C3CF4" w:rsidP="005C3CF4" w14:paraId="216774AC" w14:textId="33EBECAB">
      <w:pPr>
        <w:pStyle w:val="ParaNum"/>
      </w:pPr>
      <w:r>
        <w:t xml:space="preserve">We agree with Counsel that, pursuant to the policy enunciated in </w:t>
      </w:r>
      <w:r>
        <w:rPr>
          <w:i/>
          <w:iCs/>
        </w:rPr>
        <w:t>Atlantic City,</w:t>
      </w:r>
      <w:r>
        <w:t xml:space="preserve"> the Application’s</w:t>
      </w:r>
      <w:r>
        <w:t xml:space="preserve"> late-fil</w:t>
      </w:r>
      <w:r>
        <w:t xml:space="preserve">ing does not prevent its grant.  As also </w:t>
      </w:r>
      <w:r w:rsidR="001E2B30">
        <w:t xml:space="preserve">noted in </w:t>
      </w:r>
      <w:r w:rsidRPr="001E2B30" w:rsidR="001E2B30">
        <w:rPr>
          <w:i/>
          <w:iCs/>
        </w:rPr>
        <w:t>Atlantic City</w:t>
      </w:r>
      <w:r>
        <w:t>, however, enforcement action</w:t>
      </w:r>
      <w:r w:rsidR="001E2B30">
        <w:t xml:space="preserve"> may be appropriate in conjunction with </w:t>
      </w:r>
      <w:r w:rsidR="00571F23">
        <w:t xml:space="preserve">an untimely </w:t>
      </w:r>
      <w:r w:rsidR="001E2B30">
        <w:t>license renewal</w:t>
      </w:r>
      <w:r w:rsidR="00571F23">
        <w:t xml:space="preserve"> application</w:t>
      </w:r>
      <w:r>
        <w:t xml:space="preserve">, </w:t>
      </w:r>
      <w:r w:rsidR="001E2B30">
        <w:t xml:space="preserve">and we </w:t>
      </w:r>
      <w:r>
        <w:t>propos</w:t>
      </w:r>
      <w:r w:rsidR="001E2B30">
        <w:t>e a</w:t>
      </w:r>
      <w:r>
        <w:t xml:space="preserve"> forfeiture for the violations</w:t>
      </w:r>
      <w:r w:rsidR="001E2B30">
        <w:t xml:space="preserve"> in the instant proceeding</w:t>
      </w:r>
      <w:r>
        <w:t xml:space="preserve">.  </w:t>
      </w:r>
    </w:p>
    <w:p w:rsidR="00406A52" w:rsidRPr="00683723" w:rsidP="00406A52" w14:paraId="27226FAC" w14:textId="664809A2">
      <w:pPr>
        <w:pStyle w:val="ParaNum"/>
        <w:rPr>
          <w:szCs w:val="22"/>
        </w:rPr>
      </w:pPr>
      <w:r w:rsidRPr="00683723">
        <w:rPr>
          <w:i/>
          <w:szCs w:val="22"/>
        </w:rPr>
        <w:t xml:space="preserve">Proposed Forfeiture.  </w:t>
      </w:r>
      <w:r w:rsidRPr="00683723">
        <w:rPr>
          <w:rFonts w:eastAsia="SimSun"/>
          <w:szCs w:val="22"/>
        </w:rPr>
        <w:t xml:space="preserve">This </w:t>
      </w:r>
      <w:r w:rsidRPr="00683723">
        <w:rPr>
          <w:rFonts w:eastAsia="SimSun"/>
          <w:i/>
          <w:szCs w:val="22"/>
        </w:rPr>
        <w:t>NAL</w:t>
      </w:r>
      <w:r w:rsidRPr="00683723">
        <w:rPr>
          <w:rFonts w:eastAsia="SimSun"/>
          <w:szCs w:val="22"/>
        </w:rPr>
        <w:t xml:space="preserve"> is issued pursuant to section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szCs w:val="22"/>
          <w:vertAlign w:val="superscript"/>
        </w:rPr>
        <w:footnoteReference w:id="22"/>
      </w:r>
      <w:r w:rsidRPr="00683723">
        <w:rPr>
          <w:rFonts w:eastAsia="SimSun"/>
          <w:szCs w:val="22"/>
        </w:rPr>
        <w:t xml:space="preserve">  Section 312(f)(1) of the Act defines willful as “the conscious and deliberate commission or omission of [any] act, irrespective of any intent to violate” the law.</w:t>
      </w:r>
      <w:r>
        <w:rPr>
          <w:rFonts w:eastAsia="SimSun"/>
          <w:szCs w:val="22"/>
          <w:vertAlign w:val="superscript"/>
        </w:rPr>
        <w:footnoteReference w:id="23"/>
      </w:r>
      <w:r w:rsidRPr="00683723">
        <w:rPr>
          <w:rFonts w:eastAsia="SimSun"/>
          <w:szCs w:val="22"/>
        </w:rPr>
        <w:t xml:space="preserve">  The legislative history to section 312(f)(1) of the Act clarifies that this definition of willful applies to both sections 312 and 503(b) of the Act,</w:t>
      </w:r>
      <w:r>
        <w:rPr>
          <w:rFonts w:eastAsia="SimSun"/>
          <w:szCs w:val="22"/>
          <w:vertAlign w:val="superscript"/>
        </w:rPr>
        <w:footnoteReference w:id="24"/>
      </w:r>
      <w:r w:rsidRPr="00683723">
        <w:rPr>
          <w:rFonts w:eastAsia="SimSun"/>
          <w:szCs w:val="22"/>
        </w:rPr>
        <w:t xml:space="preserve"> and the Commission has so interpreted the term in the section 503(b) context.</w:t>
      </w:r>
      <w:r>
        <w:rPr>
          <w:rFonts w:eastAsia="SimSun"/>
          <w:szCs w:val="22"/>
          <w:vertAlign w:val="superscript"/>
        </w:rPr>
        <w:footnoteReference w:id="25"/>
      </w:r>
      <w:r w:rsidRPr="00683723" w:rsidR="001E307A">
        <w:rPr>
          <w:rFonts w:eastAsia="SimSun"/>
          <w:szCs w:val="22"/>
        </w:rPr>
        <w:t xml:space="preserve">  </w:t>
      </w:r>
      <w:r w:rsidRPr="00683723" w:rsidR="001E307A">
        <w:rPr>
          <w:szCs w:val="22"/>
        </w:rPr>
        <w:t>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 w:val="22"/>
          <w:szCs w:val="22"/>
        </w:rPr>
        <w:footnoteReference w:id="26"/>
      </w:r>
      <w:r w:rsidRPr="00683723" w:rsidR="001E307A">
        <w:rPr>
          <w:szCs w:val="22"/>
        </w:rPr>
        <w:t xml:space="preserve">  </w:t>
      </w:r>
    </w:p>
    <w:p w:rsidR="001E307A" w:rsidRPr="00683723" w:rsidP="00C81DB0" w14:paraId="6F22F38C" w14:textId="7386702F">
      <w:pPr>
        <w:pStyle w:val="ParaNum"/>
        <w:widowControl/>
        <w:rPr>
          <w:szCs w:val="22"/>
        </w:rPr>
      </w:pPr>
      <w:r w:rsidRPr="00683723">
        <w:rPr>
          <w:szCs w:val="22"/>
        </w:rPr>
        <w:t>The Commission’s Forfeiture Policy Statement and section 1.80(b)(</w:t>
      </w:r>
      <w:r w:rsidR="00A811FA">
        <w:rPr>
          <w:szCs w:val="22"/>
        </w:rPr>
        <w:t>10</w:t>
      </w:r>
      <w:r w:rsidRPr="00683723">
        <w:rPr>
          <w:szCs w:val="22"/>
        </w:rPr>
        <w:t>) of the Rules establish a base forfeiture amount of $3,000 for the failure to timely file a required form.</w:t>
      </w:r>
      <w:r>
        <w:rPr>
          <w:rStyle w:val="FootnoteReference"/>
          <w:sz w:val="22"/>
          <w:szCs w:val="22"/>
        </w:rPr>
        <w:footnoteReference w:id="27"/>
      </w:r>
      <w:r w:rsidRPr="00683723">
        <w:rPr>
          <w:szCs w:val="22"/>
        </w:rPr>
        <w:t xml:space="preserve"> </w:t>
      </w:r>
      <w:r w:rsidR="00242FAC">
        <w:rPr>
          <w:szCs w:val="22"/>
        </w:rPr>
        <w:t xml:space="preserve"> </w:t>
      </w:r>
      <w:r w:rsidRPr="00242FAC" w:rsidR="00242FAC">
        <w:rPr>
          <w:szCs w:val="22"/>
        </w:rPr>
        <w:t xml:space="preserve">The guidelines also specify a base forfeiture amount of $10,000 for construction and/or operation without an instrument </w:t>
      </w:r>
      <w:r w:rsidRPr="00242FAC" w:rsidR="00242FAC">
        <w:rPr>
          <w:szCs w:val="22"/>
        </w:rPr>
        <w:t>of authorization for the service</w:t>
      </w:r>
      <w:r w:rsidR="00242FAC">
        <w:rPr>
          <w:szCs w:val="22"/>
        </w:rPr>
        <w:t>.</w:t>
      </w:r>
      <w:r>
        <w:rPr>
          <w:rStyle w:val="FootnoteReference"/>
          <w:szCs w:val="22"/>
        </w:rPr>
        <w:footnoteReference w:id="28"/>
      </w:r>
      <w:r w:rsidR="00242FAC">
        <w:rPr>
          <w:szCs w:val="22"/>
        </w:rPr>
        <w:t xml:space="preserve"> </w:t>
      </w:r>
      <w:r w:rsidRPr="00683723">
        <w:rPr>
          <w:szCs w:val="22"/>
        </w:rPr>
        <w:t xml:space="preserve"> In determining the appropriate forfeiture amount, we may adjust the base amount upward or downward by considering the factors enumerated in section </w:t>
      </w:r>
      <w:r w:rsidRPr="0087629E">
        <w:rPr>
          <w:szCs w:val="22"/>
        </w:rPr>
        <w:t>503(b)(2)(E)</w:t>
      </w:r>
      <w:r w:rsidRPr="00683723">
        <w:rPr>
          <w:szCs w:val="22"/>
        </w:rPr>
        <w:t xml:space="preserve"> of the Act, including “the nature, circumstances, extent and gravity of the violation, and, with respect to the violator, the degree of culpability, any history of prior offenses, ability to pay, and such other matters as justice may require.”</w:t>
      </w:r>
      <w:r w:rsidRPr="00683723">
        <w:rPr>
          <w:rStyle w:val="FootnoteReference"/>
          <w:sz w:val="22"/>
          <w:szCs w:val="22"/>
        </w:rPr>
        <w:t xml:space="preserve"> </w:t>
      </w:r>
      <w:r>
        <w:rPr>
          <w:rStyle w:val="FootnoteReference"/>
          <w:sz w:val="22"/>
          <w:szCs w:val="22"/>
        </w:rPr>
        <w:footnoteReference w:id="29"/>
      </w:r>
    </w:p>
    <w:p w:rsidR="00E10256" w:rsidRPr="001C4FB5" w:rsidP="001C4FB5" w14:paraId="59E9048F" w14:textId="2630F964">
      <w:pPr>
        <w:pStyle w:val="ParaNum"/>
        <w:rPr>
          <w:szCs w:val="22"/>
        </w:rPr>
      </w:pPr>
      <w:r w:rsidRPr="00683723">
        <w:rPr>
          <w:szCs w:val="22"/>
        </w:rPr>
        <w:t xml:space="preserve">In this case, </w:t>
      </w:r>
      <w:r w:rsidR="003C064E">
        <w:rPr>
          <w:szCs w:val="22"/>
        </w:rPr>
        <w:t>Diponti</w:t>
      </w:r>
      <w:r w:rsidRPr="00683723">
        <w:rPr>
          <w:szCs w:val="22"/>
        </w:rPr>
        <w:t xml:space="preserve"> failed to file a </w:t>
      </w:r>
      <w:r w:rsidRPr="00354D62" w:rsidR="00354D62">
        <w:rPr>
          <w:szCs w:val="22"/>
        </w:rPr>
        <w:t xml:space="preserve">timely </w:t>
      </w:r>
      <w:r w:rsidRPr="00683723">
        <w:rPr>
          <w:szCs w:val="22"/>
        </w:rPr>
        <w:t xml:space="preserve">license renewal application for </w:t>
      </w:r>
      <w:r w:rsidRPr="00683723" w:rsidR="001E307A">
        <w:rPr>
          <w:szCs w:val="22"/>
        </w:rPr>
        <w:t>the Station</w:t>
      </w:r>
      <w:r w:rsidRPr="00683723">
        <w:rPr>
          <w:szCs w:val="22"/>
        </w:rPr>
        <w:t>, as required by section 73.3539</w:t>
      </w:r>
      <w:r w:rsidR="00650B53">
        <w:rPr>
          <w:szCs w:val="22"/>
        </w:rPr>
        <w:t>(a)</w:t>
      </w:r>
      <w:r w:rsidRPr="00683723">
        <w:rPr>
          <w:szCs w:val="22"/>
        </w:rPr>
        <w:t xml:space="preserve"> of the Rules</w:t>
      </w:r>
      <w:r w:rsidR="00242FAC">
        <w:rPr>
          <w:szCs w:val="22"/>
        </w:rPr>
        <w:t xml:space="preserve"> </w:t>
      </w:r>
      <w:r w:rsidRPr="00242FAC" w:rsidR="00242FAC">
        <w:rPr>
          <w:szCs w:val="22"/>
        </w:rPr>
        <w:t xml:space="preserve">and </w:t>
      </w:r>
      <w:r w:rsidR="00242FAC">
        <w:rPr>
          <w:szCs w:val="22"/>
        </w:rPr>
        <w:t xml:space="preserve">violated Section 301 of the Act by </w:t>
      </w:r>
      <w:r w:rsidRPr="00242FAC" w:rsidR="00242FAC">
        <w:rPr>
          <w:szCs w:val="22"/>
        </w:rPr>
        <w:t>continu</w:t>
      </w:r>
      <w:r w:rsidR="00242FAC">
        <w:rPr>
          <w:szCs w:val="22"/>
        </w:rPr>
        <w:t>ing</w:t>
      </w:r>
      <w:r w:rsidRPr="00242FAC" w:rsidR="00242FAC">
        <w:rPr>
          <w:szCs w:val="22"/>
        </w:rPr>
        <w:t xml:space="preserve"> Station</w:t>
      </w:r>
      <w:r w:rsidR="00242FAC">
        <w:rPr>
          <w:szCs w:val="22"/>
        </w:rPr>
        <w:t xml:space="preserve"> operations</w:t>
      </w:r>
      <w:r w:rsidRPr="00242FAC" w:rsidR="00242FAC">
        <w:rPr>
          <w:szCs w:val="22"/>
        </w:rPr>
        <w:t xml:space="preserve"> </w:t>
      </w:r>
      <w:r w:rsidR="003E38E1">
        <w:rPr>
          <w:szCs w:val="22"/>
        </w:rPr>
        <w:t>after</w:t>
      </w:r>
      <w:r w:rsidRPr="00242FAC" w:rsidR="00242FAC">
        <w:rPr>
          <w:szCs w:val="22"/>
        </w:rPr>
        <w:t xml:space="preserve"> the Station’s </w:t>
      </w:r>
      <w:r w:rsidR="00242FAC">
        <w:rPr>
          <w:szCs w:val="22"/>
        </w:rPr>
        <w:t>license expired</w:t>
      </w:r>
      <w:r w:rsidR="00954414">
        <w:rPr>
          <w:szCs w:val="22"/>
        </w:rPr>
        <w:t xml:space="preserve">.  The period of unauthorized operations </w:t>
      </w:r>
      <w:r w:rsidR="003E38E1">
        <w:rPr>
          <w:szCs w:val="22"/>
        </w:rPr>
        <w:t xml:space="preserve">was considerable, </w:t>
      </w:r>
      <w:r w:rsidR="00C63102">
        <w:rPr>
          <w:szCs w:val="22"/>
        </w:rPr>
        <w:t>r</w:t>
      </w:r>
      <w:r w:rsidR="003E38E1">
        <w:rPr>
          <w:szCs w:val="22"/>
        </w:rPr>
        <w:t xml:space="preserve">unning almost three years </w:t>
      </w:r>
      <w:r w:rsidR="00C63102">
        <w:rPr>
          <w:szCs w:val="22"/>
        </w:rPr>
        <w:t>from</w:t>
      </w:r>
      <w:r w:rsidR="00954414">
        <w:rPr>
          <w:szCs w:val="22"/>
        </w:rPr>
        <w:t xml:space="preserve"> </w:t>
      </w:r>
      <w:r w:rsidR="00242FAC">
        <w:rPr>
          <w:szCs w:val="22"/>
        </w:rPr>
        <w:t xml:space="preserve">November 8, 2017 </w:t>
      </w:r>
      <w:r w:rsidR="00954414">
        <w:rPr>
          <w:szCs w:val="22"/>
        </w:rPr>
        <w:t xml:space="preserve">(license expiration) until </w:t>
      </w:r>
      <w:r w:rsidRPr="00C63102" w:rsidR="00C63102">
        <w:rPr>
          <w:szCs w:val="22"/>
        </w:rPr>
        <w:t xml:space="preserve">October 2, 2020 </w:t>
      </w:r>
      <w:r w:rsidR="00954414">
        <w:rPr>
          <w:szCs w:val="22"/>
        </w:rPr>
        <w:t>(STA grant).</w:t>
      </w:r>
      <w:r w:rsidR="00242FAC">
        <w:rPr>
          <w:szCs w:val="22"/>
        </w:rPr>
        <w:t xml:space="preserve">  </w:t>
      </w:r>
      <w:r w:rsidRPr="00E52F85" w:rsidR="00E52F85">
        <w:rPr>
          <w:szCs w:val="22"/>
        </w:rPr>
        <w:t xml:space="preserve">While </w:t>
      </w:r>
      <w:r w:rsidR="002C23A1">
        <w:rPr>
          <w:szCs w:val="22"/>
        </w:rPr>
        <w:t>Diponti</w:t>
      </w:r>
      <w:r w:rsidRPr="00E52F85" w:rsidR="00E52F85">
        <w:rPr>
          <w:szCs w:val="22"/>
        </w:rPr>
        <w:t xml:space="preserve"> indicates that </w:t>
      </w:r>
      <w:r w:rsidR="00BF7CB5">
        <w:rPr>
          <w:szCs w:val="22"/>
        </w:rPr>
        <w:t>its</w:t>
      </w:r>
      <w:r w:rsidRPr="00E52F85" w:rsidR="00E52F85">
        <w:rPr>
          <w:szCs w:val="22"/>
        </w:rPr>
        <w:t xml:space="preserve"> failure to file the Application </w:t>
      </w:r>
      <w:r w:rsidR="00BF7CB5">
        <w:rPr>
          <w:szCs w:val="22"/>
        </w:rPr>
        <w:t xml:space="preserve">timely </w:t>
      </w:r>
      <w:r w:rsidRPr="00E52F85" w:rsidR="00E52F85">
        <w:rPr>
          <w:szCs w:val="22"/>
        </w:rPr>
        <w:t>was an oversight</w:t>
      </w:r>
      <w:r w:rsidR="002C23A1">
        <w:rPr>
          <w:szCs w:val="22"/>
        </w:rPr>
        <w:t xml:space="preserve"> that did not become apparent until its counsel’s routine review of the Commission’s database</w:t>
      </w:r>
      <w:r w:rsidRPr="00E52F85" w:rsidR="00E52F85">
        <w:rPr>
          <w:szCs w:val="22"/>
        </w:rPr>
        <w:t>, we note that “‘inadvertence,’ . . . is at best, ignorance of the law, which the Commission does not consider a mitigating circumstance.”</w:t>
      </w:r>
      <w:r>
        <w:rPr>
          <w:szCs w:val="22"/>
          <w:vertAlign w:val="superscript"/>
        </w:rPr>
        <w:footnoteReference w:id="30"/>
      </w:r>
      <w:r w:rsidRPr="00E52F85" w:rsidR="00E52F85">
        <w:rPr>
          <w:szCs w:val="22"/>
        </w:rPr>
        <w:t xml:space="preserve">  </w:t>
      </w:r>
      <w:r w:rsidR="00DA5F1C">
        <w:rPr>
          <w:szCs w:val="22"/>
        </w:rPr>
        <w:t xml:space="preserve">Nor </w:t>
      </w:r>
      <w:r w:rsidR="00E52F85">
        <w:rPr>
          <w:szCs w:val="22"/>
        </w:rPr>
        <w:t xml:space="preserve">do </w:t>
      </w:r>
      <w:r w:rsidR="00DA5F1C">
        <w:rPr>
          <w:szCs w:val="22"/>
        </w:rPr>
        <w:t>we</w:t>
      </w:r>
      <w:r w:rsidR="00E52F85">
        <w:rPr>
          <w:szCs w:val="22"/>
        </w:rPr>
        <w:t xml:space="preserve"> consider the discrepancy of expiration dates </w:t>
      </w:r>
      <w:r w:rsidR="00DA5F1C">
        <w:rPr>
          <w:szCs w:val="22"/>
        </w:rPr>
        <w:t>in</w:t>
      </w:r>
      <w:r w:rsidR="00E52F85">
        <w:rPr>
          <w:szCs w:val="22"/>
        </w:rPr>
        <w:t xml:space="preserve"> the Consent Decree and </w:t>
      </w:r>
      <w:r w:rsidR="00DA5F1C">
        <w:rPr>
          <w:szCs w:val="22"/>
        </w:rPr>
        <w:t xml:space="preserve">in </w:t>
      </w:r>
      <w:r w:rsidR="00E52F85">
        <w:rPr>
          <w:szCs w:val="22"/>
        </w:rPr>
        <w:t>LMS to be a mitigating factor</w:t>
      </w:r>
      <w:r w:rsidR="00DA5F1C">
        <w:rPr>
          <w:szCs w:val="22"/>
        </w:rPr>
        <w:t xml:space="preserve"> because the </w:t>
      </w:r>
      <w:r w:rsidR="00E52F85">
        <w:rPr>
          <w:szCs w:val="22"/>
        </w:rPr>
        <w:t xml:space="preserve">LMS database that did not come on line until April 2019, about </w:t>
      </w:r>
      <w:r w:rsidR="00860AEC">
        <w:rPr>
          <w:szCs w:val="22"/>
        </w:rPr>
        <w:t>21</w:t>
      </w:r>
      <w:r w:rsidR="00E52F85">
        <w:rPr>
          <w:szCs w:val="22"/>
        </w:rPr>
        <w:t xml:space="preserve"> months </w:t>
      </w:r>
      <w:r w:rsidR="00D0174B">
        <w:rPr>
          <w:szCs w:val="22"/>
        </w:rPr>
        <w:t>after</w:t>
      </w:r>
      <w:r w:rsidR="00E52F85">
        <w:rPr>
          <w:szCs w:val="22"/>
        </w:rPr>
        <w:t xml:space="preserve"> the filing due date and </w:t>
      </w:r>
      <w:r w:rsidR="00860AEC">
        <w:rPr>
          <w:szCs w:val="22"/>
        </w:rPr>
        <w:t>17</w:t>
      </w:r>
      <w:r w:rsidR="00E52F85">
        <w:rPr>
          <w:szCs w:val="22"/>
        </w:rPr>
        <w:t xml:space="preserve"> months </w:t>
      </w:r>
      <w:r w:rsidR="00D0174B">
        <w:rPr>
          <w:szCs w:val="22"/>
        </w:rPr>
        <w:t>after</w:t>
      </w:r>
      <w:r w:rsidR="00E52F85">
        <w:rPr>
          <w:szCs w:val="22"/>
        </w:rPr>
        <w:t xml:space="preserve"> license expiration.  Thus, </w:t>
      </w:r>
      <w:r w:rsidR="00E52F85">
        <w:rPr>
          <w:szCs w:val="22"/>
        </w:rPr>
        <w:t>Dipon</w:t>
      </w:r>
      <w:r w:rsidR="00692F2F">
        <w:rPr>
          <w:szCs w:val="22"/>
        </w:rPr>
        <w:t>t</w:t>
      </w:r>
      <w:r w:rsidR="00E52F85">
        <w:rPr>
          <w:szCs w:val="22"/>
        </w:rPr>
        <w:t>i</w:t>
      </w:r>
      <w:r w:rsidR="00E52F85">
        <w:rPr>
          <w:szCs w:val="22"/>
        </w:rPr>
        <w:t xml:space="preserve"> does not (and could not) </w:t>
      </w:r>
      <w:r w:rsidR="00692F2F">
        <w:rPr>
          <w:szCs w:val="22"/>
        </w:rPr>
        <w:t xml:space="preserve">establish any causal connection between the </w:t>
      </w:r>
      <w:r w:rsidR="00E52F85">
        <w:rPr>
          <w:szCs w:val="22"/>
        </w:rPr>
        <w:t xml:space="preserve">LMS discrepancy </w:t>
      </w:r>
      <w:r w:rsidR="00692F2F">
        <w:rPr>
          <w:szCs w:val="22"/>
        </w:rPr>
        <w:t>and its violations.</w:t>
      </w:r>
      <w:r w:rsidR="00BF7CB5">
        <w:rPr>
          <w:szCs w:val="22"/>
        </w:rPr>
        <w:t xml:space="preserve">  </w:t>
      </w:r>
      <w:r w:rsidR="000B3864">
        <w:rPr>
          <w:szCs w:val="22"/>
        </w:rPr>
        <w:t xml:space="preserve">Further, because </w:t>
      </w:r>
      <w:r w:rsidR="00BD484A">
        <w:rPr>
          <w:szCs w:val="22"/>
        </w:rPr>
        <w:t xml:space="preserve">the Consent Decree was released </w:t>
      </w:r>
      <w:r w:rsidR="00853773">
        <w:rPr>
          <w:szCs w:val="22"/>
        </w:rPr>
        <w:t>i</w:t>
      </w:r>
      <w:r w:rsidR="00BD484A">
        <w:rPr>
          <w:szCs w:val="22"/>
        </w:rPr>
        <w:t xml:space="preserve">n October 2016 and </w:t>
      </w:r>
      <w:r w:rsidR="00BD484A">
        <w:rPr>
          <w:szCs w:val="22"/>
        </w:rPr>
        <w:t>Diponti</w:t>
      </w:r>
      <w:r w:rsidR="00BD484A">
        <w:rPr>
          <w:szCs w:val="22"/>
        </w:rPr>
        <w:t xml:space="preserve"> applied to acquire the </w:t>
      </w:r>
      <w:r w:rsidR="00D0174B">
        <w:rPr>
          <w:szCs w:val="22"/>
        </w:rPr>
        <w:t>S</w:t>
      </w:r>
      <w:r w:rsidR="00BD484A">
        <w:rPr>
          <w:szCs w:val="22"/>
        </w:rPr>
        <w:t>tation</w:t>
      </w:r>
      <w:r w:rsidR="00B10584">
        <w:rPr>
          <w:szCs w:val="22"/>
        </w:rPr>
        <w:t xml:space="preserve"> shortly thereafter</w:t>
      </w:r>
      <w:r w:rsidR="00BD484A">
        <w:rPr>
          <w:szCs w:val="22"/>
        </w:rPr>
        <w:t xml:space="preserve"> in November 2016,</w:t>
      </w:r>
      <w:r w:rsidR="000B3864">
        <w:rPr>
          <w:szCs w:val="22"/>
        </w:rPr>
        <w:t xml:space="preserve"> it should have been on notice </w:t>
      </w:r>
      <w:r w:rsidR="00BD484A">
        <w:rPr>
          <w:szCs w:val="22"/>
        </w:rPr>
        <w:t xml:space="preserve">of the one-year short term renewal </w:t>
      </w:r>
      <w:r w:rsidR="000B3864">
        <w:rPr>
          <w:szCs w:val="22"/>
        </w:rPr>
        <w:t xml:space="preserve">as part of its due diligence.  </w:t>
      </w:r>
      <w:r w:rsidRPr="00242FAC" w:rsidR="00242FAC">
        <w:rPr>
          <w:szCs w:val="22"/>
        </w:rPr>
        <w:t xml:space="preserve">Nevertheless, </w:t>
      </w:r>
      <w:r w:rsidR="003E6510">
        <w:rPr>
          <w:szCs w:val="22"/>
        </w:rPr>
        <w:t xml:space="preserve">we note that </w:t>
      </w:r>
      <w:r w:rsidRPr="00242FAC" w:rsidR="00242FAC">
        <w:rPr>
          <w:szCs w:val="22"/>
        </w:rPr>
        <w:t xml:space="preserve">because </w:t>
      </w:r>
      <w:r w:rsidR="00E52F85">
        <w:rPr>
          <w:szCs w:val="22"/>
        </w:rPr>
        <w:t>Diponti</w:t>
      </w:r>
      <w:r w:rsidRPr="00242FAC" w:rsidR="00242FAC">
        <w:rPr>
          <w:szCs w:val="22"/>
        </w:rPr>
        <w:t xml:space="preserve"> had been licensed to </w:t>
      </w:r>
      <w:r w:rsidR="00242FAC">
        <w:rPr>
          <w:szCs w:val="22"/>
        </w:rPr>
        <w:t>operate the</w:t>
      </w:r>
      <w:r w:rsidR="00242FAC">
        <w:rPr>
          <w:b/>
          <w:bCs/>
          <w:szCs w:val="22"/>
        </w:rPr>
        <w:t xml:space="preserve"> </w:t>
      </w:r>
      <w:r w:rsidR="00242FAC">
        <w:rPr>
          <w:szCs w:val="22"/>
        </w:rPr>
        <w:t>Station</w:t>
      </w:r>
      <w:r w:rsidR="00E52F85">
        <w:rPr>
          <w:szCs w:val="22"/>
        </w:rPr>
        <w:t xml:space="preserve"> prior to expiration</w:t>
      </w:r>
      <w:r w:rsidRPr="00242FAC" w:rsidR="00242FAC">
        <w:rPr>
          <w:szCs w:val="22"/>
        </w:rPr>
        <w:t xml:space="preserve">, </w:t>
      </w:r>
      <w:r w:rsidR="00E52F85">
        <w:rPr>
          <w:szCs w:val="22"/>
        </w:rPr>
        <w:t xml:space="preserve">its unauthorized operation </w:t>
      </w:r>
      <w:r w:rsidRPr="00242FAC" w:rsidR="00242FAC">
        <w:rPr>
          <w:szCs w:val="22"/>
        </w:rPr>
        <w:t xml:space="preserve">is not comparable to “pirate” </w:t>
      </w:r>
      <w:r w:rsidR="00D0174B">
        <w:rPr>
          <w:szCs w:val="22"/>
        </w:rPr>
        <w:t>radio</w:t>
      </w:r>
      <w:r w:rsidR="00242FAC">
        <w:rPr>
          <w:szCs w:val="22"/>
        </w:rPr>
        <w:t xml:space="preserve"> operations, </w:t>
      </w:r>
      <w:r w:rsidRPr="00242FAC" w:rsidR="00242FAC">
        <w:rPr>
          <w:szCs w:val="22"/>
        </w:rPr>
        <w:t>which typically have been subject to forfeitures of $10,000</w:t>
      </w:r>
      <w:r w:rsidR="00D0174B">
        <w:rPr>
          <w:szCs w:val="22"/>
        </w:rPr>
        <w:t xml:space="preserve"> or more</w:t>
      </w:r>
      <w:r w:rsidRPr="00242FAC" w:rsidR="00242FAC">
        <w:rPr>
          <w:szCs w:val="22"/>
        </w:rPr>
        <w:t xml:space="preserve">. </w:t>
      </w:r>
      <w:r w:rsidR="00E52F85">
        <w:rPr>
          <w:szCs w:val="22"/>
        </w:rPr>
        <w:t xml:space="preserve"> We also consider that the Station</w:t>
      </w:r>
      <w:r w:rsidR="003E6510">
        <w:rPr>
          <w:szCs w:val="22"/>
        </w:rPr>
        <w:t>, as a translator,</w:t>
      </w:r>
      <w:r w:rsidR="00E52F85">
        <w:rPr>
          <w:szCs w:val="22"/>
        </w:rPr>
        <w:t xml:space="preserve"> </w:t>
      </w:r>
      <w:r w:rsidR="003E6510">
        <w:rPr>
          <w:szCs w:val="22"/>
        </w:rPr>
        <w:t xml:space="preserve">operates on a </w:t>
      </w:r>
      <w:r w:rsidR="00E52F85">
        <w:rPr>
          <w:szCs w:val="22"/>
        </w:rPr>
        <w:t xml:space="preserve">secondary </w:t>
      </w:r>
      <w:r w:rsidR="003E6510">
        <w:rPr>
          <w:szCs w:val="22"/>
        </w:rPr>
        <w:t>basis</w:t>
      </w:r>
      <w:r w:rsidR="00E52F85">
        <w:rPr>
          <w:szCs w:val="22"/>
        </w:rPr>
        <w:t xml:space="preserve">.  </w:t>
      </w:r>
      <w:r w:rsidRPr="00242FAC" w:rsidR="00242FAC">
        <w:rPr>
          <w:szCs w:val="22"/>
        </w:rPr>
        <w:t xml:space="preserve">Taking into consideration these facts and all of the factors required by Section 503(b)(2)(D) of the Act and the </w:t>
      </w:r>
      <w:r w:rsidRPr="00242FAC" w:rsidR="00242FAC">
        <w:rPr>
          <w:i/>
          <w:iCs/>
          <w:szCs w:val="22"/>
        </w:rPr>
        <w:t>Forfeiture Policy Statement</w:t>
      </w:r>
      <w:r w:rsidRPr="00242FAC" w:rsidR="00242FAC">
        <w:rPr>
          <w:szCs w:val="22"/>
        </w:rPr>
        <w:t xml:space="preserve">, we propose a forfeiture for the full $3,000 amount for the failure to file </w:t>
      </w:r>
      <w:r w:rsidR="00DA5F1C">
        <w:rPr>
          <w:szCs w:val="22"/>
        </w:rPr>
        <w:t>a</w:t>
      </w:r>
      <w:r w:rsidRPr="00242FAC" w:rsidR="00242FAC">
        <w:rPr>
          <w:szCs w:val="22"/>
        </w:rPr>
        <w:t xml:space="preserve"> </w:t>
      </w:r>
      <w:r w:rsidR="007F03EE">
        <w:rPr>
          <w:szCs w:val="22"/>
        </w:rPr>
        <w:t xml:space="preserve">timely </w:t>
      </w:r>
      <w:r w:rsidRPr="00242FAC" w:rsidR="00242FAC">
        <w:rPr>
          <w:szCs w:val="22"/>
        </w:rPr>
        <w:t xml:space="preserve">renewal application and STA request, but reduce the proposed forfeiture for the unauthorized </w:t>
      </w:r>
      <w:r w:rsidR="00242FAC">
        <w:rPr>
          <w:szCs w:val="22"/>
        </w:rPr>
        <w:t xml:space="preserve">operation </w:t>
      </w:r>
      <w:r w:rsidRPr="00242FAC" w:rsidR="00242FAC">
        <w:rPr>
          <w:szCs w:val="22"/>
        </w:rPr>
        <w:t>from the $10,000 base amount to $4,000.</w:t>
      </w:r>
      <w:bookmarkStart w:id="3" w:name="co_tablefootnote_21_1"/>
      <w:bookmarkEnd w:id="3"/>
      <w:r w:rsidR="003E7F17">
        <w:rPr>
          <w:szCs w:val="22"/>
        </w:rPr>
        <w:t xml:space="preserve">  </w:t>
      </w:r>
      <w:r w:rsidRPr="00242FAC" w:rsidR="00242FAC">
        <w:rPr>
          <w:szCs w:val="22"/>
        </w:rPr>
        <w:t>Thus, we propose a forfeiture in the total amount of $7,000.</w:t>
      </w:r>
      <w:r w:rsidRPr="007F03EE">
        <w:rPr>
          <w:szCs w:val="22"/>
        </w:rPr>
        <w:t xml:space="preserve">  </w:t>
      </w:r>
      <w:r w:rsidRPr="001C4FB5" w:rsidR="003C064E">
        <w:rPr>
          <w:szCs w:val="22"/>
        </w:rPr>
        <w:t xml:space="preserve">  </w:t>
      </w:r>
    </w:p>
    <w:p w:rsidR="00AE2D78" w:rsidRPr="00683723" w:rsidP="00CB1BA6" w14:paraId="4B45A4B3" w14:textId="2F72ED62">
      <w:pPr>
        <w:pStyle w:val="ParaNum"/>
        <w:rPr>
          <w:szCs w:val="22"/>
        </w:rPr>
      </w:pPr>
      <w:r w:rsidRPr="00683723">
        <w:rPr>
          <w:i/>
          <w:szCs w:val="22"/>
        </w:rPr>
        <w:t>License Renewal Application.</w:t>
      </w:r>
      <w:r w:rsidRPr="00683723">
        <w:rPr>
          <w:szCs w:val="22"/>
        </w:rPr>
        <w:t xml:space="preserve">  </w:t>
      </w:r>
      <w:r w:rsidRPr="00683723" w:rsidR="00A7120F">
        <w:rPr>
          <w:szCs w:val="22"/>
        </w:rPr>
        <w:t>In evaluating an application for license renewal, the Commission’s decision is governed by section 309(k) of the Act.</w:t>
      </w:r>
      <w:r>
        <w:rPr>
          <w:rStyle w:val="FootnoteReference"/>
          <w:sz w:val="22"/>
          <w:szCs w:val="22"/>
        </w:rPr>
        <w:footnoteReference w:id="31"/>
      </w:r>
      <w:r w:rsidRPr="00683723" w:rsidR="00A7120F">
        <w:rPr>
          <w:szCs w:val="22"/>
        </w:rPr>
        <w:t xml:space="preserve">  That section provides that if, upon consideration of the application and pleadings, we find that: </w:t>
      </w:r>
      <w:r w:rsidR="00D0174B">
        <w:rPr>
          <w:szCs w:val="22"/>
        </w:rPr>
        <w:t xml:space="preserve"> </w:t>
      </w:r>
      <w:r w:rsidRPr="00683723" w:rsidR="00A7120F">
        <w:rPr>
          <w:szCs w:val="22"/>
        </w:rP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sz w:val="22"/>
          <w:szCs w:val="22"/>
        </w:rPr>
        <w:footnoteReference w:id="32"/>
      </w:r>
      <w:r w:rsidRPr="00683723" w:rsidR="00A7120F">
        <w:rPr>
          <w:szCs w:val="22"/>
        </w:rPr>
        <w:t xml:space="preserve"> </w:t>
      </w:r>
      <w:r w:rsidRPr="00683723" w:rsidR="00A7120F">
        <w:rPr>
          <w:i/>
          <w:szCs w:val="22"/>
        </w:rPr>
        <w:t xml:space="preserve"> </w:t>
      </w:r>
      <w:r w:rsidRPr="00683723" w:rsidR="00A7120F">
        <w:rPr>
          <w:szCs w:val="22"/>
        </w:rPr>
        <w:t>If, however, the licensee fails to meet that standard, the Commission may deny the application—after notice and opportunity for a hearing under section 309(e) of the Act—or grant the application “on terms and conditions that are appropriate, including a renewal for a term less than the maximum otherwise permitted.”</w:t>
      </w:r>
      <w:r>
        <w:rPr>
          <w:rStyle w:val="FootnoteReference"/>
          <w:sz w:val="22"/>
          <w:szCs w:val="22"/>
        </w:rPr>
        <w:footnoteReference w:id="33"/>
      </w:r>
    </w:p>
    <w:p w:rsidR="00A7120F" w:rsidRPr="00E27D2E" w:rsidP="00CB1BA6" w14:paraId="3D5145C4" w14:textId="3FB9F871">
      <w:pPr>
        <w:pStyle w:val="ParaNum"/>
        <w:rPr>
          <w:szCs w:val="22"/>
        </w:rPr>
      </w:pPr>
      <w:r w:rsidRPr="00683723">
        <w:rPr>
          <w:szCs w:val="22"/>
        </w:rPr>
        <w:t xml:space="preserve">We find that </w:t>
      </w:r>
      <w:r w:rsidR="00BE5C10">
        <w:rPr>
          <w:szCs w:val="22"/>
        </w:rPr>
        <w:t>Diponti</w:t>
      </w:r>
      <w:r w:rsidRPr="00683723">
        <w:rPr>
          <w:szCs w:val="22"/>
        </w:rPr>
        <w:t>’s</w:t>
      </w:r>
      <w:r w:rsidRPr="00683723">
        <w:rPr>
          <w:szCs w:val="22"/>
        </w:rPr>
        <w:t xml:space="preserve"> apparent violation of section 73.3539 of the Rules </w:t>
      </w:r>
      <w:r w:rsidR="00D97E9A">
        <w:rPr>
          <w:szCs w:val="22"/>
        </w:rPr>
        <w:t xml:space="preserve">and section 301 of the Act </w:t>
      </w:r>
      <w:r w:rsidR="00D31C28">
        <w:rPr>
          <w:szCs w:val="22"/>
        </w:rPr>
        <w:t>do</w:t>
      </w:r>
      <w:r w:rsidRPr="00683723">
        <w:rPr>
          <w:szCs w:val="22"/>
        </w:rPr>
        <w:t xml:space="preserve"> not constitute </w:t>
      </w:r>
      <w:r w:rsidR="00325D61">
        <w:rPr>
          <w:szCs w:val="22"/>
        </w:rPr>
        <w:t xml:space="preserve">a </w:t>
      </w:r>
      <w:r w:rsidRPr="00683723">
        <w:rPr>
          <w:szCs w:val="22"/>
        </w:rPr>
        <w:t xml:space="preserve">“serious violation” warranting designation of the Application for evidentiary hearing.  Moreover, we find no evidence of violations that, when considered together, constitute a pattern </w:t>
      </w:r>
      <w:r w:rsidRPr="00683723">
        <w:rPr>
          <w:szCs w:val="22"/>
        </w:rPr>
        <w:t>of abuse.</w:t>
      </w:r>
      <w:r>
        <w:rPr>
          <w:rStyle w:val="FootnoteReference"/>
          <w:sz w:val="22"/>
          <w:szCs w:val="22"/>
        </w:rPr>
        <w:footnoteReference w:id="34"/>
      </w:r>
      <w:r w:rsidRPr="00683723">
        <w:rPr>
          <w:szCs w:val="22"/>
        </w:rPr>
        <w:t xml:space="preserve">  </w:t>
      </w:r>
      <w:r w:rsidRPr="00683723">
        <w:rPr>
          <w:spacing w:val="-2"/>
          <w:szCs w:val="22"/>
        </w:rPr>
        <w:t>Further, based on our review of the Application, we find that the</w:t>
      </w:r>
      <w:r w:rsidRPr="00683723">
        <w:rPr>
          <w:szCs w:val="22"/>
        </w:rPr>
        <w:t xml:space="preserve"> Station served the public interest, convenience, and necessity during the subject license term.  We will therefore grant the Application by separate action upon the conclusion of this forfeiture proceeding if there are no issues other than the apparent violation</w:t>
      </w:r>
      <w:r w:rsidR="007143AC">
        <w:rPr>
          <w:szCs w:val="22"/>
        </w:rPr>
        <w:t>s</w:t>
      </w:r>
      <w:r w:rsidRPr="00683723">
        <w:rPr>
          <w:szCs w:val="22"/>
        </w:rPr>
        <w:t xml:space="preserve"> that would preclude grant of the Application.</w:t>
      </w:r>
      <w:r w:rsidR="00E27D2E">
        <w:rPr>
          <w:sz w:val="20"/>
          <w:szCs w:val="22"/>
          <w:vertAlign w:val="superscript"/>
        </w:rPr>
        <w:t xml:space="preserve">  </w:t>
      </w:r>
    </w:p>
    <w:p w:rsidR="00AE2D78" w:rsidRPr="00683723" w:rsidP="00AE2D78" w14:paraId="71EE532E" w14:textId="77777777">
      <w:pPr>
        <w:pStyle w:val="Heading1"/>
        <w:rPr>
          <w:rFonts w:ascii="Times New Roman" w:hAnsi="Times New Roman"/>
          <w:szCs w:val="22"/>
        </w:rPr>
      </w:pPr>
      <w:r w:rsidRPr="00683723">
        <w:rPr>
          <w:rFonts w:ascii="Times New Roman" w:hAnsi="Times New Roman"/>
          <w:szCs w:val="22"/>
        </w:rPr>
        <w:t>ORDERING CLAUSES</w:t>
      </w:r>
    </w:p>
    <w:p w:rsidR="00AE2D78" w:rsidRPr="00683723" w:rsidP="00CB1BA6" w14:paraId="5EFA09E3" w14:textId="587A7C10">
      <w:pPr>
        <w:pStyle w:val="ParaNum"/>
        <w:rPr>
          <w:szCs w:val="22"/>
        </w:rPr>
      </w:pPr>
      <w:r w:rsidRPr="00683723">
        <w:rPr>
          <w:szCs w:val="22"/>
        </w:rPr>
        <w:t xml:space="preserve">Accordingly, </w:t>
      </w:r>
      <w:r w:rsidRPr="00683723">
        <w:rPr>
          <w:b/>
          <w:bCs/>
          <w:szCs w:val="22"/>
        </w:rPr>
        <w:t>IT IS ORDERED</w:t>
      </w:r>
      <w:r w:rsidRPr="00683723">
        <w:rPr>
          <w:szCs w:val="22"/>
        </w:rPr>
        <w:t xml:space="preserve">, pursuant to </w:t>
      </w:r>
      <w:r w:rsidRPr="008C0C80">
        <w:rPr>
          <w:szCs w:val="22"/>
        </w:rPr>
        <w:t xml:space="preserve">section 503(b) of the Communications Act of 1934, as amended, and section 1.80 of the FCC’s rules, </w:t>
      </w:r>
      <w:r w:rsidRPr="00453FF1">
        <w:rPr>
          <w:szCs w:val="22"/>
        </w:rPr>
        <w:t>that</w:t>
      </w:r>
      <w:r w:rsidRPr="00453FF1" w:rsidR="00A7120F">
        <w:rPr>
          <w:szCs w:val="22"/>
        </w:rPr>
        <w:t xml:space="preserve"> </w:t>
      </w:r>
      <w:r w:rsidR="00254845">
        <w:rPr>
          <w:szCs w:val="22"/>
        </w:rPr>
        <w:t>Diponti</w:t>
      </w:r>
      <w:r w:rsidR="00254845">
        <w:rPr>
          <w:szCs w:val="22"/>
        </w:rPr>
        <w:t xml:space="preserve"> Communications, LLC</w:t>
      </w:r>
      <w:r w:rsidRPr="00453FF1" w:rsidR="00FF108E">
        <w:rPr>
          <w:szCs w:val="22"/>
        </w:rPr>
        <w:t xml:space="preserve"> </w:t>
      </w:r>
      <w:r w:rsidRPr="00453FF1">
        <w:rPr>
          <w:szCs w:val="22"/>
        </w:rPr>
        <w:t xml:space="preserve">is hereby </w:t>
      </w:r>
      <w:r w:rsidRPr="00453FF1">
        <w:rPr>
          <w:b/>
          <w:bCs/>
          <w:szCs w:val="22"/>
        </w:rPr>
        <w:t>NOTIFIED</w:t>
      </w:r>
      <w:r w:rsidRPr="00453FF1">
        <w:rPr>
          <w:szCs w:val="22"/>
        </w:rPr>
        <w:t xml:space="preserve"> of its </w:t>
      </w:r>
      <w:r w:rsidRPr="00453FF1">
        <w:rPr>
          <w:b/>
          <w:bCs/>
          <w:szCs w:val="22"/>
        </w:rPr>
        <w:t>APPARENT LIABILITY FOR FORFEITURE</w:t>
      </w:r>
      <w:r w:rsidRPr="00453FF1">
        <w:rPr>
          <w:szCs w:val="22"/>
        </w:rPr>
        <w:t xml:space="preserve"> in the amount of </w:t>
      </w:r>
      <w:r w:rsidR="00D0174B">
        <w:rPr>
          <w:szCs w:val="22"/>
        </w:rPr>
        <w:t>seven</w:t>
      </w:r>
      <w:r w:rsidRPr="00453FF1" w:rsidR="00A7120F">
        <w:rPr>
          <w:szCs w:val="22"/>
        </w:rPr>
        <w:t xml:space="preserve"> thousand </w:t>
      </w:r>
      <w:r w:rsidRPr="00453FF1">
        <w:rPr>
          <w:szCs w:val="22"/>
        </w:rPr>
        <w:t>dollars (</w:t>
      </w:r>
      <w:r w:rsidRPr="00453FF1" w:rsidR="008C0C80">
        <w:rPr>
          <w:szCs w:val="22"/>
        </w:rPr>
        <w:t>$</w:t>
      </w:r>
      <w:r w:rsidR="00F576AA">
        <w:rPr>
          <w:szCs w:val="22"/>
        </w:rPr>
        <w:t>7</w:t>
      </w:r>
      <w:r w:rsidRPr="00453FF1" w:rsidR="008C0C80">
        <w:rPr>
          <w:szCs w:val="22"/>
        </w:rPr>
        <w:t>,0</w:t>
      </w:r>
      <w:r w:rsidRPr="00453FF1">
        <w:rPr>
          <w:szCs w:val="22"/>
        </w:rPr>
        <w:t>00) for</w:t>
      </w:r>
      <w:r w:rsidRPr="00683723">
        <w:rPr>
          <w:szCs w:val="22"/>
        </w:rPr>
        <w:t xml:space="preserve"> its apparent willful violation of section 73.3539 of the</w:t>
      </w:r>
      <w:r w:rsidR="000437E9">
        <w:rPr>
          <w:szCs w:val="22"/>
        </w:rPr>
        <w:t xml:space="preserve"> FCC’s</w:t>
      </w:r>
      <w:r w:rsidRPr="00683723">
        <w:rPr>
          <w:szCs w:val="22"/>
        </w:rPr>
        <w:t xml:space="preserve"> </w:t>
      </w:r>
      <w:r w:rsidR="001B52E5">
        <w:rPr>
          <w:szCs w:val="22"/>
        </w:rPr>
        <w:t>r</w:t>
      </w:r>
      <w:r w:rsidRPr="00683723">
        <w:rPr>
          <w:szCs w:val="22"/>
        </w:rPr>
        <w:t>ules</w:t>
      </w:r>
      <w:r w:rsidR="009D2452">
        <w:rPr>
          <w:szCs w:val="22"/>
        </w:rPr>
        <w:t xml:space="preserve"> and </w:t>
      </w:r>
      <w:r w:rsidRPr="009D2452" w:rsidR="009D2452">
        <w:rPr>
          <w:szCs w:val="22"/>
        </w:rPr>
        <w:t>Section 301 of</w:t>
      </w:r>
      <w:r w:rsidR="00E965AB">
        <w:rPr>
          <w:szCs w:val="22"/>
        </w:rPr>
        <w:t xml:space="preserve"> the Communications Act of 1934, as amended</w:t>
      </w:r>
      <w:r w:rsidRPr="00683723">
        <w:rPr>
          <w:szCs w:val="22"/>
        </w:rPr>
        <w:t xml:space="preserve">. </w:t>
      </w:r>
    </w:p>
    <w:p w:rsidR="00AE2D78" w:rsidRPr="00683723" w:rsidP="00CB1BA6" w14:paraId="395A452C" w14:textId="0C027DDA">
      <w:pPr>
        <w:pStyle w:val="ParaNum"/>
        <w:rPr>
          <w:szCs w:val="22"/>
        </w:rPr>
      </w:pPr>
      <w:r w:rsidRPr="00683723">
        <w:rPr>
          <w:b/>
          <w:bCs/>
          <w:szCs w:val="22"/>
        </w:rPr>
        <w:t>IT IS FURTHER ORDERED</w:t>
      </w:r>
      <w:r w:rsidRPr="00683723">
        <w:rPr>
          <w:szCs w:val="22"/>
        </w:rPr>
        <w:t xml:space="preserve">, pursuant to section 1.80 of the </w:t>
      </w:r>
      <w:r w:rsidR="001B52E5">
        <w:rPr>
          <w:szCs w:val="22"/>
        </w:rPr>
        <w:t xml:space="preserve">FCC’s </w:t>
      </w:r>
      <w:r w:rsidRPr="00683723">
        <w:rPr>
          <w:szCs w:val="22"/>
        </w:rPr>
        <w:t xml:space="preserve">Rules, that, within thirty (30) days of the release date of this </w:t>
      </w:r>
      <w:r w:rsidRPr="00683723">
        <w:rPr>
          <w:i/>
          <w:szCs w:val="22"/>
        </w:rPr>
        <w:t>NAL,</w:t>
      </w:r>
      <w:r w:rsidR="00DB5D48">
        <w:rPr>
          <w:szCs w:val="22"/>
        </w:rPr>
        <w:t xml:space="preserve"> </w:t>
      </w:r>
      <w:r w:rsidRPr="00DB5D48" w:rsidR="00DB5D48">
        <w:rPr>
          <w:szCs w:val="22"/>
        </w:rPr>
        <w:t>Diponti</w:t>
      </w:r>
      <w:r w:rsidRPr="00DB5D48" w:rsidR="00DB5D48">
        <w:rPr>
          <w:szCs w:val="22"/>
        </w:rPr>
        <w:t xml:space="preserve"> Communications, LLC</w:t>
      </w:r>
      <w:r w:rsidRPr="00683723">
        <w:rPr>
          <w:szCs w:val="22"/>
        </w:rPr>
        <w:t xml:space="preserve"> </w:t>
      </w:r>
      <w:r w:rsidRPr="00683723">
        <w:rPr>
          <w:b/>
          <w:bCs/>
          <w:szCs w:val="22"/>
        </w:rPr>
        <w:t>SHALL PAY</w:t>
      </w:r>
      <w:r w:rsidRPr="00683723">
        <w:rPr>
          <w:szCs w:val="22"/>
        </w:rPr>
        <w:t xml:space="preserve"> the full amount of the proposed forfeiture or </w:t>
      </w:r>
      <w:r w:rsidRPr="00683723">
        <w:rPr>
          <w:b/>
          <w:bCs/>
          <w:szCs w:val="22"/>
        </w:rPr>
        <w:t>SHALL FILE</w:t>
      </w:r>
      <w:r w:rsidRPr="00683723">
        <w:rPr>
          <w:szCs w:val="22"/>
        </w:rPr>
        <w:t xml:space="preserve"> a written statement seeking reduction or cancellation of the proposed forfeiture.</w:t>
      </w:r>
    </w:p>
    <w:p w:rsidR="00A7120F" w:rsidRPr="00683723" w:rsidP="00A7120F" w14:paraId="0F97A004" w14:textId="77777777">
      <w:pPr>
        <w:pStyle w:val="ParaNum"/>
        <w:rPr>
          <w:szCs w:val="22"/>
        </w:rPr>
      </w:pPr>
      <w:r w:rsidRPr="00683723">
        <w:rPr>
          <w:szCs w:val="22"/>
        </w:rPr>
        <w:t>Payment of the forfeiture must be made by credit card, ACH (Automated Clearing House) debit from a bank account using the Commission’s Fee Filer (the Commission’s online payment system),</w:t>
      </w:r>
      <w:r>
        <w:rPr>
          <w:rStyle w:val="FootnoteReference"/>
          <w:sz w:val="22"/>
          <w:szCs w:val="22"/>
        </w:rPr>
        <w:footnoteReference w:id="35"/>
      </w:r>
      <w:r w:rsidRPr="00683723">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36"/>
      </w:r>
      <w:r w:rsidRPr="00683723">
        <w:rPr>
          <w:szCs w:val="22"/>
        </w:rPr>
        <w:t xml:space="preserve"> </w:t>
      </w:r>
    </w:p>
    <w:p w:rsidR="00A7120F" w:rsidRPr="00683723" w:rsidP="00A7120F" w14:paraId="46E28608" w14:textId="3204C8DE">
      <w:pPr>
        <w:numPr>
          <w:ilvl w:val="0"/>
          <w:numId w:val="12"/>
        </w:numPr>
        <w:spacing w:after="120"/>
        <w:rPr>
          <w:b/>
          <w:szCs w:val="22"/>
        </w:rPr>
      </w:pPr>
      <w:r w:rsidRPr="00683723">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8082F" w:rsidR="008C0C80">
          <w:rPr>
            <w:rStyle w:val="Hyperlink"/>
            <w:szCs w:val="22"/>
          </w:rPr>
          <w:t>RROGWireFaxes@fcc.gov</w:t>
        </w:r>
      </w:hyperlink>
      <w:r w:rsidRPr="00683723">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37"/>
      </w:r>
      <w:r w:rsidRPr="00683723">
        <w:rPr>
          <w:szCs w:val="22"/>
        </w:rPr>
        <w:t xml:space="preserve">  For additional detail and wire transfer instructions, go to </w:t>
      </w:r>
      <w:hyperlink r:id="rId6" w:history="1">
        <w:r w:rsidRPr="0028082F" w:rsidR="003A176B">
          <w:rPr>
            <w:rStyle w:val="Hyperlink"/>
            <w:szCs w:val="22"/>
          </w:rPr>
          <w:t>https://www.fcc.gov/licensing-databases/fees/wire-transfer</w:t>
        </w:r>
      </w:hyperlink>
      <w:r w:rsidRPr="00683723">
        <w:rPr>
          <w:szCs w:val="22"/>
        </w:rPr>
        <w:t>.</w:t>
      </w:r>
    </w:p>
    <w:p w:rsidR="00A7120F" w:rsidRPr="00683723" w:rsidP="00A7120F" w14:paraId="7B3CACCE" w14:textId="5AAEBC27">
      <w:pPr>
        <w:numPr>
          <w:ilvl w:val="0"/>
          <w:numId w:val="12"/>
        </w:numPr>
        <w:spacing w:after="120"/>
        <w:rPr>
          <w:b/>
          <w:szCs w:val="22"/>
        </w:rPr>
      </w:pPr>
      <w:r w:rsidRPr="00683723">
        <w:rPr>
          <w:szCs w:val="22"/>
        </w:rPr>
        <w:t xml:space="preserve">Payment by credit card must be made by using the Commission’s Fee Filer website at </w:t>
      </w:r>
      <w:hyperlink r:id="rId7" w:history="1">
        <w:r w:rsidRPr="0028082F" w:rsidR="003A176B">
          <w:rPr>
            <w:rStyle w:val="Hyperlink"/>
            <w:szCs w:val="22"/>
          </w:rPr>
          <w:t>https://apps.fcc.gov/FeeFiler/login.cfm</w:t>
        </w:r>
      </w:hyperlink>
      <w:r w:rsidRPr="00683723">
        <w:rPr>
          <w:szCs w:val="22"/>
        </w:rPr>
        <w:t xml:space="preserve">.  To pay by credit card, log in using the FRN captioned above.  If payment must be split across FRNs, complete this process for each FRN.  Next, select “Pay bills” on the Fee Filer Menu, and select the bill number associated with the NAL Account—the bill number is the NAL Account number with the first two digits excluded—and then choose the “Pay by Credit Card” option.  Please note that there is a dollar </w:t>
      </w:r>
      <w:r w:rsidRPr="00683723">
        <w:rPr>
          <w:szCs w:val="22"/>
        </w:rPr>
        <w:t>limitation on credit card transactions, which cannot exceed $24,999.99.</w:t>
      </w:r>
    </w:p>
    <w:p w:rsidR="00A7120F" w:rsidRPr="00683723" w:rsidP="007F5303" w14:paraId="61BE5B1D" w14:textId="00932186">
      <w:pPr>
        <w:widowControl/>
        <w:numPr>
          <w:ilvl w:val="0"/>
          <w:numId w:val="12"/>
        </w:numPr>
        <w:spacing w:after="120"/>
        <w:rPr>
          <w:spacing w:val="-2"/>
          <w:szCs w:val="22"/>
        </w:rPr>
      </w:pPr>
      <w:r w:rsidRPr="00683723">
        <w:rPr>
          <w:szCs w:val="22"/>
        </w:rPr>
        <w:t xml:space="preserve">Payment by ACH must be made by using the Commission’s Fee Filer website at </w:t>
      </w:r>
      <w:hyperlink r:id="rId7" w:history="1">
        <w:r w:rsidRPr="0028082F" w:rsidR="003A176B">
          <w:rPr>
            <w:rStyle w:val="Hyperlink"/>
            <w:szCs w:val="22"/>
          </w:rPr>
          <w:t>https://apps.fcc.gov/FeeFiler/login.cfm</w:t>
        </w:r>
      </w:hyperlink>
      <w:r w:rsidRPr="00683723">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A7120F" w:rsidRPr="00683723" w:rsidP="00A7120F" w14:paraId="5EBA402C" w14:textId="7AD55066">
      <w:pPr>
        <w:pStyle w:val="ParaNum"/>
        <w:rPr>
          <w:szCs w:val="22"/>
        </w:rPr>
      </w:pPr>
      <w:r w:rsidRPr="00683723">
        <w:rPr>
          <w:szCs w:val="22"/>
        </w:rPr>
        <w:t xml:space="preserve">Any requests for full payment of the forfeiture proposed in this </w:t>
      </w:r>
      <w:r w:rsidRPr="00683723">
        <w:rPr>
          <w:i/>
          <w:szCs w:val="22"/>
        </w:rPr>
        <w:t>NAL</w:t>
      </w:r>
      <w:r w:rsidRPr="00683723">
        <w:rPr>
          <w:szCs w:val="22"/>
        </w:rPr>
        <w:t xml:space="preserve"> under the installment plan should be sent to:  Associate Managing Director-Financial Operations, 45 L Street, NE, Washington, DC 20554.</w:t>
      </w:r>
      <w:r>
        <w:rPr>
          <w:szCs w:val="22"/>
          <w:vertAlign w:val="superscript"/>
        </w:rPr>
        <w:footnoteReference w:id="38"/>
      </w:r>
      <w:r w:rsidRPr="00683723">
        <w:rPr>
          <w:szCs w:val="22"/>
        </w:rPr>
        <w:t xml:space="preserve">  Questions regarding payment procedures should be directed to the Financial Operations Group Help Desk by phone, 1-877-480-3201 (option #6), or by e-mail at </w:t>
      </w:r>
      <w:hyperlink r:id="rId8" w:history="1">
        <w:r w:rsidRPr="0028082F" w:rsidR="00277180">
          <w:rPr>
            <w:rStyle w:val="Hyperlink"/>
            <w:szCs w:val="22"/>
          </w:rPr>
          <w:t>ARINQUIRIES@fcc.gov</w:t>
        </w:r>
      </w:hyperlink>
      <w:r w:rsidRPr="00683723">
        <w:rPr>
          <w:szCs w:val="22"/>
        </w:rPr>
        <w:t>.</w:t>
      </w:r>
    </w:p>
    <w:p w:rsidR="00A7120F" w:rsidRPr="00683723" w:rsidP="00A7120F" w14:paraId="2A3CD39E" w14:textId="0C96B57E">
      <w:pPr>
        <w:pStyle w:val="ParaNum"/>
        <w:rPr>
          <w:szCs w:val="22"/>
        </w:rPr>
      </w:pPr>
      <w:r w:rsidRPr="00683723">
        <w:rPr>
          <w:szCs w:val="22"/>
        </w:rPr>
        <w:t xml:space="preserve">Any written response seeking reduction or cancellation of the proposed forfeiture  must include a detailed factual statement supported by appropriate documentation and affidavits pursuant to sections 1.16 </w:t>
      </w:r>
      <w:r w:rsidRPr="00B529DB">
        <w:rPr>
          <w:szCs w:val="22"/>
        </w:rPr>
        <w:t>and 1.80(</w:t>
      </w:r>
      <w:r w:rsidR="00540DA6">
        <w:rPr>
          <w:szCs w:val="22"/>
        </w:rPr>
        <w:t>g</w:t>
      </w:r>
      <w:r w:rsidRPr="00B529DB">
        <w:rPr>
          <w:szCs w:val="22"/>
        </w:rPr>
        <w:t>)(3) of</w:t>
      </w:r>
      <w:r w:rsidRPr="00683723">
        <w:rPr>
          <w:szCs w:val="22"/>
        </w:rPr>
        <w:t xml:space="preserve"> the Commission’s </w:t>
      </w:r>
      <w:r w:rsidR="001B52E5">
        <w:rPr>
          <w:szCs w:val="22"/>
        </w:rPr>
        <w:t>R</w:t>
      </w:r>
      <w:r w:rsidRPr="00683723">
        <w:rPr>
          <w:szCs w:val="22"/>
        </w:rPr>
        <w:t>ules.</w:t>
      </w:r>
      <w:r>
        <w:rPr>
          <w:rStyle w:val="FootnoteReference"/>
          <w:sz w:val="22"/>
          <w:szCs w:val="22"/>
        </w:rPr>
        <w:footnoteReference w:id="39"/>
      </w:r>
      <w:r w:rsidRPr="00683723">
        <w:rPr>
          <w:szCs w:val="22"/>
        </w:rPr>
        <w:t xml:space="preserve">  The written response must be filed with the Office of the Secretary, Federal Communications Commission, 45 L Street NE, Washington DC 20554, ATTN: Albert Shuldiner, Chief, Audio Division, Media Bureau, and </w:t>
      </w:r>
      <w:r w:rsidRPr="00683723">
        <w:rPr>
          <w:b/>
          <w:szCs w:val="22"/>
        </w:rPr>
        <w:t>MUST INCLUDE</w:t>
      </w:r>
      <w:r w:rsidRPr="00683723">
        <w:rPr>
          <w:szCs w:val="22"/>
        </w:rPr>
        <w:t xml:space="preserve"> the NAL/Acct. No. referenced above.  Filings can be sent by commercial overnight courier, or by first-class or overnight U.S. Postal Service mail.  All filings must be addressed to the Commission’s Secretary, Office of the Secretary, Federal Communications Commission.</w:t>
      </w:r>
      <w:r>
        <w:rPr>
          <w:rStyle w:val="FootnoteReference"/>
          <w:sz w:val="22"/>
          <w:szCs w:val="22"/>
        </w:rPr>
        <w:footnoteReference w:id="40"/>
      </w:r>
    </w:p>
    <w:p w:rsidR="00A7120F" w:rsidRPr="00683723" w:rsidP="00A7120F" w14:paraId="7A8F22FF" w14:textId="77777777">
      <w:pPr>
        <w:pStyle w:val="ParaNum"/>
        <w:numPr>
          <w:ilvl w:val="0"/>
          <w:numId w:val="13"/>
        </w:numPr>
        <w:rPr>
          <w:szCs w:val="22"/>
        </w:rPr>
      </w:pPr>
      <w:r w:rsidRPr="00683723">
        <w:rPr>
          <w:szCs w:val="22"/>
        </w:rPr>
        <w:t xml:space="preserve">Commercial overnight mail (other than U.S. Postal Service Express Mail and Priority Mail) must be sent to 9050 Junction Drive, Annapolis Junction, MD 20701. </w:t>
      </w:r>
    </w:p>
    <w:p w:rsidR="00A7120F" w:rsidRPr="00683723" w:rsidP="00A7120F" w14:paraId="603E7F3B" w14:textId="77777777">
      <w:pPr>
        <w:pStyle w:val="ParaNum"/>
        <w:numPr>
          <w:ilvl w:val="0"/>
          <w:numId w:val="13"/>
        </w:numPr>
        <w:rPr>
          <w:szCs w:val="22"/>
        </w:rPr>
      </w:pPr>
      <w:r w:rsidRPr="00683723">
        <w:rPr>
          <w:szCs w:val="22"/>
        </w:rPr>
        <w:t>Postal Service first-class, Express, and Priority mail must be addressed to 45 L Street, NE, Washington, DC 20554.</w:t>
      </w:r>
    </w:p>
    <w:p w:rsidR="00A7120F" w:rsidRPr="00683723" w:rsidP="00A7120F" w14:paraId="58A3D82B" w14:textId="0F9FFD83">
      <w:pPr>
        <w:pStyle w:val="ParaNum"/>
        <w:rPr>
          <w:szCs w:val="22"/>
        </w:rPr>
      </w:pPr>
      <w:r w:rsidRPr="00683723">
        <w:rPr>
          <w:szCs w:val="22"/>
        </w:rPr>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r w:rsidR="00447598">
        <w:rPr>
          <w:szCs w:val="22"/>
        </w:rPr>
        <w:t xml:space="preserve"> </w:t>
      </w:r>
      <w:r w:rsidRPr="00683723">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vertAlign w:val="superscript"/>
        </w:rPr>
        <w:footnoteReference w:id="41"/>
      </w:r>
      <w:r w:rsidRPr="00683723">
        <w:rPr>
          <w:szCs w:val="22"/>
        </w:rPr>
        <w:t xml:space="preserve">  </w:t>
      </w:r>
    </w:p>
    <w:p w:rsidR="009C705A" w14:paraId="4FBB96F7" w14:textId="77777777">
      <w:pPr>
        <w:widowControl/>
        <w:rPr>
          <w:b/>
          <w:bCs/>
        </w:rPr>
      </w:pPr>
      <w:r>
        <w:rPr>
          <w:b/>
          <w:bCs/>
        </w:rPr>
        <w:br w:type="page"/>
      </w:r>
    </w:p>
    <w:p w:rsidR="00AE2D78" w:rsidRPr="00683723" w:rsidP="00D42B3B" w14:paraId="494E0E00" w14:textId="2D87D9CF">
      <w:pPr>
        <w:pStyle w:val="ParaNum"/>
      </w:pPr>
      <w:r w:rsidRPr="00683723">
        <w:rPr>
          <w:b/>
          <w:bCs/>
        </w:rPr>
        <w:t>IT IS FURTHER ORDERED</w:t>
      </w:r>
      <w:r w:rsidRPr="00683723">
        <w:t xml:space="preserve"> that a copy of this </w:t>
      </w:r>
      <w:r w:rsidRPr="00683723" w:rsidR="002521B2">
        <w:rPr>
          <w:i/>
          <w:iCs/>
        </w:rPr>
        <w:t>NAL</w:t>
      </w:r>
      <w:r w:rsidRPr="00683723">
        <w:t xml:space="preserve"> shall be sent, by First Class and Certified Mail, Return Receipt Requested, to</w:t>
      </w:r>
      <w:r w:rsidRPr="00CB514E" w:rsidR="00CB514E">
        <w:rPr>
          <w:szCs w:val="22"/>
        </w:rPr>
        <w:t xml:space="preserve"> </w:t>
      </w:r>
      <w:r w:rsidRPr="00CB514E" w:rsidR="00CB514E">
        <w:t>Diponti</w:t>
      </w:r>
      <w:r w:rsidRPr="00CB514E" w:rsidR="00CB514E">
        <w:t xml:space="preserve"> Communications, LLC</w:t>
      </w:r>
      <w:r w:rsidR="00AC2DD4">
        <w:t xml:space="preserve">, </w:t>
      </w:r>
      <w:r w:rsidR="004D4A2F">
        <w:t>58 High St., Westerly, RI</w:t>
      </w:r>
      <w:r w:rsidR="00B24B26">
        <w:t xml:space="preserve">, </w:t>
      </w:r>
      <w:r w:rsidR="004D4A2F">
        <w:t xml:space="preserve">02891 </w:t>
      </w:r>
      <w:r w:rsidR="00B24B26">
        <w:t xml:space="preserve">and its counsel, </w:t>
      </w:r>
      <w:r w:rsidR="00FF00B9">
        <w:t>Dan J. Alpert, Esq., 2120 N. 21 St., Arlington, VA 22201.</w:t>
      </w:r>
    </w:p>
    <w:p w:rsidR="00AE2D78" w:rsidRPr="00683723" w:rsidP="00CB1BA6" w14:paraId="527C008C"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FEDERAL COMMUNICATIONS COMMISSION</w:t>
      </w:r>
    </w:p>
    <w:p w:rsidR="00AE2D78" w:rsidRPr="00683723" w:rsidP="00CB1BA6" w14:paraId="7A2DDFEF" w14:textId="77777777">
      <w:pPr>
        <w:keepLines/>
        <w:tabs>
          <w:tab w:val="left" w:pos="0"/>
        </w:tabs>
        <w:suppressAutoHyphens/>
        <w:jc w:val="both"/>
        <w:rPr>
          <w:szCs w:val="22"/>
        </w:rPr>
      </w:pPr>
    </w:p>
    <w:p w:rsidR="00AE2D78" w:rsidP="00CB1BA6" w14:paraId="4CF4D54D" w14:textId="72AE56A6">
      <w:pPr>
        <w:keepLines/>
        <w:tabs>
          <w:tab w:val="left" w:pos="0"/>
        </w:tabs>
        <w:suppressAutoHyphens/>
        <w:jc w:val="both"/>
        <w:rPr>
          <w:szCs w:val="22"/>
        </w:rPr>
      </w:pPr>
    </w:p>
    <w:p w:rsidR="00D36FF9" w:rsidRPr="00683723" w:rsidP="00CB1BA6" w14:paraId="253F22B4" w14:textId="77777777">
      <w:pPr>
        <w:keepLines/>
        <w:tabs>
          <w:tab w:val="left" w:pos="0"/>
        </w:tabs>
        <w:suppressAutoHyphens/>
        <w:jc w:val="both"/>
        <w:rPr>
          <w:szCs w:val="22"/>
        </w:rPr>
      </w:pPr>
    </w:p>
    <w:p w:rsidR="00AE2D78" w:rsidRPr="00683723" w:rsidP="00CB1BA6" w14:paraId="67A7C004" w14:textId="77777777">
      <w:pPr>
        <w:keepLines/>
        <w:tabs>
          <w:tab w:val="left" w:pos="0"/>
        </w:tabs>
        <w:suppressAutoHyphens/>
        <w:jc w:val="both"/>
        <w:rPr>
          <w:szCs w:val="22"/>
        </w:rPr>
      </w:pPr>
    </w:p>
    <w:p w:rsidR="00AE2D78" w:rsidRPr="00683723" w:rsidP="00CB1BA6" w14:paraId="297E3983"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Albert Shuldiner</w:t>
      </w:r>
    </w:p>
    <w:p w:rsidR="00AE2D78" w:rsidRPr="00683723" w:rsidP="00CB1BA6" w14:paraId="6A712B2E" w14:textId="77777777">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Chief, Audio Division</w:t>
      </w:r>
    </w:p>
    <w:p w:rsidR="00412FC5" w:rsidRPr="00683723" w:rsidP="00D36FF9" w14:paraId="1A45D4E6" w14:textId="445C5963">
      <w:pPr>
        <w:keepLines/>
        <w:tabs>
          <w:tab w:val="left" w:pos="0"/>
        </w:tabs>
        <w:suppressAutoHyphens/>
        <w:jc w:val="both"/>
        <w:rPr>
          <w:szCs w:val="22"/>
        </w:rPr>
      </w:pPr>
      <w:r w:rsidRPr="00683723">
        <w:rPr>
          <w:szCs w:val="22"/>
        </w:rPr>
        <w:tab/>
      </w:r>
      <w:r w:rsidRPr="00683723">
        <w:rPr>
          <w:szCs w:val="22"/>
        </w:rPr>
        <w:tab/>
      </w:r>
      <w:r w:rsidRPr="00683723">
        <w:rPr>
          <w:szCs w:val="22"/>
        </w:rPr>
        <w:tab/>
      </w:r>
      <w:r w:rsidRPr="00683723">
        <w:rPr>
          <w:szCs w:val="22"/>
        </w:rPr>
        <w:tab/>
      </w:r>
      <w:r w:rsidRPr="00683723">
        <w:rPr>
          <w:szCs w:val="22"/>
        </w:rPr>
        <w:tab/>
      </w:r>
      <w:r w:rsidRPr="00683723">
        <w:rPr>
          <w:szCs w:val="22"/>
        </w:rPr>
        <w:tab/>
        <w:t xml:space="preserve"> Media Bureau</w:t>
      </w: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19DD0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24133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1F687E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9C91BC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1D904B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6F68" w14:paraId="2F04DB4F" w14:textId="77777777">
      <w:r>
        <w:separator/>
      </w:r>
    </w:p>
  </w:footnote>
  <w:footnote w:type="continuationSeparator" w:id="1">
    <w:p w:rsidR="00226F68" w:rsidP="00C721AC" w14:paraId="7E3A9688" w14:textId="77777777">
      <w:pPr>
        <w:spacing w:before="120"/>
        <w:rPr>
          <w:sz w:val="20"/>
        </w:rPr>
      </w:pPr>
      <w:r>
        <w:rPr>
          <w:sz w:val="20"/>
        </w:rPr>
        <w:t xml:space="preserve">(Continued from previous page)  </w:t>
      </w:r>
      <w:r>
        <w:rPr>
          <w:sz w:val="20"/>
        </w:rPr>
        <w:separator/>
      </w:r>
    </w:p>
  </w:footnote>
  <w:footnote w:type="continuationNotice" w:id="2">
    <w:p w:rsidR="00226F68" w:rsidP="00C721AC" w14:paraId="3128F844" w14:textId="77777777">
      <w:pPr>
        <w:jc w:val="right"/>
        <w:rPr>
          <w:sz w:val="20"/>
        </w:rPr>
      </w:pPr>
    </w:p>
  </w:footnote>
  <w:footnote w:id="3">
    <w:p w:rsidR="00CB1BA6" w14:paraId="4EC9954F" w14:textId="73F85745">
      <w:pPr>
        <w:pStyle w:val="FootnoteText"/>
      </w:pPr>
      <w:r>
        <w:rPr>
          <w:rStyle w:val="FootnoteReference"/>
        </w:rPr>
        <w:footnoteRef/>
      </w:r>
      <w:r>
        <w:t xml:space="preserve"> </w:t>
      </w:r>
      <w:r w:rsidR="00834A10">
        <w:t xml:space="preserve">Application </w:t>
      </w:r>
      <w:r>
        <w:t>File No.</w:t>
      </w:r>
      <w:r w:rsidR="00573FFC">
        <w:t xml:space="preserve"> </w:t>
      </w:r>
      <w:r w:rsidRPr="00BB563D" w:rsidR="00BB563D">
        <w:t>0000122</w:t>
      </w:r>
      <w:r w:rsidR="006A0BEA">
        <w:t>059</w:t>
      </w:r>
      <w:r w:rsidR="00A55564">
        <w:t xml:space="preserve"> (rec. Sept. 11, 2020)</w:t>
      </w:r>
      <w:r>
        <w:t xml:space="preserve">.  </w:t>
      </w:r>
    </w:p>
  </w:footnote>
  <w:footnote w:id="4">
    <w:p w:rsidR="00356322" w14:paraId="392C8923" w14:textId="5B760624">
      <w:pPr>
        <w:pStyle w:val="FootnoteText"/>
      </w:pPr>
      <w:r>
        <w:rPr>
          <w:rStyle w:val="FootnoteReference"/>
        </w:rPr>
        <w:footnoteRef/>
      </w:r>
      <w:r>
        <w:t xml:space="preserve"> Before </w:t>
      </w:r>
      <w:r>
        <w:t>Diponti</w:t>
      </w:r>
      <w:r>
        <w:t xml:space="preserve"> acquired the Station</w:t>
      </w:r>
      <w:r w:rsidR="00571F23">
        <w:t>,</w:t>
      </w:r>
      <w:r>
        <w:t xml:space="preserve"> it operated on a different </w:t>
      </w:r>
      <w:r w:rsidRPr="00356322">
        <w:t>channel and</w:t>
      </w:r>
      <w:r>
        <w:t xml:space="preserve"> served a</w:t>
      </w:r>
      <w:r w:rsidRPr="00356322">
        <w:t xml:space="preserve"> </w:t>
      </w:r>
      <w:r>
        <w:t xml:space="preserve">different </w:t>
      </w:r>
      <w:r w:rsidRPr="00356322">
        <w:t xml:space="preserve">community </w:t>
      </w:r>
      <w:r>
        <w:t xml:space="preserve">under </w:t>
      </w:r>
      <w:r w:rsidR="00571F23">
        <w:t xml:space="preserve">the </w:t>
      </w:r>
      <w:r>
        <w:t xml:space="preserve">call sign </w:t>
      </w:r>
      <w:r w:rsidRPr="00356322">
        <w:t xml:space="preserve">W228AU, North Bennington, Vermont.  </w:t>
      </w:r>
    </w:p>
  </w:footnote>
  <w:footnote w:id="5">
    <w:p w:rsidR="00A55564" w14:paraId="717F137A" w14:textId="3C2C4DDF">
      <w:pPr>
        <w:pStyle w:val="FootnoteText"/>
      </w:pPr>
      <w:r>
        <w:rPr>
          <w:rStyle w:val="FootnoteReference"/>
        </w:rPr>
        <w:footnoteRef/>
      </w:r>
      <w:r>
        <w:t xml:space="preserve"> Application File No. </w:t>
      </w:r>
      <w:r w:rsidRPr="00A55564">
        <w:t>BELSTA-20210326AAB</w:t>
      </w:r>
      <w:r>
        <w:t xml:space="preserve"> (rec. Mar. 26, 2021)</w:t>
      </w:r>
      <w:r w:rsidR="00885FB1">
        <w:t xml:space="preserve"> (STA Request)</w:t>
      </w:r>
      <w:r>
        <w:t>.</w:t>
      </w:r>
    </w:p>
  </w:footnote>
  <w:footnote w:id="6">
    <w:p w:rsidR="00AE2D78" w:rsidRPr="00222234" w:rsidP="00AE2D78" w14:paraId="2671E758" w14:textId="77777777">
      <w:pPr>
        <w:pStyle w:val="Footer"/>
        <w:spacing w:after="120"/>
        <w:rPr>
          <w:sz w:val="20"/>
        </w:rPr>
      </w:pPr>
      <w:r>
        <w:rPr>
          <w:rStyle w:val="FootnoteReference"/>
        </w:rPr>
        <w:footnoteRef/>
      </w:r>
      <w:r>
        <w:t xml:space="preserve"> </w:t>
      </w:r>
      <w:r w:rsidRPr="00A52908">
        <w:rPr>
          <w:sz w:val="20"/>
        </w:rPr>
        <w:t xml:space="preserve">This </w:t>
      </w:r>
      <w:r w:rsidRPr="00A52908">
        <w:rPr>
          <w:i/>
          <w:sz w:val="20"/>
        </w:rPr>
        <w:t>NAL</w:t>
      </w:r>
      <w:r w:rsidRPr="00A52908">
        <w:rPr>
          <w:sz w:val="20"/>
        </w:rPr>
        <w:t xml:space="preserve"> is issued pursuant to </w:t>
      </w:r>
      <w:r>
        <w:rPr>
          <w:sz w:val="20"/>
        </w:rPr>
        <w:t>s</w:t>
      </w:r>
      <w:r w:rsidRPr="00A52908">
        <w:rPr>
          <w:sz w:val="20"/>
        </w:rPr>
        <w:t xml:space="preserve">ections 309(k) and 503(b) of the Communications Act of 1934, as amended (Act), and </w:t>
      </w:r>
      <w:r>
        <w:rPr>
          <w:sz w:val="20"/>
        </w:rPr>
        <w:t>s</w:t>
      </w:r>
      <w:r w:rsidRPr="00A52908">
        <w:rPr>
          <w:sz w:val="20"/>
        </w:rPr>
        <w:t>ection 1.80 of the FCC’s rules</w:t>
      </w:r>
      <w:r>
        <w:rPr>
          <w:sz w:val="20"/>
        </w:rPr>
        <w:t xml:space="preserve"> (Rules)</w:t>
      </w:r>
      <w:r w:rsidRPr="00A52908">
        <w:rPr>
          <w:sz w:val="20"/>
        </w:rPr>
        <w:t xml:space="preserve">.  </w:t>
      </w:r>
      <w:r w:rsidRPr="00A52908">
        <w:rPr>
          <w:i/>
          <w:sz w:val="20"/>
        </w:rPr>
        <w:t xml:space="preserve">See </w:t>
      </w:r>
      <w:r w:rsidRPr="00A52908">
        <w:rPr>
          <w:sz w:val="20"/>
        </w:rPr>
        <w:t xml:space="preserve">47 U.S.C. §§ 309(k), 503(b); 47 CFR § 1.80.  The Bureau has delegated authority to issue the </w:t>
      </w:r>
      <w:r w:rsidRPr="00A52908">
        <w:rPr>
          <w:i/>
          <w:sz w:val="20"/>
        </w:rPr>
        <w:t>NAL</w:t>
      </w:r>
      <w:r w:rsidRPr="00A52908">
        <w:rPr>
          <w:sz w:val="20"/>
        </w:rPr>
        <w:t xml:space="preserve"> under </w:t>
      </w:r>
      <w:r>
        <w:rPr>
          <w:sz w:val="20"/>
        </w:rPr>
        <w:t>s</w:t>
      </w:r>
      <w:r w:rsidRPr="00A52908">
        <w:rPr>
          <w:sz w:val="20"/>
        </w:rPr>
        <w:t xml:space="preserve">ection 0.283 of the </w:t>
      </w:r>
      <w:r>
        <w:rPr>
          <w:sz w:val="20"/>
        </w:rPr>
        <w:t>Rules</w:t>
      </w:r>
      <w:r w:rsidRPr="00A52908">
        <w:rPr>
          <w:sz w:val="20"/>
        </w:rPr>
        <w:t xml:space="preserve">.  </w:t>
      </w:r>
      <w:r w:rsidRPr="00A52908">
        <w:rPr>
          <w:i/>
          <w:sz w:val="20"/>
        </w:rPr>
        <w:t>See</w:t>
      </w:r>
      <w:r w:rsidRPr="00A52908">
        <w:rPr>
          <w:sz w:val="20"/>
        </w:rPr>
        <w:t xml:space="preserve"> 47 CFR § 0.283.  </w:t>
      </w:r>
    </w:p>
  </w:footnote>
  <w:footnote w:id="7">
    <w:p w:rsidR="00F51C6A" w:rsidP="00F51C6A" w14:paraId="103AA92C" w14:textId="77777777">
      <w:pPr>
        <w:pStyle w:val="FootnoteText"/>
      </w:pPr>
      <w:r>
        <w:rPr>
          <w:rStyle w:val="FootnoteReference"/>
        </w:rPr>
        <w:footnoteRef/>
      </w:r>
      <w:r>
        <w:t xml:space="preserve"> </w:t>
      </w:r>
      <w:r>
        <w:rPr>
          <w:i/>
        </w:rPr>
        <w:t xml:space="preserve">See </w:t>
      </w:r>
      <w:r>
        <w:t>47 CFR § 73.3539.</w:t>
      </w:r>
    </w:p>
  </w:footnote>
  <w:footnote w:id="8">
    <w:p w:rsidR="006C6DAD" w14:paraId="6A610919" w14:textId="390008EE">
      <w:pPr>
        <w:pStyle w:val="FootnoteText"/>
      </w:pPr>
      <w:r>
        <w:rPr>
          <w:rStyle w:val="FootnoteReference"/>
        </w:rPr>
        <w:footnoteRef/>
      </w:r>
      <w:r>
        <w:t xml:space="preserve"> </w:t>
      </w:r>
      <w:r w:rsidRPr="006C6DAD">
        <w:rPr>
          <w:i/>
        </w:rPr>
        <w:t xml:space="preserve">See </w:t>
      </w:r>
      <w:r w:rsidRPr="006C6DAD">
        <w:t xml:space="preserve">47 </w:t>
      </w:r>
      <w:r>
        <w:t>U.S.C.</w:t>
      </w:r>
      <w:r w:rsidRPr="006C6DAD">
        <w:t xml:space="preserve"> §</w:t>
      </w:r>
      <w:r>
        <w:t xml:space="preserve"> 301.</w:t>
      </w:r>
    </w:p>
  </w:footnote>
  <w:footnote w:id="9">
    <w:p w:rsidR="009512E7" w:rsidP="009512E7" w14:paraId="58E2445F" w14:textId="77777777">
      <w:pPr>
        <w:pStyle w:val="FootnoteText"/>
      </w:pPr>
      <w:r>
        <w:rPr>
          <w:rStyle w:val="FootnoteReference"/>
        </w:rPr>
        <w:footnoteRef/>
      </w:r>
      <w:r>
        <w:t xml:space="preserve"> 47 CFR § 73.3539(a).</w:t>
      </w:r>
    </w:p>
  </w:footnote>
  <w:footnote w:id="10">
    <w:p w:rsidR="009512E7" w:rsidRPr="00610C65" w:rsidP="009512E7" w14:paraId="7B65CFE4" w14:textId="77777777">
      <w:pPr>
        <w:pStyle w:val="FootnoteText"/>
      </w:pPr>
      <w:r>
        <w:rPr>
          <w:rStyle w:val="FootnoteReference"/>
        </w:rPr>
        <w:footnoteRef/>
      </w:r>
      <w:r>
        <w:t xml:space="preserve"> </w:t>
      </w:r>
      <w:r>
        <w:rPr>
          <w:i/>
          <w:iCs/>
        </w:rPr>
        <w:t xml:space="preserve">See </w:t>
      </w:r>
      <w:r w:rsidRPr="00075D35">
        <w:rPr>
          <w:bCs/>
          <w:i/>
          <w:iCs/>
        </w:rPr>
        <w:t xml:space="preserve">Atlantic City Bd. Of Educ., </w:t>
      </w:r>
      <w:r w:rsidRPr="00075D35">
        <w:rPr>
          <w:bCs/>
        </w:rPr>
        <w:t xml:space="preserve">Memorandum Opinion and Order, 31 FCC </w:t>
      </w:r>
      <w:r w:rsidRPr="00075D35">
        <w:rPr>
          <w:bCs/>
        </w:rPr>
        <w:t>Rcd</w:t>
      </w:r>
      <w:r w:rsidRPr="00075D35">
        <w:rPr>
          <w:bCs/>
        </w:rPr>
        <w:t xml:space="preserve"> 9380, 9385</w:t>
      </w:r>
      <w:r>
        <w:rPr>
          <w:bCs/>
        </w:rPr>
        <w:t>, para. 11</w:t>
      </w:r>
      <w:r w:rsidRPr="00075D35">
        <w:rPr>
          <w:bCs/>
        </w:rPr>
        <w:t xml:space="preserve"> (2016) (</w:t>
      </w:r>
      <w:r w:rsidRPr="00075D35">
        <w:rPr>
          <w:bCs/>
          <w:i/>
          <w:iCs/>
        </w:rPr>
        <w:t>Atlantic City</w:t>
      </w:r>
      <w:r w:rsidRPr="00075D35">
        <w:rPr>
          <w:bCs/>
        </w:rPr>
        <w:t>)</w:t>
      </w:r>
      <w:r>
        <w:rPr>
          <w:bCs/>
          <w:i/>
          <w:iCs/>
        </w:rPr>
        <w:t xml:space="preserve">; see also </w:t>
      </w:r>
      <w:r>
        <w:t xml:space="preserve">47 CFR </w:t>
      </w:r>
      <w:r w:rsidRPr="00885FB1">
        <w:t>§</w:t>
      </w:r>
      <w:r>
        <w:t xml:space="preserve"> 1.62 (authorizing </w:t>
      </w:r>
      <w:r w:rsidRPr="00CD087E">
        <w:t xml:space="preserve">continued operations </w:t>
      </w:r>
      <w:r>
        <w:t xml:space="preserve">after expiration only </w:t>
      </w:r>
      <w:r w:rsidRPr="00CD087E">
        <w:t>“where there is pending before the Commission at the time of expiration of license any proper and timely application for renewal of license</w:t>
      </w:r>
      <w:r>
        <w:t>”</w:t>
      </w:r>
      <w:r w:rsidRPr="00610C65">
        <w:t>).</w:t>
      </w:r>
    </w:p>
  </w:footnote>
  <w:footnote w:id="11">
    <w:p w:rsidR="009512E7" w:rsidRPr="00BA5151" w:rsidP="009512E7" w14:paraId="0BE566CD" w14:textId="60CF8BF1">
      <w:pPr>
        <w:pStyle w:val="FootnoteText"/>
      </w:pPr>
      <w:r>
        <w:rPr>
          <w:rStyle w:val="FootnoteReference"/>
        </w:rPr>
        <w:footnoteRef/>
      </w:r>
      <w:r>
        <w:t xml:space="preserve"> </w:t>
      </w:r>
      <w:r w:rsidR="002F44F7">
        <w:rPr>
          <w:i/>
          <w:iCs/>
        </w:rPr>
        <w:t xml:space="preserve">See </w:t>
      </w:r>
      <w:r>
        <w:rPr>
          <w:i/>
          <w:iCs/>
        </w:rPr>
        <w:t xml:space="preserve">Atlantic City, </w:t>
      </w:r>
      <w:r>
        <w:t xml:space="preserve">31 FCC </w:t>
      </w:r>
      <w:r>
        <w:t>Rcd</w:t>
      </w:r>
      <w:r>
        <w:t xml:space="preserve"> at 9384-85, para. 10.</w:t>
      </w:r>
    </w:p>
  </w:footnote>
  <w:footnote w:id="12">
    <w:p w:rsidR="00864999" w:rsidRPr="005B3DD8" w:rsidP="00864999" w14:paraId="5482545C" w14:textId="5846F0A2">
      <w:pPr>
        <w:pStyle w:val="FootnoteText"/>
      </w:pPr>
      <w:r>
        <w:rPr>
          <w:rStyle w:val="FootnoteReference"/>
        </w:rPr>
        <w:footnoteRef/>
      </w:r>
      <w:r>
        <w:t xml:space="preserve"> </w:t>
      </w:r>
      <w:r w:rsidR="003C78E4">
        <w:t>R</w:t>
      </w:r>
      <w:r>
        <w:t xml:space="preserve">adio stations </w:t>
      </w:r>
      <w:r w:rsidRPr="000C0B59">
        <w:t>in Rhode Island</w:t>
      </w:r>
      <w:r w:rsidR="00C123B9">
        <w:t xml:space="preserve"> (and also Vermont)</w:t>
      </w:r>
      <w:r w:rsidR="003C78E4">
        <w:t xml:space="preserve"> </w:t>
      </w:r>
      <w:r>
        <w:t xml:space="preserve">that received full-term, eight-year renewals in the last renewal cycle </w:t>
      </w:r>
      <w:r w:rsidR="00BD4DB1">
        <w:t xml:space="preserve">will </w:t>
      </w:r>
      <w:r w:rsidR="003C78E4">
        <w:t xml:space="preserve">file by a state-wide renewal application date of </w:t>
      </w:r>
      <w:r>
        <w:t>December 1, 2021, four months ahead of a</w:t>
      </w:r>
      <w:r w:rsidR="003C78E4">
        <w:t xml:space="preserve"> state-wide</w:t>
      </w:r>
      <w:r>
        <w:t xml:space="preserve"> </w:t>
      </w:r>
      <w:r w:rsidRPr="000C0B59">
        <w:t xml:space="preserve">April 1, 2022 </w:t>
      </w:r>
      <w:r>
        <w:t>expiration date</w:t>
      </w:r>
      <w:r w:rsidRPr="000C0B59">
        <w:t>.</w:t>
      </w:r>
      <w:r>
        <w:t xml:space="preserve">  </w:t>
      </w:r>
      <w:r>
        <w:rPr>
          <w:i/>
          <w:iCs/>
        </w:rPr>
        <w:t xml:space="preserve">See </w:t>
      </w:r>
      <w:r>
        <w:t>47 CFR</w:t>
      </w:r>
      <w:r>
        <w:rPr>
          <w:i/>
          <w:iCs/>
        </w:rPr>
        <w:t xml:space="preserve">. </w:t>
      </w:r>
      <w:r w:rsidRPr="005B3DD8">
        <w:t>§ 73.</w:t>
      </w:r>
      <w:r>
        <w:t>1020.</w:t>
      </w:r>
    </w:p>
  </w:footnote>
  <w:footnote w:id="13">
    <w:p w:rsidR="001B5F46" w:rsidRPr="0062071B" w:rsidP="001B5F46" w14:paraId="4085003A" w14:textId="4A35543A">
      <w:pPr>
        <w:pStyle w:val="FootnoteText"/>
      </w:pPr>
      <w:r>
        <w:rPr>
          <w:rStyle w:val="FootnoteReference"/>
        </w:rPr>
        <w:footnoteRef/>
      </w:r>
      <w:r>
        <w:t xml:space="preserve"> </w:t>
      </w:r>
      <w:r>
        <w:rPr>
          <w:i/>
          <w:iCs/>
        </w:rPr>
        <w:t>See Harvest Broad., et al</w:t>
      </w:r>
      <w:r w:rsidR="005C12ED">
        <w:rPr>
          <w:i/>
          <w:iCs/>
        </w:rPr>
        <w:t>.</w:t>
      </w:r>
      <w:r>
        <w:rPr>
          <w:i/>
          <w:iCs/>
        </w:rPr>
        <w:t xml:space="preserve">, </w:t>
      </w:r>
      <w:r>
        <w:t xml:space="preserve">Order, 31 FCC </w:t>
      </w:r>
      <w:r>
        <w:t>Rcd</w:t>
      </w:r>
      <w:r>
        <w:t xml:space="preserve"> 11840</w:t>
      </w:r>
      <w:r w:rsidR="0003405A">
        <w:t xml:space="preserve"> </w:t>
      </w:r>
      <w:r>
        <w:t>(MB 2016)</w:t>
      </w:r>
      <w:r w:rsidR="00555D19">
        <w:t xml:space="preserve"> </w:t>
      </w:r>
      <w:r w:rsidRPr="00555D19" w:rsidR="00555D19">
        <w:t xml:space="preserve">(adopting consent decree </w:t>
      </w:r>
      <w:r w:rsidR="005C12ED">
        <w:t xml:space="preserve">and </w:t>
      </w:r>
      <w:r w:rsidR="004D6175">
        <w:t xml:space="preserve">providing for </w:t>
      </w:r>
      <w:r w:rsidR="005C12ED">
        <w:t xml:space="preserve">short-term </w:t>
      </w:r>
      <w:r w:rsidRPr="00555D19" w:rsidR="00555D19">
        <w:t>renew</w:t>
      </w:r>
      <w:r w:rsidR="005C12ED">
        <w:t>al</w:t>
      </w:r>
      <w:r w:rsidRPr="00555D19" w:rsidR="00555D19">
        <w:t xml:space="preserve"> </w:t>
      </w:r>
      <w:r w:rsidR="005C12ED">
        <w:t xml:space="preserve">of </w:t>
      </w:r>
      <w:r w:rsidRPr="00555D19" w:rsidR="00555D19">
        <w:t>the Station’s license upon satisfaction of certain conditions)</w:t>
      </w:r>
      <w:r w:rsidR="00040606">
        <w:t>.</w:t>
      </w:r>
    </w:p>
  </w:footnote>
  <w:footnote w:id="14">
    <w:p w:rsidR="001B5F46" w:rsidRPr="0062071B" w:rsidP="001B5F46" w14:paraId="203EA05A" w14:textId="6C79DAC4">
      <w:pPr>
        <w:pStyle w:val="FootnoteText"/>
      </w:pPr>
      <w:r>
        <w:rPr>
          <w:rStyle w:val="FootnoteReference"/>
        </w:rPr>
        <w:footnoteRef/>
      </w:r>
      <w:r>
        <w:t xml:space="preserve"> </w:t>
      </w:r>
      <w:r w:rsidR="0003405A">
        <w:rPr>
          <w:i/>
          <w:iCs/>
        </w:rPr>
        <w:t xml:space="preserve">Id. </w:t>
      </w:r>
      <w:r w:rsidR="0003405A">
        <w:t xml:space="preserve">at </w:t>
      </w:r>
      <w:r>
        <w:t xml:space="preserve">11852, para. 28(b).  </w:t>
      </w:r>
    </w:p>
  </w:footnote>
  <w:footnote w:id="15">
    <w:p w:rsidR="001B5F46" w:rsidP="001B5F46" w14:paraId="43783128" w14:textId="18D1EA73">
      <w:pPr>
        <w:pStyle w:val="FootnoteText"/>
      </w:pPr>
      <w:r>
        <w:rPr>
          <w:rStyle w:val="FootnoteReference"/>
        </w:rPr>
        <w:footnoteRef/>
      </w:r>
      <w:r>
        <w:t xml:space="preserve"> Application File No. </w:t>
      </w:r>
      <w:r w:rsidRPr="00E67D56">
        <w:t>BALFT-20161103AAW</w:t>
      </w:r>
      <w:r>
        <w:t xml:space="preserve"> (granted Jan. 17, 2017</w:t>
      </w:r>
      <w:r w:rsidR="000A11C8">
        <w:t>, consummated Mar. 8, 2017</w:t>
      </w:r>
      <w:r>
        <w:t>).</w:t>
      </w:r>
      <w:r w:rsidR="000A11C8">
        <w:t xml:space="preserve">  </w:t>
      </w:r>
      <w:r w:rsidRPr="00DE4C6E" w:rsidR="00DE4C6E">
        <w:t xml:space="preserve"> </w:t>
      </w:r>
    </w:p>
  </w:footnote>
  <w:footnote w:id="16">
    <w:p w:rsidR="00832F67" w:rsidRPr="0057212F" w14:paraId="658A3D62" w14:textId="5689B899">
      <w:pPr>
        <w:pStyle w:val="FootnoteText"/>
      </w:pPr>
      <w:r>
        <w:rPr>
          <w:rStyle w:val="FootnoteReference"/>
        </w:rPr>
        <w:footnoteRef/>
      </w:r>
      <w:r>
        <w:t xml:space="preserve"> </w:t>
      </w:r>
      <w:r w:rsidR="001E1516">
        <w:rPr>
          <w:i/>
          <w:iCs/>
        </w:rPr>
        <w:t xml:space="preserve">See </w:t>
      </w:r>
      <w:r w:rsidR="0057212F">
        <w:t>Exh</w:t>
      </w:r>
      <w:r w:rsidR="000F0B8A">
        <w:t>ibit.pdf</w:t>
      </w:r>
      <w:r w:rsidR="001E1516">
        <w:t>.</w:t>
      </w:r>
      <w:r w:rsidR="0057212F">
        <w:t xml:space="preserve"> </w:t>
      </w:r>
      <w:r w:rsidR="000F0B8A">
        <w:t xml:space="preserve">attached </w:t>
      </w:r>
      <w:r w:rsidR="0057212F">
        <w:t xml:space="preserve">to </w:t>
      </w:r>
      <w:r>
        <w:t>Application</w:t>
      </w:r>
      <w:r w:rsidR="0057212F">
        <w:t xml:space="preserve"> (</w:t>
      </w:r>
      <w:r w:rsidRPr="0057212F" w:rsidR="0057212F">
        <w:t>“</w:t>
      </w:r>
      <w:r w:rsidR="0057212F">
        <w:t>D</w:t>
      </w:r>
      <w:r w:rsidRPr="0057212F" w:rsidR="0057212F">
        <w:t>uring a routine database check of this licensee, it was realized that prior to such time as the licensee acquired the license for W276DF (formerly W228AU), a short-term renewal of license was granted with respect to this facility. Therefore, this application for renewal of license is filed lat</w:t>
      </w:r>
      <w:r w:rsidR="00540259">
        <w:t xml:space="preserve">e.  </w:t>
      </w:r>
      <w:r w:rsidR="0057212F">
        <w:t>S</w:t>
      </w:r>
      <w:r w:rsidRPr="00A50D3B" w:rsidR="00A50D3B">
        <w:t xml:space="preserve">ince acquisition of the station, the licensee has been in full compliance with all Commission rules and regulations. </w:t>
      </w:r>
      <w:r w:rsidR="0057212F">
        <w:t xml:space="preserve"> </w:t>
      </w:r>
      <w:r w:rsidRPr="00A50D3B" w:rsidR="00A50D3B">
        <w:t xml:space="preserve">It is respectfully </w:t>
      </w:r>
      <w:r w:rsidR="0057212F">
        <w:t xml:space="preserve">[requested] </w:t>
      </w:r>
      <w:r w:rsidRPr="00A50D3B" w:rsidR="00A50D3B">
        <w:t>that this application for renewal of license be granted, to allow the station to resume on the normal renewal cycle for Rhode Island stations.</w:t>
      </w:r>
      <w:r w:rsidR="00A50D3B">
        <w:t>”</w:t>
      </w:r>
      <w:r w:rsidR="0057212F">
        <w:t>).</w:t>
      </w:r>
      <w:r w:rsidR="00A50D3B">
        <w:t xml:space="preserve">  </w:t>
      </w:r>
    </w:p>
  </w:footnote>
  <w:footnote w:id="17">
    <w:p w:rsidR="005F284E" w14:paraId="5A500312" w14:textId="0252C3BA">
      <w:pPr>
        <w:pStyle w:val="FootnoteText"/>
      </w:pPr>
      <w:r>
        <w:rPr>
          <w:rStyle w:val="FootnoteReference"/>
        </w:rPr>
        <w:footnoteRef/>
      </w:r>
      <w:r>
        <w:t xml:space="preserve"> </w:t>
      </w:r>
      <w:r w:rsidRPr="005F284E">
        <w:t> </w:t>
      </w:r>
      <w:r>
        <w:t xml:space="preserve">Application File No. </w:t>
      </w:r>
      <w:r w:rsidRPr="005F284E">
        <w:t>BLSTA-20200916ABT</w:t>
      </w:r>
      <w:r>
        <w:t xml:space="preserve"> (</w:t>
      </w:r>
      <w:r w:rsidR="007D45CE">
        <w:t>rec.</w:t>
      </w:r>
      <w:r>
        <w:t xml:space="preserve"> Sept. 16, 2020).</w:t>
      </w:r>
    </w:p>
  </w:footnote>
  <w:footnote w:id="18">
    <w:p w:rsidR="00FF09FE" w:rsidP="00FF09FE" w14:paraId="5A89155A" w14:textId="639B6AFD">
      <w:pPr>
        <w:pStyle w:val="FootnoteText"/>
      </w:pPr>
      <w:r w:rsidRPr="002169FD">
        <w:rPr>
          <w:rStyle w:val="FootnoteReference"/>
        </w:rPr>
        <w:footnoteRef/>
      </w:r>
      <w:r w:rsidRPr="002169FD">
        <w:t xml:space="preserve"> </w:t>
      </w:r>
      <w:r w:rsidRPr="002169FD">
        <w:rPr>
          <w:i/>
          <w:iCs/>
        </w:rPr>
        <w:t xml:space="preserve">See </w:t>
      </w:r>
      <w:r w:rsidRPr="00C544CC" w:rsidR="00C544CC">
        <w:rPr>
          <w:i/>
          <w:iCs/>
        </w:rPr>
        <w:t>Diponti</w:t>
      </w:r>
      <w:r w:rsidRPr="00C544CC" w:rsidR="00C544CC">
        <w:rPr>
          <w:i/>
          <w:iCs/>
        </w:rPr>
        <w:t xml:space="preserve"> Communications, LLC</w:t>
      </w:r>
      <w:r w:rsidR="00C544CC">
        <w:rPr>
          <w:i/>
          <w:iCs/>
        </w:rPr>
        <w:t xml:space="preserve">, </w:t>
      </w:r>
      <w:r w:rsidRPr="002169FD">
        <w:t xml:space="preserve">Letter Order, </w:t>
      </w:r>
      <w:r w:rsidR="00C544CC">
        <w:t xml:space="preserve">Application </w:t>
      </w:r>
      <w:r w:rsidRPr="002169FD">
        <w:t xml:space="preserve">File No. </w:t>
      </w:r>
      <w:r w:rsidRPr="00C544CC" w:rsidR="00C544CC">
        <w:t xml:space="preserve">BLSTA-20200916ABT </w:t>
      </w:r>
      <w:r w:rsidRPr="002169FD">
        <w:t>(MB Oct. 2, 2020)</w:t>
      </w:r>
      <w:r>
        <w:t>.</w:t>
      </w:r>
    </w:p>
  </w:footnote>
  <w:footnote w:id="19">
    <w:p w:rsidR="005B7F04" w14:paraId="10523973" w14:textId="59862F5D">
      <w:pPr>
        <w:pStyle w:val="FootnoteText"/>
      </w:pPr>
      <w:r w:rsidRPr="002169FD">
        <w:rPr>
          <w:rStyle w:val="FootnoteReference"/>
        </w:rPr>
        <w:footnoteRef/>
      </w:r>
      <w:r w:rsidRPr="002169FD">
        <w:t xml:space="preserve"> </w:t>
      </w:r>
      <w:r w:rsidRPr="002169FD" w:rsidR="00386456">
        <w:rPr>
          <w:i/>
          <w:iCs/>
        </w:rPr>
        <w:t>See</w:t>
      </w:r>
      <w:r w:rsidRPr="002169FD" w:rsidR="00386456">
        <w:t xml:space="preserve"> File No. </w:t>
      </w:r>
      <w:r w:rsidRPr="002169FD" w:rsidR="00E12786">
        <w:t>BELSTA-20210326AAB</w:t>
      </w:r>
      <w:r w:rsidR="002A1A14">
        <w:t xml:space="preserve"> (rec. Mar. 26, 2021)</w:t>
      </w:r>
      <w:r w:rsidRPr="002169FD" w:rsidR="00386456">
        <w:t>.</w:t>
      </w:r>
    </w:p>
  </w:footnote>
  <w:footnote w:id="20">
    <w:p w:rsidR="00D6034F" w:rsidRPr="003C7C8C" w:rsidP="00D6034F" w14:paraId="08537FD6" w14:textId="52B57831">
      <w:pPr>
        <w:ind w:right="-18"/>
        <w:rPr>
          <w:rFonts w:eastAsia="SimSun"/>
          <w:bCs/>
          <w:sz w:val="20"/>
        </w:rPr>
      </w:pPr>
      <w:r>
        <w:rPr>
          <w:rStyle w:val="FootnoteReference"/>
        </w:rPr>
        <w:footnoteRef/>
      </w:r>
      <w:r>
        <w:t xml:space="preserve"> </w:t>
      </w:r>
      <w:r w:rsidRPr="003C7C8C">
        <w:rPr>
          <w:i/>
          <w:iCs/>
          <w:sz w:val="20"/>
        </w:rPr>
        <w:t xml:space="preserve">See </w:t>
      </w:r>
      <w:r w:rsidRPr="00DD10C6" w:rsidR="00DD10C6">
        <w:rPr>
          <w:sz w:val="20"/>
        </w:rPr>
        <w:t>E-mail from Dan J. Alpert, Esq. to Victoria McCauley, Attorney, FCC (</w:t>
      </w:r>
      <w:r w:rsidRPr="00DD10C6" w:rsidR="00DD10C6">
        <w:rPr>
          <w:bCs/>
          <w:sz w:val="20"/>
        </w:rPr>
        <w:t>July 8, 2021 12:33 AM) (July E-mail)</w:t>
      </w:r>
      <w:r w:rsidR="00DD10C6">
        <w:rPr>
          <w:bCs/>
          <w:sz w:val="20"/>
        </w:rPr>
        <w:t xml:space="preserve">, </w:t>
      </w:r>
      <w:r w:rsidRPr="003C7C8C">
        <w:rPr>
          <w:sz w:val="20"/>
        </w:rPr>
        <w:t>citing</w:t>
      </w:r>
      <w:r>
        <w:rPr>
          <w:sz w:val="20"/>
        </w:rPr>
        <w:t xml:space="preserve"> </w:t>
      </w:r>
      <w:r w:rsidRPr="003C7C8C">
        <w:rPr>
          <w:rFonts w:eastAsia="SimSun"/>
          <w:bCs/>
          <w:i/>
          <w:iCs/>
          <w:sz w:val="20"/>
        </w:rPr>
        <w:t>Atlantic City</w:t>
      </w:r>
      <w:r>
        <w:rPr>
          <w:rFonts w:eastAsia="SimSun"/>
          <w:bCs/>
          <w:i/>
          <w:iCs/>
          <w:sz w:val="20"/>
        </w:rPr>
        <w:t xml:space="preserve">, </w:t>
      </w:r>
      <w:r w:rsidRPr="003C7C8C">
        <w:rPr>
          <w:rFonts w:eastAsia="SimSun"/>
          <w:bCs/>
          <w:i/>
          <w:iCs/>
          <w:sz w:val="20"/>
        </w:rPr>
        <w:t xml:space="preserve"> </w:t>
      </w:r>
      <w:r w:rsidRPr="003C7C8C">
        <w:rPr>
          <w:rFonts w:eastAsia="SimSun"/>
          <w:bCs/>
          <w:sz w:val="20"/>
        </w:rPr>
        <w:t xml:space="preserve">31 FCC </w:t>
      </w:r>
      <w:r w:rsidRPr="003C7C8C">
        <w:rPr>
          <w:rFonts w:eastAsia="SimSun"/>
          <w:bCs/>
          <w:sz w:val="20"/>
        </w:rPr>
        <w:t>Rcd</w:t>
      </w:r>
      <w:r w:rsidRPr="003C7C8C">
        <w:rPr>
          <w:rFonts w:eastAsia="SimSun"/>
          <w:bCs/>
          <w:sz w:val="20"/>
        </w:rPr>
        <w:t xml:space="preserve"> </w:t>
      </w:r>
      <w:r>
        <w:rPr>
          <w:rFonts w:eastAsia="SimSun"/>
          <w:bCs/>
          <w:sz w:val="20"/>
        </w:rPr>
        <w:t xml:space="preserve">at </w:t>
      </w:r>
      <w:r w:rsidRPr="003C7C8C">
        <w:rPr>
          <w:rFonts w:eastAsia="SimSun"/>
          <w:bCs/>
          <w:sz w:val="20"/>
        </w:rPr>
        <w:t xml:space="preserve">9383-85.  </w:t>
      </w:r>
    </w:p>
    <w:p w:rsidR="00D6034F" w:rsidRPr="00880EA6" w:rsidP="00D6034F" w14:paraId="065BD929" w14:textId="77777777">
      <w:pPr>
        <w:ind w:right="-18"/>
        <w:rPr>
          <w:rFonts w:eastAsia="SimSun"/>
          <w:bCs/>
        </w:rPr>
      </w:pPr>
    </w:p>
  </w:footnote>
  <w:footnote w:id="21">
    <w:p w:rsidR="008116AD" w14:paraId="4898F094" w14:textId="0F8C8C43">
      <w:pPr>
        <w:pStyle w:val="FootnoteText"/>
      </w:pPr>
      <w:r>
        <w:rPr>
          <w:rStyle w:val="FootnoteReference"/>
        </w:rPr>
        <w:footnoteRef/>
      </w:r>
      <w:r>
        <w:t xml:space="preserve"> </w:t>
      </w:r>
      <w:r w:rsidRPr="00E0786C" w:rsidR="00E0786C">
        <w:t>According to counsel</w:t>
      </w:r>
      <w:r w:rsidR="00D0174B">
        <w:t>,</w:t>
      </w:r>
      <w:r w:rsidRPr="00E0786C" w:rsidR="00E0786C">
        <w:t xml:space="preserve"> “[d]</w:t>
      </w:r>
      <w:r w:rsidRPr="00E0786C" w:rsidR="00E0786C">
        <w:rPr>
          <w:bCs/>
        </w:rPr>
        <w:t>uring</w:t>
      </w:r>
      <w:r w:rsidRPr="00E0786C" w:rsidR="00E0786C">
        <w:rPr>
          <w:bCs/>
        </w:rPr>
        <w:t xml:space="preserve"> a routine database check of the licensee, it was realized last year (by me) that the “license expiration date,” although showing in LMS as “4/1/2022” in LMS did not match with the date of the Order.  Despite the date in LMS, the renewal application immediately was filed in an abundance of caution.  An STA also was filed (and granted) in an abundance of caution to allow the station validly to continue to operate.”</w:t>
      </w:r>
      <w:r w:rsidR="001E2B30">
        <w:rPr>
          <w:bCs/>
        </w:rPr>
        <w:t xml:space="preserve">  </w:t>
      </w:r>
      <w:r w:rsidR="00DD10C6">
        <w:rPr>
          <w:bCs/>
          <w:i/>
          <w:iCs/>
        </w:rPr>
        <w:t xml:space="preserve">See  </w:t>
      </w:r>
      <w:r w:rsidR="00DD10C6">
        <w:rPr>
          <w:bCs/>
        </w:rPr>
        <w:t xml:space="preserve">July </w:t>
      </w:r>
      <w:r>
        <w:t>E-mail</w:t>
      </w:r>
      <w:r>
        <w:rPr>
          <w:bCs/>
        </w:rPr>
        <w:t>.</w:t>
      </w:r>
    </w:p>
  </w:footnote>
  <w:footnote w:id="22">
    <w:p w:rsidR="00406A52" w:rsidRPr="00E4519B" w:rsidP="00406A52" w14:paraId="44543E71" w14:textId="77777777">
      <w:pPr>
        <w:pStyle w:val="FootnoteText"/>
        <w:widowControl w:val="0"/>
      </w:pPr>
      <w:r w:rsidRPr="00E4519B">
        <w:rPr>
          <w:rStyle w:val="FootnoteReference"/>
        </w:rPr>
        <w:footnoteRef/>
      </w:r>
      <w:r w:rsidRPr="00E4519B">
        <w:t xml:space="preserve"> 47 U.S.C. § </w:t>
      </w:r>
      <w:r w:rsidRPr="00BE662A">
        <w:t xml:space="preserve">503(b)(1)(B).  </w:t>
      </w:r>
      <w:r w:rsidRPr="00BE662A">
        <w:rPr>
          <w:i/>
        </w:rPr>
        <w:t>S</w:t>
      </w:r>
      <w:r w:rsidRPr="00BE662A">
        <w:rPr>
          <w:i/>
          <w:iCs/>
        </w:rPr>
        <w:t>ee also</w:t>
      </w:r>
      <w:r w:rsidRPr="00BE662A">
        <w:t xml:space="preserve"> 47 CFR § 1.80(a)(1</w:t>
      </w:r>
      <w:r w:rsidRPr="00E4519B">
        <w:t>).</w:t>
      </w:r>
    </w:p>
  </w:footnote>
  <w:footnote w:id="23">
    <w:p w:rsidR="00406A52" w:rsidRPr="00D64E57" w:rsidP="00406A52" w14:paraId="6EEC5AF3" w14:textId="77777777">
      <w:pPr>
        <w:pStyle w:val="FootnoteText"/>
        <w:widowControl w:val="0"/>
      </w:pPr>
      <w:r w:rsidRPr="00E4519B">
        <w:rPr>
          <w:rStyle w:val="FootnoteReference"/>
        </w:rPr>
        <w:footnoteRef/>
      </w:r>
      <w:r w:rsidRPr="00E4519B">
        <w:t xml:space="preserve"> </w:t>
      </w:r>
      <w:r w:rsidRPr="00D64E57">
        <w:t>47 U.S.C. § 312(f)(1).</w:t>
      </w:r>
    </w:p>
  </w:footnote>
  <w:footnote w:id="24">
    <w:p w:rsidR="00406A52" w:rsidRPr="00D64E57" w:rsidP="00406A52" w14:paraId="7C6A1DAD"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25">
    <w:p w:rsidR="00406A52" w:rsidRPr="00D64E57" w:rsidP="00406A52" w14:paraId="0E016A5D" w14:textId="2AC7E37F">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xml:space="preserve">, Memorandum Opinion and Order, 6 FCC </w:t>
      </w:r>
      <w:r w:rsidRPr="00D64E57">
        <w:t>Rcd</w:t>
      </w:r>
      <w:r w:rsidRPr="00D64E57">
        <w:t xml:space="preserve"> 4387, 4388</w:t>
      </w:r>
      <w:r>
        <w:t>, para. 5</w:t>
      </w:r>
      <w:r w:rsidRPr="00D64E57">
        <w:t xml:space="preserve"> (1991)</w:t>
      </w:r>
      <w:r w:rsidR="002F01B8">
        <w:t xml:space="preserve"> (</w:t>
      </w:r>
      <w:r w:rsidRPr="002F01B8" w:rsidR="002F01B8">
        <w:rPr>
          <w:i/>
          <w:iCs/>
        </w:rPr>
        <w:t>Southern California</w:t>
      </w:r>
      <w:r w:rsidR="002F01B8">
        <w:t>)</w:t>
      </w:r>
      <w:r w:rsidRPr="00D64E57">
        <w:t xml:space="preserve">, </w:t>
      </w:r>
      <w:r w:rsidRPr="00D64E57">
        <w:rPr>
          <w:i/>
        </w:rPr>
        <w:t>recon. denied</w:t>
      </w:r>
      <w:r w:rsidRPr="00D64E57">
        <w:t xml:space="preserve">, 7 FCC </w:t>
      </w:r>
      <w:r w:rsidRPr="00D64E57">
        <w:t>Rcd</w:t>
      </w:r>
      <w:r w:rsidRPr="00D64E57">
        <w:t xml:space="preserve"> 3454 (1992</w:t>
      </w:r>
      <w:r w:rsidRPr="00600AB4">
        <w:t>).</w:t>
      </w:r>
    </w:p>
  </w:footnote>
  <w:footnote w:id="26">
    <w:p w:rsidR="001E307A" w:rsidRPr="006F7D37" w:rsidP="001E307A" w14:paraId="675A36A4" w14:textId="77777777">
      <w:pPr>
        <w:pStyle w:val="Footer"/>
        <w:spacing w:after="120"/>
        <w:rPr>
          <w:sz w:val="20"/>
        </w:rPr>
      </w:pPr>
      <w:r w:rsidRPr="006F7D37">
        <w:rPr>
          <w:rStyle w:val="FootnoteReference"/>
        </w:rPr>
        <w:footnoteRef/>
      </w:r>
      <w:r w:rsidRPr="006F7D37">
        <w:rPr>
          <w:sz w:val="20"/>
        </w:rPr>
        <w:t xml:space="preserve"> 47 U.S.C. </w:t>
      </w:r>
      <w:r w:rsidRPr="00BE662A">
        <w:rPr>
          <w:sz w:val="20"/>
        </w:rPr>
        <w:t>§ 312(f)(2).</w:t>
      </w:r>
      <w:r w:rsidRPr="006F7D37">
        <w:rPr>
          <w:sz w:val="20"/>
        </w:rPr>
        <w:t xml:space="preserve"> </w:t>
      </w:r>
    </w:p>
  </w:footnote>
  <w:footnote w:id="27">
    <w:p w:rsidR="001E307A" w:rsidRPr="00CF021F" w:rsidP="001E307A" w14:paraId="0AEF2F03" w14:textId="1EB32307">
      <w:pPr>
        <w:spacing w:after="120"/>
        <w:rPr>
          <w:sz w:val="20"/>
        </w:rPr>
      </w:pPr>
      <w:r>
        <w:rPr>
          <w:rStyle w:val="FootnoteReference"/>
        </w:rPr>
        <w:footnoteRef/>
      </w:r>
      <w:r>
        <w:t xml:space="preserve"> </w:t>
      </w:r>
      <w:r w:rsidRPr="00CF021F">
        <w:rPr>
          <w:i/>
          <w:iCs/>
          <w:sz w:val="20"/>
        </w:rPr>
        <w:t xml:space="preserve">See </w:t>
      </w:r>
      <w:hyperlink r:id="rId1" w:anchor="co_pp_sp_4493_17113" w:history="1">
        <w:r w:rsidRPr="00CF021F">
          <w:rPr>
            <w:i/>
            <w:iCs/>
            <w:sz w:val="20"/>
          </w:rPr>
          <w:t>Forfeiture Policy Statement and Amendment of Section 1.80(b) of the Rules to Incorporate the Forfeiture Guidelines</w:t>
        </w:r>
        <w:r w:rsidRPr="00CB1BA6">
          <w:rPr>
            <w:sz w:val="20"/>
          </w:rPr>
          <w:t>,</w:t>
        </w:r>
        <w:r w:rsidRPr="00CF021F">
          <w:rPr>
            <w:sz w:val="20"/>
          </w:rPr>
          <w:t xml:space="preserve"> Report and Order, 12 FCC </w:t>
        </w:r>
        <w:r w:rsidRPr="00CF021F">
          <w:rPr>
            <w:sz w:val="20"/>
          </w:rPr>
          <w:t>Rcd</w:t>
        </w:r>
        <w:r w:rsidRPr="00CF021F">
          <w:rPr>
            <w:sz w:val="20"/>
          </w:rPr>
          <w:t xml:space="preserve"> 17087, 17113-15 (1997)</w:t>
        </w:r>
      </w:hyperlink>
      <w:r w:rsidRPr="00CF021F">
        <w:rPr>
          <w:sz w:val="20"/>
        </w:rPr>
        <w:t xml:space="preserve"> (</w:t>
      </w:r>
      <w:r w:rsidRPr="00CF021F">
        <w:rPr>
          <w:i/>
          <w:iCs/>
          <w:sz w:val="20"/>
        </w:rPr>
        <w:t>Forfeiture</w:t>
      </w:r>
      <w:r w:rsidRPr="00CF021F">
        <w:rPr>
          <w:i/>
          <w:iCs/>
          <w:sz w:val="24"/>
          <w:szCs w:val="24"/>
        </w:rPr>
        <w:t xml:space="preserve"> </w:t>
      </w:r>
      <w:r w:rsidRPr="00CF021F">
        <w:rPr>
          <w:i/>
          <w:iCs/>
          <w:sz w:val="20"/>
        </w:rPr>
        <w:t>Policy Statement</w:t>
      </w:r>
      <w:r w:rsidRPr="00CF021F">
        <w:rPr>
          <w:sz w:val="20"/>
        </w:rPr>
        <w:t xml:space="preserve">), </w:t>
      </w:r>
      <w:r w:rsidRPr="00CF021F">
        <w:rPr>
          <w:i/>
          <w:iCs/>
          <w:sz w:val="20"/>
        </w:rPr>
        <w:t>recon. denied</w:t>
      </w:r>
      <w:r w:rsidRPr="00CF021F">
        <w:rPr>
          <w:sz w:val="20"/>
        </w:rPr>
        <w:t xml:space="preserve">, </w:t>
      </w:r>
      <w:hyperlink r:id="rId2" w:history="1">
        <w:r w:rsidRPr="00CF021F">
          <w:rPr>
            <w:sz w:val="20"/>
          </w:rPr>
          <w:t xml:space="preserve">15 FCC </w:t>
        </w:r>
        <w:r w:rsidRPr="00CF021F">
          <w:rPr>
            <w:sz w:val="20"/>
          </w:rPr>
          <w:t>Rcd</w:t>
        </w:r>
        <w:r w:rsidRPr="00CF021F">
          <w:rPr>
            <w:sz w:val="20"/>
          </w:rPr>
          <w:t xml:space="preserve"> 303 (1999)</w:t>
        </w:r>
      </w:hyperlink>
      <w:r w:rsidRPr="00CF021F">
        <w:rPr>
          <w:sz w:val="20"/>
        </w:rPr>
        <w:t xml:space="preserve">; </w:t>
      </w:r>
      <w:hyperlink r:id="rId3" w:anchor="co_pp_6ad60000aeea7" w:history="1">
        <w:r w:rsidRPr="00BE662A">
          <w:rPr>
            <w:sz w:val="20"/>
          </w:rPr>
          <w:t>47 CFR § 1.80(b)(</w:t>
        </w:r>
        <w:r w:rsidR="00A811FA">
          <w:rPr>
            <w:sz w:val="20"/>
          </w:rPr>
          <w:t>10</w:t>
        </w:r>
        <w:r w:rsidRPr="00BE662A">
          <w:rPr>
            <w:sz w:val="20"/>
          </w:rPr>
          <w:t>)</w:t>
        </w:r>
      </w:hyperlink>
      <w:r w:rsidRPr="00BE662A">
        <w:rPr>
          <w:sz w:val="20"/>
        </w:rPr>
        <w:t xml:space="preserve">, </w:t>
      </w:r>
      <w:r w:rsidR="00341360">
        <w:rPr>
          <w:sz w:val="20"/>
        </w:rPr>
        <w:t>Table</w:t>
      </w:r>
      <w:r w:rsidRPr="00BE662A">
        <w:rPr>
          <w:sz w:val="20"/>
        </w:rPr>
        <w:t xml:space="preserve"> I.</w:t>
      </w:r>
    </w:p>
  </w:footnote>
  <w:footnote w:id="28">
    <w:p w:rsidR="00242FAC" w:rsidRPr="00242FAC" w14:paraId="078AA69A" w14:textId="608302DB">
      <w:pPr>
        <w:pStyle w:val="FootnoteText"/>
        <w:rPr>
          <w:i/>
          <w:iCs/>
        </w:rPr>
      </w:pPr>
      <w:r>
        <w:rPr>
          <w:rStyle w:val="FootnoteReference"/>
        </w:rPr>
        <w:footnoteRef/>
      </w:r>
      <w:r>
        <w:t xml:space="preserve"> </w:t>
      </w:r>
      <w:r>
        <w:rPr>
          <w:i/>
          <w:iCs/>
        </w:rPr>
        <w:t>Id.</w:t>
      </w:r>
    </w:p>
  </w:footnote>
  <w:footnote w:id="29">
    <w:p w:rsidR="001E307A" w:rsidRPr="00CF021F" w:rsidP="001E307A" w14:paraId="1F6DFCF4" w14:textId="16C839FA">
      <w:pPr>
        <w:spacing w:after="120"/>
        <w:rPr>
          <w:sz w:val="20"/>
        </w:rPr>
      </w:pPr>
      <w:r w:rsidRPr="00650B53">
        <w:rPr>
          <w:rStyle w:val="FootnoteReference"/>
        </w:rPr>
        <w:footnoteRef/>
      </w:r>
      <w:r w:rsidRPr="00650B53">
        <w:rPr>
          <w:sz w:val="20"/>
        </w:rPr>
        <w:t xml:space="preserve"> </w:t>
      </w:r>
      <w:hyperlink r:id="rId4" w:anchor="co_pp_a79d0000944d2" w:history="1">
        <w:r w:rsidRPr="00650B53">
          <w:rPr>
            <w:sz w:val="20"/>
          </w:rPr>
          <w:t>47 U.S.C. § 503(b)(2)(E)</w:t>
        </w:r>
      </w:hyperlink>
      <w:r w:rsidRPr="00650B53">
        <w:rPr>
          <w:sz w:val="20"/>
        </w:rPr>
        <w:t xml:space="preserve">; </w:t>
      </w:r>
      <w:r w:rsidRPr="00650B53">
        <w:rPr>
          <w:i/>
          <w:iCs/>
          <w:sz w:val="20"/>
        </w:rPr>
        <w:t xml:space="preserve">see also </w:t>
      </w:r>
      <w:hyperlink r:id="rId5" w:anchor="co_pp_sp_4493_17100" w:history="1">
        <w:r w:rsidRPr="00650B53">
          <w:rPr>
            <w:i/>
            <w:iCs/>
            <w:sz w:val="20"/>
          </w:rPr>
          <w:t>Forfeiture Policy Statement</w:t>
        </w:r>
        <w:r w:rsidRPr="00650B53">
          <w:rPr>
            <w:sz w:val="20"/>
          </w:rPr>
          <w:t xml:space="preserve">, 12 FCC </w:t>
        </w:r>
        <w:r w:rsidRPr="00650B53">
          <w:rPr>
            <w:sz w:val="20"/>
          </w:rPr>
          <w:t>Rcd</w:t>
        </w:r>
        <w:r w:rsidRPr="00650B53">
          <w:rPr>
            <w:sz w:val="20"/>
          </w:rPr>
          <w:t xml:space="preserve"> at 17100</w:t>
        </w:r>
        <w:r w:rsidR="00A80BDA">
          <w:rPr>
            <w:sz w:val="20"/>
          </w:rPr>
          <w:t>, para. 27</w:t>
        </w:r>
        <w:r w:rsidRPr="00650B53">
          <w:rPr>
            <w:sz w:val="20"/>
          </w:rPr>
          <w:t>;</w:t>
        </w:r>
      </w:hyperlink>
      <w:r w:rsidRPr="00650B53">
        <w:rPr>
          <w:sz w:val="20"/>
        </w:rPr>
        <w:t xml:space="preserve"> </w:t>
      </w:r>
      <w:hyperlink r:id="rId3" w:anchor="co_pp_6ad60000aeea7" w:history="1">
        <w:r w:rsidRPr="00650B53">
          <w:rPr>
            <w:sz w:val="20"/>
          </w:rPr>
          <w:t>47 C.F.R. § 1.80(b)(</w:t>
        </w:r>
        <w:r w:rsidR="00A35413">
          <w:rPr>
            <w:sz w:val="20"/>
          </w:rPr>
          <w:t>10</w:t>
        </w:r>
        <w:r w:rsidRPr="00650B53">
          <w:rPr>
            <w:sz w:val="20"/>
          </w:rPr>
          <w:t>)</w:t>
        </w:r>
      </w:hyperlink>
      <w:r w:rsidRPr="00CF021F">
        <w:rPr>
          <w:sz w:val="20"/>
        </w:rPr>
        <w:t>.</w:t>
      </w:r>
    </w:p>
  </w:footnote>
  <w:footnote w:id="30">
    <w:p w:rsidR="00E52F85" w:rsidP="00E52F85" w14:paraId="4115EA7A" w14:textId="77777777">
      <w:pPr>
        <w:pStyle w:val="FootnoteText"/>
      </w:pPr>
      <w:r>
        <w:rPr>
          <w:rStyle w:val="FootnoteReference"/>
        </w:rPr>
        <w:footnoteRef/>
      </w:r>
      <w:r>
        <w:t xml:space="preserve"> </w:t>
      </w:r>
      <w:r w:rsidRPr="002F01B8">
        <w:rPr>
          <w:i/>
          <w:iCs/>
          <w:szCs w:val="22"/>
        </w:rPr>
        <w:t>Southern California</w:t>
      </w:r>
      <w:r w:rsidRPr="002F01B8">
        <w:rPr>
          <w:szCs w:val="22"/>
        </w:rPr>
        <w:t xml:space="preserve">, 6 FCC </w:t>
      </w:r>
      <w:r w:rsidRPr="002F01B8">
        <w:rPr>
          <w:szCs w:val="22"/>
        </w:rPr>
        <w:t>Rcd</w:t>
      </w:r>
      <w:r w:rsidRPr="002F01B8">
        <w:rPr>
          <w:szCs w:val="22"/>
        </w:rPr>
        <w:t xml:space="preserve"> at 4387, para. 3</w:t>
      </w:r>
      <w:r>
        <w:rPr>
          <w:szCs w:val="22"/>
        </w:rPr>
        <w:t>.</w:t>
      </w:r>
    </w:p>
  </w:footnote>
  <w:footnote w:id="31">
    <w:p w:rsidR="00A7120F" w:rsidRPr="00D423B0" w:rsidP="00A7120F" w14:paraId="08899F11"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32">
    <w:p w:rsidR="00A7120F" w:rsidRPr="00E4519B" w:rsidP="00A7120F" w14:paraId="22A7FCA9"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33">
    <w:p w:rsidR="00A7120F" w:rsidRPr="00132193" w:rsidP="00A7120F" w14:paraId="21949CB0" w14:textId="77777777">
      <w:pPr>
        <w:pStyle w:val="Footer"/>
        <w:spacing w:after="120"/>
        <w:rPr>
          <w:sz w:val="20"/>
        </w:rPr>
      </w:pPr>
      <w:r w:rsidRPr="00132193">
        <w:rPr>
          <w:rStyle w:val="FootnoteReference"/>
        </w:rPr>
        <w:footnoteRef/>
      </w:r>
      <w:r w:rsidRPr="00132193">
        <w:rPr>
          <w:sz w:val="20"/>
        </w:rPr>
        <w:t xml:space="preserve"> 47 U.S.C. §§ 309(k)(2), 309(k)(3).</w:t>
      </w:r>
    </w:p>
  </w:footnote>
  <w:footnote w:id="34">
    <w:p w:rsidR="00A7120F" w:rsidRPr="00132193" w:rsidP="00A7120F" w14:paraId="5D4BD5BE" w14:textId="33147B36">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w:t>
      </w:r>
      <w:r w:rsidR="005A3CFA">
        <w:rPr>
          <w:sz w:val="20"/>
        </w:rPr>
        <w:t>Diponti</w:t>
      </w:r>
      <w:r w:rsidRPr="00132193">
        <w:rPr>
          <w:sz w:val="20"/>
        </w:rPr>
        <w:t>'s</w:t>
      </w:r>
      <w:r w:rsidRPr="00132193">
        <w:rPr>
          <w:sz w:val="20"/>
        </w:rPr>
        <w:t xml:space="preserve">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35">
    <w:p w:rsidR="00A7120F" w:rsidRPr="00132193" w:rsidP="00A7120F" w14:paraId="06B56827"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36">
    <w:p w:rsidR="00A7120F" w:rsidRPr="00132193" w:rsidP="00A7120F" w14:paraId="78695B82"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6" w:history="1">
        <w:r w:rsidRPr="00132193">
          <w:rPr>
            <w:rStyle w:val="Hyperlink"/>
          </w:rPr>
          <w:t>ARINQUIRIES@fcc.gov</w:t>
        </w:r>
      </w:hyperlink>
      <w:r w:rsidRPr="00132193">
        <w:t xml:space="preserve">.  </w:t>
      </w:r>
    </w:p>
  </w:footnote>
  <w:footnote w:id="37">
    <w:p w:rsidR="00A7120F" w:rsidRPr="004B33E9" w:rsidP="00A7120F" w14:paraId="7CE88508" w14:textId="42E95A68">
      <w:pPr>
        <w:pStyle w:val="FootnoteText"/>
        <w:widowControl w:val="0"/>
      </w:pPr>
      <w:r w:rsidRPr="00132193">
        <w:rPr>
          <w:rStyle w:val="FootnoteReference"/>
        </w:rPr>
        <w:footnoteRef/>
      </w:r>
      <w:r w:rsidRPr="00132193">
        <w:t xml:space="preserve"> Instructions for completing the form may be </w:t>
      </w:r>
      <w:r w:rsidRPr="001A2A87">
        <w:t xml:space="preserve">obtained at </w:t>
      </w:r>
      <w:hyperlink r:id="rId7" w:history="1">
        <w:r w:rsidRPr="0074749E" w:rsidR="001A2A87">
          <w:rPr>
            <w:rStyle w:val="Hyperlink"/>
          </w:rPr>
          <w:t>https://transition.fcc.gov/Forms/Form159/159.pdf</w:t>
        </w:r>
      </w:hyperlink>
      <w:r w:rsidR="001A2A87">
        <w:t xml:space="preserve">. </w:t>
      </w:r>
    </w:p>
  </w:footnote>
  <w:footnote w:id="38">
    <w:p w:rsidR="00A7120F" w:rsidRPr="004B33E9" w:rsidP="00A7120F" w14:paraId="7F447904" w14:textId="77777777">
      <w:pPr>
        <w:pStyle w:val="FootnoteText"/>
        <w:widowControl w:val="0"/>
      </w:pPr>
      <w:r w:rsidRPr="00514C8E">
        <w:rPr>
          <w:rStyle w:val="FootnoteReference"/>
        </w:rPr>
        <w:footnoteRef/>
      </w:r>
      <w:r w:rsidRPr="00514C8E">
        <w:t xml:space="preserve"> </w:t>
      </w:r>
      <w:r w:rsidRPr="00514C8E">
        <w:rPr>
          <w:i/>
        </w:rPr>
        <w:t>See</w:t>
      </w:r>
      <w:r w:rsidRPr="00514C8E">
        <w:t xml:space="preserve"> 47 CFR § 1.1914.</w:t>
      </w:r>
    </w:p>
  </w:footnote>
  <w:footnote w:id="39">
    <w:p w:rsidR="00A7120F" w:rsidP="00A7120F" w14:paraId="00E38B10" w14:textId="659961E0">
      <w:pPr>
        <w:pStyle w:val="FootnoteText"/>
        <w:widowControl w:val="0"/>
      </w:pPr>
      <w:r>
        <w:rPr>
          <w:rStyle w:val="FootnoteReference"/>
        </w:rPr>
        <w:footnoteRef/>
      </w:r>
      <w:r>
        <w:t xml:space="preserve"> 47 CFR §§ 1.16 and 1.80(</w:t>
      </w:r>
      <w:r w:rsidR="00AC2DD4">
        <w:t>g</w:t>
      </w:r>
      <w:r>
        <w:t>)(3).</w:t>
      </w:r>
    </w:p>
  </w:footnote>
  <w:footnote w:id="40">
    <w:p w:rsidR="00A7120F" w:rsidP="00A7120F" w14:paraId="345A9AFD"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w:t>
      </w:r>
      <w:r>
        <w:t>Rcd</w:t>
      </w:r>
      <w:r>
        <w:t xml:space="preserve"> 2788 (2020).</w:t>
      </w:r>
    </w:p>
  </w:footnote>
  <w:footnote w:id="41">
    <w:p w:rsidR="00A7120F" w:rsidP="00A7120F" w14:paraId="12F89BE7" w14:textId="77777777">
      <w:pPr>
        <w:pStyle w:val="FootnoteText"/>
        <w:widowControl w:val="0"/>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6EA4" w:rsidRPr="008D6EA4" w:rsidP="00810B6F" w14:paraId="6C0DFC7A" w14:textId="6F9BB2F4">
    <w:pPr>
      <w:pStyle w:val="Header"/>
    </w:pPr>
    <w:r>
      <w:tab/>
    </w:r>
    <w:r>
      <w:t>Federal Communications Commission</w:t>
    </w:r>
    <w:r>
      <w:tab/>
    </w:r>
    <w:r w:rsidR="00AE2D78">
      <w:t xml:space="preserve">DA </w:t>
    </w:r>
    <w:r w:rsidR="0044571B">
      <w:t>21</w:t>
    </w:r>
    <w:r w:rsidR="00AE2D78">
      <w:t>-</w:t>
    </w:r>
    <w:r>
      <w:t>1177</w:t>
    </w:r>
  </w:p>
  <w:p w:rsidR="00D25FB5" w14:paraId="428B1FF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E55D590"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33315ED" w14:textId="23F54BF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D78">
      <w:rPr>
        <w:spacing w:val="-2"/>
      </w:rPr>
      <w:t>DA 2</w:t>
    </w:r>
    <w:r w:rsidR="0044571B">
      <w:rPr>
        <w:spacing w:val="-2"/>
      </w:rPr>
      <w:t>1</w:t>
    </w:r>
    <w:r w:rsidR="00AE2D78">
      <w:rPr>
        <w:spacing w:val="-2"/>
      </w:rPr>
      <w:t>-</w:t>
    </w:r>
    <w:r w:rsidR="00E16F2D">
      <w:rPr>
        <w:spacing w:val="-2"/>
      </w:rPr>
      <w:t>1177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924E4FEC"/>
    <w:lvl w:ilvl="0">
      <w:start w:val="1"/>
      <w:numFmt w:val="decimal"/>
      <w:lvlText w:val="%1."/>
      <w:lvlJc w:val="left"/>
      <w:pPr>
        <w:tabs>
          <w:tab w:val="num" w:pos="1160"/>
        </w:tabs>
        <w:ind w:left="8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C2A5B46"/>
    <w:multiLevelType w:val="hybridMultilevel"/>
    <w:tmpl w:val="B6CA06A8"/>
    <w:lvl w:ilvl="0">
      <w:start w:val="2"/>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2"/>
  </w:num>
  <w:num w:numId="2">
    <w:abstractNumId w:val="9"/>
  </w:num>
  <w:num w:numId="3">
    <w:abstractNumId w:val="5"/>
  </w:num>
  <w:num w:numId="4">
    <w:abstractNumId w:val="7"/>
  </w:num>
  <w:num w:numId="5">
    <w:abstractNumId w:val="3"/>
  </w:num>
  <w:num w:numId="6">
    <w:abstractNumId w:val="0"/>
  </w:num>
  <w:num w:numId="7">
    <w:abstractNumId w:val="6"/>
  </w:num>
  <w:num w:numId="8">
    <w:abstractNumId w:val="10"/>
  </w:num>
  <w:num w:numId="9">
    <w:abstractNumId w:val="1"/>
  </w:num>
  <w:num w:numId="10">
    <w:abstractNumId w:val="9"/>
    <w:lvlOverride w:ilvl="0">
      <w:startOverride w:val="1"/>
    </w:lvlOverride>
  </w:num>
  <w:num w:numId="11">
    <w:abstractNumId w:val="9"/>
  </w:num>
  <w:num w:numId="12">
    <w:abstractNumId w:val="4"/>
  </w:num>
  <w:num w:numId="13">
    <w:abstractNumId w:val="8"/>
  </w:num>
  <w:num w:numId="14">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78"/>
    <w:rsid w:val="0000095C"/>
    <w:rsid w:val="00014A25"/>
    <w:rsid w:val="0002026E"/>
    <w:rsid w:val="00020F91"/>
    <w:rsid w:val="000210B8"/>
    <w:rsid w:val="00025997"/>
    <w:rsid w:val="00030FC2"/>
    <w:rsid w:val="0003405A"/>
    <w:rsid w:val="00036039"/>
    <w:rsid w:val="00037F90"/>
    <w:rsid w:val="00040606"/>
    <w:rsid w:val="000410C0"/>
    <w:rsid w:val="000437E9"/>
    <w:rsid w:val="00056C13"/>
    <w:rsid w:val="000611E6"/>
    <w:rsid w:val="00075D35"/>
    <w:rsid w:val="00076929"/>
    <w:rsid w:val="000875BF"/>
    <w:rsid w:val="000923FD"/>
    <w:rsid w:val="00092A6F"/>
    <w:rsid w:val="00096D8C"/>
    <w:rsid w:val="000A11C8"/>
    <w:rsid w:val="000A2A51"/>
    <w:rsid w:val="000A6315"/>
    <w:rsid w:val="000A726E"/>
    <w:rsid w:val="000B2B40"/>
    <w:rsid w:val="000B3864"/>
    <w:rsid w:val="000C010D"/>
    <w:rsid w:val="000C0B59"/>
    <w:rsid w:val="000C0B65"/>
    <w:rsid w:val="000C2713"/>
    <w:rsid w:val="000D4E69"/>
    <w:rsid w:val="000E05FE"/>
    <w:rsid w:val="000E3D42"/>
    <w:rsid w:val="000E5765"/>
    <w:rsid w:val="000F0B8A"/>
    <w:rsid w:val="000F2DAD"/>
    <w:rsid w:val="000F3BFA"/>
    <w:rsid w:val="001011DB"/>
    <w:rsid w:val="001046C4"/>
    <w:rsid w:val="00120216"/>
    <w:rsid w:val="001216CE"/>
    <w:rsid w:val="00121F6D"/>
    <w:rsid w:val="00122BD5"/>
    <w:rsid w:val="00132193"/>
    <w:rsid w:val="0013287B"/>
    <w:rsid w:val="00133F79"/>
    <w:rsid w:val="00137016"/>
    <w:rsid w:val="0014400D"/>
    <w:rsid w:val="00145D4B"/>
    <w:rsid w:val="0014794E"/>
    <w:rsid w:val="00155950"/>
    <w:rsid w:val="00177E7D"/>
    <w:rsid w:val="00181EEC"/>
    <w:rsid w:val="00186998"/>
    <w:rsid w:val="0019392E"/>
    <w:rsid w:val="00194A66"/>
    <w:rsid w:val="00197841"/>
    <w:rsid w:val="001A2A87"/>
    <w:rsid w:val="001B13B7"/>
    <w:rsid w:val="001B5246"/>
    <w:rsid w:val="001B52E5"/>
    <w:rsid w:val="001B5F46"/>
    <w:rsid w:val="001B7F33"/>
    <w:rsid w:val="001C2556"/>
    <w:rsid w:val="001C4FB5"/>
    <w:rsid w:val="001C60F2"/>
    <w:rsid w:val="001D6BCF"/>
    <w:rsid w:val="001E01CA"/>
    <w:rsid w:val="001E1516"/>
    <w:rsid w:val="001E2B30"/>
    <w:rsid w:val="001E307A"/>
    <w:rsid w:val="001E6B1E"/>
    <w:rsid w:val="002011A6"/>
    <w:rsid w:val="00201D9D"/>
    <w:rsid w:val="00203CC8"/>
    <w:rsid w:val="00212F26"/>
    <w:rsid w:val="002169FD"/>
    <w:rsid w:val="00217E01"/>
    <w:rsid w:val="0022190A"/>
    <w:rsid w:val="00222234"/>
    <w:rsid w:val="00226B4A"/>
    <w:rsid w:val="00226F68"/>
    <w:rsid w:val="00226FB2"/>
    <w:rsid w:val="00242FAC"/>
    <w:rsid w:val="0024351C"/>
    <w:rsid w:val="00244E59"/>
    <w:rsid w:val="00250E60"/>
    <w:rsid w:val="002521B2"/>
    <w:rsid w:val="00254845"/>
    <w:rsid w:val="00254BEE"/>
    <w:rsid w:val="00262650"/>
    <w:rsid w:val="002739A0"/>
    <w:rsid w:val="00275752"/>
    <w:rsid w:val="00275967"/>
    <w:rsid w:val="00275CF5"/>
    <w:rsid w:val="00277180"/>
    <w:rsid w:val="0028082F"/>
    <w:rsid w:val="0028301F"/>
    <w:rsid w:val="00285017"/>
    <w:rsid w:val="002950EC"/>
    <w:rsid w:val="002A1A14"/>
    <w:rsid w:val="002A2D2E"/>
    <w:rsid w:val="002B2977"/>
    <w:rsid w:val="002C00E8"/>
    <w:rsid w:val="002C1B50"/>
    <w:rsid w:val="002C23A1"/>
    <w:rsid w:val="002D40C2"/>
    <w:rsid w:val="002E041A"/>
    <w:rsid w:val="002E35A6"/>
    <w:rsid w:val="002E3B83"/>
    <w:rsid w:val="002F01B8"/>
    <w:rsid w:val="002F44F7"/>
    <w:rsid w:val="00324481"/>
    <w:rsid w:val="00324878"/>
    <w:rsid w:val="00325CD8"/>
    <w:rsid w:val="00325D61"/>
    <w:rsid w:val="003275F6"/>
    <w:rsid w:val="003344E3"/>
    <w:rsid w:val="003364B8"/>
    <w:rsid w:val="00341360"/>
    <w:rsid w:val="00343250"/>
    <w:rsid w:val="00343749"/>
    <w:rsid w:val="00347E89"/>
    <w:rsid w:val="00350C3D"/>
    <w:rsid w:val="00350EE9"/>
    <w:rsid w:val="00354D62"/>
    <w:rsid w:val="00356322"/>
    <w:rsid w:val="003568AC"/>
    <w:rsid w:val="0036418E"/>
    <w:rsid w:val="003660ED"/>
    <w:rsid w:val="00366943"/>
    <w:rsid w:val="003713DD"/>
    <w:rsid w:val="003715FE"/>
    <w:rsid w:val="003729C7"/>
    <w:rsid w:val="00386456"/>
    <w:rsid w:val="00390B9C"/>
    <w:rsid w:val="003A176B"/>
    <w:rsid w:val="003B0550"/>
    <w:rsid w:val="003B694F"/>
    <w:rsid w:val="003C064E"/>
    <w:rsid w:val="003C2570"/>
    <w:rsid w:val="003C67E5"/>
    <w:rsid w:val="003C78E4"/>
    <w:rsid w:val="003C7C8C"/>
    <w:rsid w:val="003E38E1"/>
    <w:rsid w:val="003E6510"/>
    <w:rsid w:val="003E7F17"/>
    <w:rsid w:val="003F171C"/>
    <w:rsid w:val="003F41B4"/>
    <w:rsid w:val="004029B5"/>
    <w:rsid w:val="00403C7A"/>
    <w:rsid w:val="00406A52"/>
    <w:rsid w:val="00412FC5"/>
    <w:rsid w:val="00413F36"/>
    <w:rsid w:val="00422270"/>
    <w:rsid w:val="00422276"/>
    <w:rsid w:val="004242F1"/>
    <w:rsid w:val="0042432B"/>
    <w:rsid w:val="00431BF2"/>
    <w:rsid w:val="00440D17"/>
    <w:rsid w:val="0044571B"/>
    <w:rsid w:val="00445A00"/>
    <w:rsid w:val="00446F14"/>
    <w:rsid w:val="00447598"/>
    <w:rsid w:val="00451B0F"/>
    <w:rsid w:val="00453FF1"/>
    <w:rsid w:val="0046407C"/>
    <w:rsid w:val="0046477F"/>
    <w:rsid w:val="00465896"/>
    <w:rsid w:val="004701EB"/>
    <w:rsid w:val="00471790"/>
    <w:rsid w:val="0047335F"/>
    <w:rsid w:val="00481DD0"/>
    <w:rsid w:val="00490994"/>
    <w:rsid w:val="00490F7F"/>
    <w:rsid w:val="0049479B"/>
    <w:rsid w:val="0049521D"/>
    <w:rsid w:val="004A4379"/>
    <w:rsid w:val="004B30EA"/>
    <w:rsid w:val="004B33E9"/>
    <w:rsid w:val="004B7012"/>
    <w:rsid w:val="004C0E7E"/>
    <w:rsid w:val="004C2EE3"/>
    <w:rsid w:val="004C44C7"/>
    <w:rsid w:val="004D3C6A"/>
    <w:rsid w:val="004D4A2F"/>
    <w:rsid w:val="004D6175"/>
    <w:rsid w:val="004E4A22"/>
    <w:rsid w:val="004F4D11"/>
    <w:rsid w:val="004F4D56"/>
    <w:rsid w:val="00504F74"/>
    <w:rsid w:val="00505710"/>
    <w:rsid w:val="0050645C"/>
    <w:rsid w:val="0050667B"/>
    <w:rsid w:val="0051127D"/>
    <w:rsid w:val="00511968"/>
    <w:rsid w:val="00511C90"/>
    <w:rsid w:val="00514C8E"/>
    <w:rsid w:val="00525F98"/>
    <w:rsid w:val="0052603B"/>
    <w:rsid w:val="00527E80"/>
    <w:rsid w:val="0053298C"/>
    <w:rsid w:val="00537BD6"/>
    <w:rsid w:val="00540259"/>
    <w:rsid w:val="00540DA6"/>
    <w:rsid w:val="00541385"/>
    <w:rsid w:val="00547527"/>
    <w:rsid w:val="005476A9"/>
    <w:rsid w:val="00553E14"/>
    <w:rsid w:val="00553FC2"/>
    <w:rsid w:val="00555D19"/>
    <w:rsid w:val="0055614C"/>
    <w:rsid w:val="00556E77"/>
    <w:rsid w:val="00563BC9"/>
    <w:rsid w:val="00566D06"/>
    <w:rsid w:val="00571F23"/>
    <w:rsid w:val="0057212F"/>
    <w:rsid w:val="00573FFC"/>
    <w:rsid w:val="0057749E"/>
    <w:rsid w:val="00581D3E"/>
    <w:rsid w:val="005A3CFA"/>
    <w:rsid w:val="005A4D87"/>
    <w:rsid w:val="005B2322"/>
    <w:rsid w:val="005B2923"/>
    <w:rsid w:val="005B3DD8"/>
    <w:rsid w:val="005B4905"/>
    <w:rsid w:val="005B5791"/>
    <w:rsid w:val="005B7F04"/>
    <w:rsid w:val="005C12ED"/>
    <w:rsid w:val="005C2209"/>
    <w:rsid w:val="005C3464"/>
    <w:rsid w:val="005C3CF4"/>
    <w:rsid w:val="005D6746"/>
    <w:rsid w:val="005E14C2"/>
    <w:rsid w:val="005E1FDE"/>
    <w:rsid w:val="005F0E03"/>
    <w:rsid w:val="005F282C"/>
    <w:rsid w:val="005F284E"/>
    <w:rsid w:val="005F7BEC"/>
    <w:rsid w:val="00600AB4"/>
    <w:rsid w:val="00603561"/>
    <w:rsid w:val="00607BA5"/>
    <w:rsid w:val="0061097A"/>
    <w:rsid w:val="00610C65"/>
    <w:rsid w:val="0061180A"/>
    <w:rsid w:val="0062071B"/>
    <w:rsid w:val="0062230F"/>
    <w:rsid w:val="00626DAA"/>
    <w:rsid w:val="00626EB6"/>
    <w:rsid w:val="00636C51"/>
    <w:rsid w:val="00650B53"/>
    <w:rsid w:val="00655ACE"/>
    <w:rsid w:val="00655D03"/>
    <w:rsid w:val="00664BAE"/>
    <w:rsid w:val="00677182"/>
    <w:rsid w:val="00683388"/>
    <w:rsid w:val="00683723"/>
    <w:rsid w:val="00683BD4"/>
    <w:rsid w:val="00683F84"/>
    <w:rsid w:val="006857AC"/>
    <w:rsid w:val="00692F2F"/>
    <w:rsid w:val="006A0BEA"/>
    <w:rsid w:val="006A60D5"/>
    <w:rsid w:val="006A6A81"/>
    <w:rsid w:val="006B0B35"/>
    <w:rsid w:val="006B42CE"/>
    <w:rsid w:val="006B60FC"/>
    <w:rsid w:val="006C18EB"/>
    <w:rsid w:val="006C4A34"/>
    <w:rsid w:val="006C6DAD"/>
    <w:rsid w:val="006C70AF"/>
    <w:rsid w:val="006D019D"/>
    <w:rsid w:val="006D4C7A"/>
    <w:rsid w:val="006E7EB5"/>
    <w:rsid w:val="006F2A16"/>
    <w:rsid w:val="006F7393"/>
    <w:rsid w:val="006F7D37"/>
    <w:rsid w:val="0070224F"/>
    <w:rsid w:val="00702C1A"/>
    <w:rsid w:val="00705F9C"/>
    <w:rsid w:val="00706195"/>
    <w:rsid w:val="00710DF1"/>
    <w:rsid w:val="007115F7"/>
    <w:rsid w:val="00712A98"/>
    <w:rsid w:val="007135F7"/>
    <w:rsid w:val="00713C38"/>
    <w:rsid w:val="007143AC"/>
    <w:rsid w:val="00716E72"/>
    <w:rsid w:val="007170FF"/>
    <w:rsid w:val="00731630"/>
    <w:rsid w:val="00743676"/>
    <w:rsid w:val="0074666D"/>
    <w:rsid w:val="0074749E"/>
    <w:rsid w:val="00747C26"/>
    <w:rsid w:val="007505EC"/>
    <w:rsid w:val="00753C45"/>
    <w:rsid w:val="0075574D"/>
    <w:rsid w:val="00762D8E"/>
    <w:rsid w:val="00762DDD"/>
    <w:rsid w:val="00763078"/>
    <w:rsid w:val="00770F52"/>
    <w:rsid w:val="00773331"/>
    <w:rsid w:val="007821D2"/>
    <w:rsid w:val="00785689"/>
    <w:rsid w:val="00787F68"/>
    <w:rsid w:val="007900A2"/>
    <w:rsid w:val="007967CC"/>
    <w:rsid w:val="0079754B"/>
    <w:rsid w:val="007A1E6D"/>
    <w:rsid w:val="007A3CC1"/>
    <w:rsid w:val="007B06FF"/>
    <w:rsid w:val="007B0EB2"/>
    <w:rsid w:val="007B1937"/>
    <w:rsid w:val="007B1D07"/>
    <w:rsid w:val="007B301E"/>
    <w:rsid w:val="007C0A7F"/>
    <w:rsid w:val="007C6043"/>
    <w:rsid w:val="007C71AB"/>
    <w:rsid w:val="007D0E97"/>
    <w:rsid w:val="007D45CE"/>
    <w:rsid w:val="007D504D"/>
    <w:rsid w:val="007E1CE8"/>
    <w:rsid w:val="007F03EE"/>
    <w:rsid w:val="007F5303"/>
    <w:rsid w:val="008049A8"/>
    <w:rsid w:val="00810A28"/>
    <w:rsid w:val="00810B6F"/>
    <w:rsid w:val="00810FE8"/>
    <w:rsid w:val="008116AD"/>
    <w:rsid w:val="00815718"/>
    <w:rsid w:val="00821EEC"/>
    <w:rsid w:val="00822CE0"/>
    <w:rsid w:val="00832F67"/>
    <w:rsid w:val="008338F6"/>
    <w:rsid w:val="00834A10"/>
    <w:rsid w:val="00836E53"/>
    <w:rsid w:val="00841AB1"/>
    <w:rsid w:val="00842EE8"/>
    <w:rsid w:val="00853773"/>
    <w:rsid w:val="0085545E"/>
    <w:rsid w:val="00856F96"/>
    <w:rsid w:val="00860AEC"/>
    <w:rsid w:val="00862C04"/>
    <w:rsid w:val="00862C7D"/>
    <w:rsid w:val="00863CF7"/>
    <w:rsid w:val="008642E2"/>
    <w:rsid w:val="00864999"/>
    <w:rsid w:val="0087629E"/>
    <w:rsid w:val="00880EA6"/>
    <w:rsid w:val="00885FB1"/>
    <w:rsid w:val="008A0535"/>
    <w:rsid w:val="008A3F25"/>
    <w:rsid w:val="008B2CE0"/>
    <w:rsid w:val="008C0C80"/>
    <w:rsid w:val="008C68F1"/>
    <w:rsid w:val="008D30C5"/>
    <w:rsid w:val="008D6EA4"/>
    <w:rsid w:val="008D7515"/>
    <w:rsid w:val="008E0153"/>
    <w:rsid w:val="008E53B3"/>
    <w:rsid w:val="008E5CD8"/>
    <w:rsid w:val="008F5600"/>
    <w:rsid w:val="009002F1"/>
    <w:rsid w:val="00910EC5"/>
    <w:rsid w:val="00913B3D"/>
    <w:rsid w:val="00921803"/>
    <w:rsid w:val="00926503"/>
    <w:rsid w:val="00940218"/>
    <w:rsid w:val="009512E7"/>
    <w:rsid w:val="00954414"/>
    <w:rsid w:val="00957F4D"/>
    <w:rsid w:val="00960C4F"/>
    <w:rsid w:val="00970805"/>
    <w:rsid w:val="009726D8"/>
    <w:rsid w:val="00972E77"/>
    <w:rsid w:val="0097716D"/>
    <w:rsid w:val="009866A4"/>
    <w:rsid w:val="00987F23"/>
    <w:rsid w:val="0099000E"/>
    <w:rsid w:val="00991446"/>
    <w:rsid w:val="009A1484"/>
    <w:rsid w:val="009A2DEF"/>
    <w:rsid w:val="009A5FF8"/>
    <w:rsid w:val="009A621D"/>
    <w:rsid w:val="009A65BD"/>
    <w:rsid w:val="009C4B9E"/>
    <w:rsid w:val="009C5E1D"/>
    <w:rsid w:val="009C705A"/>
    <w:rsid w:val="009D2452"/>
    <w:rsid w:val="009D269D"/>
    <w:rsid w:val="009D7308"/>
    <w:rsid w:val="009E5D02"/>
    <w:rsid w:val="009F6FD8"/>
    <w:rsid w:val="009F76DB"/>
    <w:rsid w:val="00A02418"/>
    <w:rsid w:val="00A041B1"/>
    <w:rsid w:val="00A123DB"/>
    <w:rsid w:val="00A12634"/>
    <w:rsid w:val="00A1359E"/>
    <w:rsid w:val="00A20B95"/>
    <w:rsid w:val="00A2771E"/>
    <w:rsid w:val="00A32C3B"/>
    <w:rsid w:val="00A35413"/>
    <w:rsid w:val="00A35596"/>
    <w:rsid w:val="00A40554"/>
    <w:rsid w:val="00A45F4F"/>
    <w:rsid w:val="00A46FAE"/>
    <w:rsid w:val="00A50D3B"/>
    <w:rsid w:val="00A52908"/>
    <w:rsid w:val="00A53FAF"/>
    <w:rsid w:val="00A55564"/>
    <w:rsid w:val="00A600A9"/>
    <w:rsid w:val="00A61051"/>
    <w:rsid w:val="00A7009C"/>
    <w:rsid w:val="00A7120F"/>
    <w:rsid w:val="00A726ED"/>
    <w:rsid w:val="00A7564A"/>
    <w:rsid w:val="00A80BDA"/>
    <w:rsid w:val="00A811FA"/>
    <w:rsid w:val="00A83757"/>
    <w:rsid w:val="00A90D44"/>
    <w:rsid w:val="00AA228B"/>
    <w:rsid w:val="00AA55B7"/>
    <w:rsid w:val="00AA5B9E"/>
    <w:rsid w:val="00AB0947"/>
    <w:rsid w:val="00AB2407"/>
    <w:rsid w:val="00AB38FE"/>
    <w:rsid w:val="00AB53DF"/>
    <w:rsid w:val="00AB57DA"/>
    <w:rsid w:val="00AB6476"/>
    <w:rsid w:val="00AC2DD4"/>
    <w:rsid w:val="00AC6215"/>
    <w:rsid w:val="00AE2D78"/>
    <w:rsid w:val="00AE4BAF"/>
    <w:rsid w:val="00AE72A8"/>
    <w:rsid w:val="00AF0570"/>
    <w:rsid w:val="00AF0B21"/>
    <w:rsid w:val="00AF227F"/>
    <w:rsid w:val="00B067B6"/>
    <w:rsid w:val="00B07E5C"/>
    <w:rsid w:val="00B10584"/>
    <w:rsid w:val="00B220C6"/>
    <w:rsid w:val="00B24B26"/>
    <w:rsid w:val="00B33C9B"/>
    <w:rsid w:val="00B40D6E"/>
    <w:rsid w:val="00B43A70"/>
    <w:rsid w:val="00B47C4A"/>
    <w:rsid w:val="00B520EB"/>
    <w:rsid w:val="00B529DB"/>
    <w:rsid w:val="00B55374"/>
    <w:rsid w:val="00B57DC5"/>
    <w:rsid w:val="00B61A54"/>
    <w:rsid w:val="00B64766"/>
    <w:rsid w:val="00B67915"/>
    <w:rsid w:val="00B679F1"/>
    <w:rsid w:val="00B77AB2"/>
    <w:rsid w:val="00B811F7"/>
    <w:rsid w:val="00B82DD6"/>
    <w:rsid w:val="00B84E44"/>
    <w:rsid w:val="00B86ED4"/>
    <w:rsid w:val="00B8718C"/>
    <w:rsid w:val="00B92BD3"/>
    <w:rsid w:val="00B94C78"/>
    <w:rsid w:val="00B9653C"/>
    <w:rsid w:val="00B97556"/>
    <w:rsid w:val="00BA5151"/>
    <w:rsid w:val="00BA5DC6"/>
    <w:rsid w:val="00BA6196"/>
    <w:rsid w:val="00BB1F61"/>
    <w:rsid w:val="00BB563D"/>
    <w:rsid w:val="00BB5E1D"/>
    <w:rsid w:val="00BC6D8C"/>
    <w:rsid w:val="00BD3CD6"/>
    <w:rsid w:val="00BD484A"/>
    <w:rsid w:val="00BD4DB1"/>
    <w:rsid w:val="00BE4786"/>
    <w:rsid w:val="00BE5C10"/>
    <w:rsid w:val="00BE662A"/>
    <w:rsid w:val="00BF5C1D"/>
    <w:rsid w:val="00BF7CB5"/>
    <w:rsid w:val="00C00B6E"/>
    <w:rsid w:val="00C029B2"/>
    <w:rsid w:val="00C029FB"/>
    <w:rsid w:val="00C02ABB"/>
    <w:rsid w:val="00C123B9"/>
    <w:rsid w:val="00C13DEA"/>
    <w:rsid w:val="00C27B19"/>
    <w:rsid w:val="00C34006"/>
    <w:rsid w:val="00C36B4C"/>
    <w:rsid w:val="00C426B1"/>
    <w:rsid w:val="00C42763"/>
    <w:rsid w:val="00C52B42"/>
    <w:rsid w:val="00C53E1F"/>
    <w:rsid w:val="00C544CC"/>
    <w:rsid w:val="00C573FF"/>
    <w:rsid w:val="00C61CB8"/>
    <w:rsid w:val="00C61D84"/>
    <w:rsid w:val="00C63102"/>
    <w:rsid w:val="00C63222"/>
    <w:rsid w:val="00C64401"/>
    <w:rsid w:val="00C64439"/>
    <w:rsid w:val="00C66160"/>
    <w:rsid w:val="00C721AC"/>
    <w:rsid w:val="00C73E1C"/>
    <w:rsid w:val="00C75785"/>
    <w:rsid w:val="00C81A3F"/>
    <w:rsid w:val="00C81DB0"/>
    <w:rsid w:val="00C820BE"/>
    <w:rsid w:val="00C82698"/>
    <w:rsid w:val="00C84588"/>
    <w:rsid w:val="00C86AB3"/>
    <w:rsid w:val="00C90D6A"/>
    <w:rsid w:val="00C94A28"/>
    <w:rsid w:val="00CA247E"/>
    <w:rsid w:val="00CA6D21"/>
    <w:rsid w:val="00CA6E3C"/>
    <w:rsid w:val="00CB1BA6"/>
    <w:rsid w:val="00CB2315"/>
    <w:rsid w:val="00CB514E"/>
    <w:rsid w:val="00CC2241"/>
    <w:rsid w:val="00CC2A5B"/>
    <w:rsid w:val="00CC72B6"/>
    <w:rsid w:val="00CD087E"/>
    <w:rsid w:val="00CD4E5F"/>
    <w:rsid w:val="00CD7225"/>
    <w:rsid w:val="00CF021F"/>
    <w:rsid w:val="00CF0B18"/>
    <w:rsid w:val="00CF2533"/>
    <w:rsid w:val="00CF5512"/>
    <w:rsid w:val="00CF56A8"/>
    <w:rsid w:val="00D000EC"/>
    <w:rsid w:val="00D0174B"/>
    <w:rsid w:val="00D0218D"/>
    <w:rsid w:val="00D14201"/>
    <w:rsid w:val="00D25FB5"/>
    <w:rsid w:val="00D2667A"/>
    <w:rsid w:val="00D31C28"/>
    <w:rsid w:val="00D36FF9"/>
    <w:rsid w:val="00D423B0"/>
    <w:rsid w:val="00D42B3B"/>
    <w:rsid w:val="00D44223"/>
    <w:rsid w:val="00D50E50"/>
    <w:rsid w:val="00D5367E"/>
    <w:rsid w:val="00D55DAF"/>
    <w:rsid w:val="00D57BEE"/>
    <w:rsid w:val="00D6034F"/>
    <w:rsid w:val="00D64CDA"/>
    <w:rsid w:val="00D64E57"/>
    <w:rsid w:val="00D666C8"/>
    <w:rsid w:val="00D66DD6"/>
    <w:rsid w:val="00D72354"/>
    <w:rsid w:val="00D74CC9"/>
    <w:rsid w:val="00D8049E"/>
    <w:rsid w:val="00D85509"/>
    <w:rsid w:val="00D91495"/>
    <w:rsid w:val="00D9349C"/>
    <w:rsid w:val="00D972A2"/>
    <w:rsid w:val="00D97E9A"/>
    <w:rsid w:val="00DA04C7"/>
    <w:rsid w:val="00DA2529"/>
    <w:rsid w:val="00DA5F1C"/>
    <w:rsid w:val="00DA6849"/>
    <w:rsid w:val="00DB130A"/>
    <w:rsid w:val="00DB1E8F"/>
    <w:rsid w:val="00DB2286"/>
    <w:rsid w:val="00DB2EBB"/>
    <w:rsid w:val="00DB56D6"/>
    <w:rsid w:val="00DB5D48"/>
    <w:rsid w:val="00DC10A1"/>
    <w:rsid w:val="00DC655F"/>
    <w:rsid w:val="00DC7C49"/>
    <w:rsid w:val="00DD0499"/>
    <w:rsid w:val="00DD0B59"/>
    <w:rsid w:val="00DD10C6"/>
    <w:rsid w:val="00DD4998"/>
    <w:rsid w:val="00DD728C"/>
    <w:rsid w:val="00DD7E8F"/>
    <w:rsid w:val="00DD7EBD"/>
    <w:rsid w:val="00DE4C6E"/>
    <w:rsid w:val="00DE5C14"/>
    <w:rsid w:val="00DF3AE8"/>
    <w:rsid w:val="00DF62B6"/>
    <w:rsid w:val="00E01AAB"/>
    <w:rsid w:val="00E01DEB"/>
    <w:rsid w:val="00E020A5"/>
    <w:rsid w:val="00E07225"/>
    <w:rsid w:val="00E0786C"/>
    <w:rsid w:val="00E07BBB"/>
    <w:rsid w:val="00E10256"/>
    <w:rsid w:val="00E12786"/>
    <w:rsid w:val="00E16F2D"/>
    <w:rsid w:val="00E23B79"/>
    <w:rsid w:val="00E23D51"/>
    <w:rsid w:val="00E24E97"/>
    <w:rsid w:val="00E27D2E"/>
    <w:rsid w:val="00E4519B"/>
    <w:rsid w:val="00E4654F"/>
    <w:rsid w:val="00E4775B"/>
    <w:rsid w:val="00E506C2"/>
    <w:rsid w:val="00E51FA9"/>
    <w:rsid w:val="00E521FC"/>
    <w:rsid w:val="00E52F85"/>
    <w:rsid w:val="00E53B67"/>
    <w:rsid w:val="00E5409F"/>
    <w:rsid w:val="00E55CA4"/>
    <w:rsid w:val="00E67D56"/>
    <w:rsid w:val="00E700E1"/>
    <w:rsid w:val="00E716DE"/>
    <w:rsid w:val="00E73584"/>
    <w:rsid w:val="00E74AE7"/>
    <w:rsid w:val="00E74B25"/>
    <w:rsid w:val="00E771A2"/>
    <w:rsid w:val="00E77E92"/>
    <w:rsid w:val="00E85474"/>
    <w:rsid w:val="00E863B4"/>
    <w:rsid w:val="00E965AB"/>
    <w:rsid w:val="00EB7854"/>
    <w:rsid w:val="00EC73EC"/>
    <w:rsid w:val="00ED20BA"/>
    <w:rsid w:val="00EE6488"/>
    <w:rsid w:val="00EE66C9"/>
    <w:rsid w:val="00EE6BC8"/>
    <w:rsid w:val="00EF1808"/>
    <w:rsid w:val="00EF47D7"/>
    <w:rsid w:val="00F00C61"/>
    <w:rsid w:val="00F021FA"/>
    <w:rsid w:val="00F03335"/>
    <w:rsid w:val="00F03E36"/>
    <w:rsid w:val="00F04C39"/>
    <w:rsid w:val="00F135C7"/>
    <w:rsid w:val="00F1542D"/>
    <w:rsid w:val="00F23B4B"/>
    <w:rsid w:val="00F32824"/>
    <w:rsid w:val="00F51C6A"/>
    <w:rsid w:val="00F52027"/>
    <w:rsid w:val="00F576AA"/>
    <w:rsid w:val="00F60863"/>
    <w:rsid w:val="00F62E97"/>
    <w:rsid w:val="00F64209"/>
    <w:rsid w:val="00F70083"/>
    <w:rsid w:val="00F73278"/>
    <w:rsid w:val="00F738BD"/>
    <w:rsid w:val="00F93BF5"/>
    <w:rsid w:val="00FB3031"/>
    <w:rsid w:val="00FC0289"/>
    <w:rsid w:val="00FD6C53"/>
    <w:rsid w:val="00FE1F8A"/>
    <w:rsid w:val="00FE360C"/>
    <w:rsid w:val="00FE5A80"/>
    <w:rsid w:val="00FF00B9"/>
    <w:rsid w:val="00FF09FE"/>
    <w:rsid w:val="00FF108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7F313DA"/>
  <w15:chartTrackingRefBased/>
  <w15:docId w15:val="{D2FBF0ED-D588-4EA6-818D-BB7AC6D2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EA4"/>
    <w:pPr>
      <w:widowControl w:val="0"/>
    </w:pPr>
    <w:rPr>
      <w:snapToGrid w:val="0"/>
      <w:kern w:val="28"/>
      <w:sz w:val="22"/>
    </w:rPr>
  </w:style>
  <w:style w:type="paragraph" w:styleId="Heading1">
    <w:name w:val="heading 1"/>
    <w:basedOn w:val="Normal"/>
    <w:next w:val="ParaNum"/>
    <w:qFormat/>
    <w:rsid w:val="008D6EA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D6EA4"/>
    <w:pPr>
      <w:keepNext/>
      <w:numPr>
        <w:ilvl w:val="1"/>
        <w:numId w:val="3"/>
      </w:numPr>
      <w:spacing w:after="120"/>
      <w:outlineLvl w:val="1"/>
    </w:pPr>
    <w:rPr>
      <w:b/>
    </w:rPr>
  </w:style>
  <w:style w:type="paragraph" w:styleId="Heading3">
    <w:name w:val="heading 3"/>
    <w:basedOn w:val="Normal"/>
    <w:next w:val="ParaNum"/>
    <w:qFormat/>
    <w:rsid w:val="008D6EA4"/>
    <w:pPr>
      <w:keepNext/>
      <w:numPr>
        <w:ilvl w:val="2"/>
        <w:numId w:val="3"/>
      </w:numPr>
      <w:tabs>
        <w:tab w:val="left" w:pos="2160"/>
      </w:tabs>
      <w:spacing w:after="120"/>
      <w:outlineLvl w:val="2"/>
    </w:pPr>
    <w:rPr>
      <w:b/>
    </w:rPr>
  </w:style>
  <w:style w:type="paragraph" w:styleId="Heading4">
    <w:name w:val="heading 4"/>
    <w:basedOn w:val="Normal"/>
    <w:next w:val="ParaNum"/>
    <w:qFormat/>
    <w:rsid w:val="008D6EA4"/>
    <w:pPr>
      <w:keepNext/>
      <w:numPr>
        <w:ilvl w:val="3"/>
        <w:numId w:val="3"/>
      </w:numPr>
      <w:tabs>
        <w:tab w:val="left" w:pos="2880"/>
      </w:tabs>
      <w:spacing w:after="120"/>
      <w:outlineLvl w:val="3"/>
    </w:pPr>
    <w:rPr>
      <w:b/>
    </w:rPr>
  </w:style>
  <w:style w:type="paragraph" w:styleId="Heading5">
    <w:name w:val="heading 5"/>
    <w:basedOn w:val="Normal"/>
    <w:next w:val="ParaNum"/>
    <w:qFormat/>
    <w:rsid w:val="008D6EA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D6EA4"/>
    <w:pPr>
      <w:numPr>
        <w:ilvl w:val="5"/>
        <w:numId w:val="3"/>
      </w:numPr>
      <w:tabs>
        <w:tab w:val="left" w:pos="4320"/>
      </w:tabs>
      <w:spacing w:after="120"/>
      <w:outlineLvl w:val="5"/>
    </w:pPr>
    <w:rPr>
      <w:b/>
    </w:rPr>
  </w:style>
  <w:style w:type="paragraph" w:styleId="Heading7">
    <w:name w:val="heading 7"/>
    <w:basedOn w:val="Normal"/>
    <w:next w:val="ParaNum"/>
    <w:qFormat/>
    <w:rsid w:val="008D6EA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D6EA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D6EA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D6E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6EA4"/>
  </w:style>
  <w:style w:type="paragraph" w:customStyle="1" w:styleId="ParaNum">
    <w:name w:val="ParaNum"/>
    <w:basedOn w:val="Normal"/>
    <w:link w:val="ParaNumChar"/>
    <w:rsid w:val="008D6EA4"/>
    <w:pPr>
      <w:numPr>
        <w:numId w:val="2"/>
      </w:numPr>
      <w:tabs>
        <w:tab w:val="clear" w:pos="1080"/>
        <w:tab w:val="num" w:pos="1440"/>
      </w:tabs>
      <w:spacing w:after="120"/>
    </w:pPr>
  </w:style>
  <w:style w:type="paragraph" w:styleId="EndnoteText">
    <w:name w:val="endnote text"/>
    <w:basedOn w:val="Normal"/>
    <w:semiHidden/>
    <w:rsid w:val="008D6EA4"/>
    <w:rPr>
      <w:sz w:val="20"/>
    </w:rPr>
  </w:style>
  <w:style w:type="character" w:styleId="EndnoteReference">
    <w:name w:val="endnote reference"/>
    <w:semiHidden/>
    <w:rsid w:val="008D6EA4"/>
    <w:rPr>
      <w:vertAlign w:val="superscript"/>
    </w:rPr>
  </w:style>
  <w:style w:type="paragraph" w:styleId="FootnoteText">
    <w:name w:val="footnote text"/>
    <w:aliases w:val="Footnote Text Char,Footnote Text Char Char Char4 Char,Footnote Text Char1,Footnote Text Char3,Footnote Text Char4 Char1 Char,Footnote Text Char4 Char1 Char Char Char Char,Footnote Text Char7 Char,Footnote Text Char7 Char Char Char Char,f"/>
    <w:link w:val="FootnoteTextChar2"/>
    <w:rsid w:val="008D6EA4"/>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8D6EA4"/>
    <w:rPr>
      <w:rFonts w:ascii="Times New Roman" w:hAnsi="Times New Roman"/>
      <w:dstrike w:val="0"/>
      <w:color w:val="auto"/>
      <w:sz w:val="20"/>
      <w:vertAlign w:val="superscript"/>
    </w:rPr>
  </w:style>
  <w:style w:type="paragraph" w:styleId="TOC1">
    <w:name w:val="toc 1"/>
    <w:basedOn w:val="Normal"/>
    <w:next w:val="Normal"/>
    <w:semiHidden/>
    <w:rsid w:val="008D6EA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D6EA4"/>
    <w:pPr>
      <w:tabs>
        <w:tab w:val="left" w:pos="720"/>
        <w:tab w:val="right" w:leader="dot" w:pos="9360"/>
      </w:tabs>
      <w:suppressAutoHyphens/>
      <w:ind w:left="720" w:right="720" w:hanging="360"/>
    </w:pPr>
    <w:rPr>
      <w:noProof/>
    </w:rPr>
  </w:style>
  <w:style w:type="paragraph" w:styleId="TOC3">
    <w:name w:val="toc 3"/>
    <w:basedOn w:val="Normal"/>
    <w:next w:val="Normal"/>
    <w:semiHidden/>
    <w:rsid w:val="008D6EA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D6EA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D6EA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D6EA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D6EA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D6EA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D6EA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D6EA4"/>
    <w:pPr>
      <w:tabs>
        <w:tab w:val="right" w:pos="9360"/>
      </w:tabs>
      <w:suppressAutoHyphens/>
    </w:pPr>
  </w:style>
  <w:style w:type="character" w:customStyle="1" w:styleId="EquationCaption">
    <w:name w:val="_Equation Caption"/>
    <w:rsid w:val="008D6EA4"/>
  </w:style>
  <w:style w:type="paragraph" w:styleId="Header">
    <w:name w:val="header"/>
    <w:basedOn w:val="Normal"/>
    <w:autoRedefine/>
    <w:rsid w:val="008D6EA4"/>
    <w:pPr>
      <w:tabs>
        <w:tab w:val="center" w:pos="4680"/>
        <w:tab w:val="right" w:pos="9360"/>
      </w:tabs>
    </w:pPr>
    <w:rPr>
      <w:b/>
    </w:rPr>
  </w:style>
  <w:style w:type="paragraph" w:styleId="Footer">
    <w:name w:val="footer"/>
    <w:basedOn w:val="Normal"/>
    <w:link w:val="FooterChar"/>
    <w:uiPriority w:val="99"/>
    <w:rsid w:val="008D6EA4"/>
    <w:pPr>
      <w:tabs>
        <w:tab w:val="center" w:pos="4320"/>
        <w:tab w:val="right" w:pos="8640"/>
      </w:tabs>
    </w:pPr>
  </w:style>
  <w:style w:type="character" w:styleId="PageNumber">
    <w:name w:val="page number"/>
    <w:basedOn w:val="DefaultParagraphFont"/>
    <w:rsid w:val="008D6EA4"/>
  </w:style>
  <w:style w:type="paragraph" w:styleId="BlockText">
    <w:name w:val="Block Text"/>
    <w:basedOn w:val="Normal"/>
    <w:rsid w:val="008D6EA4"/>
    <w:pPr>
      <w:spacing w:after="240"/>
      <w:ind w:left="1440" w:right="1440"/>
    </w:pPr>
  </w:style>
  <w:style w:type="paragraph" w:customStyle="1" w:styleId="Paratitle">
    <w:name w:val="Para title"/>
    <w:basedOn w:val="Normal"/>
    <w:rsid w:val="008D6EA4"/>
    <w:pPr>
      <w:tabs>
        <w:tab w:val="center" w:pos="9270"/>
      </w:tabs>
      <w:spacing w:after="240"/>
    </w:pPr>
    <w:rPr>
      <w:spacing w:val="-2"/>
    </w:rPr>
  </w:style>
  <w:style w:type="paragraph" w:customStyle="1" w:styleId="Bullet">
    <w:name w:val="Bullet"/>
    <w:basedOn w:val="Normal"/>
    <w:rsid w:val="008D6EA4"/>
    <w:pPr>
      <w:tabs>
        <w:tab w:val="left" w:pos="2160"/>
      </w:tabs>
      <w:spacing w:after="220"/>
      <w:ind w:left="2160" w:hanging="720"/>
    </w:pPr>
  </w:style>
  <w:style w:type="paragraph" w:customStyle="1" w:styleId="TableFormat">
    <w:name w:val="TableFormat"/>
    <w:basedOn w:val="Bullet"/>
    <w:rsid w:val="008D6EA4"/>
    <w:pPr>
      <w:tabs>
        <w:tab w:val="clear" w:pos="2160"/>
        <w:tab w:val="left" w:pos="5040"/>
      </w:tabs>
      <w:ind w:left="5040" w:hanging="3600"/>
    </w:pPr>
  </w:style>
  <w:style w:type="paragraph" w:customStyle="1" w:styleId="TOCTitle">
    <w:name w:val="TOC Title"/>
    <w:basedOn w:val="Normal"/>
    <w:rsid w:val="008D6EA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D6EA4"/>
    <w:pPr>
      <w:jc w:val="center"/>
    </w:pPr>
    <w:rPr>
      <w:rFonts w:ascii="Times New Roman Bold" w:hAnsi="Times New Roman Bold"/>
      <w:b/>
      <w:bCs/>
      <w:caps/>
      <w:szCs w:val="22"/>
    </w:rPr>
  </w:style>
  <w:style w:type="character" w:styleId="Hyperlink">
    <w:name w:val="Hyperlink"/>
    <w:rsid w:val="008D6EA4"/>
    <w:rPr>
      <w:color w:val="0000FF"/>
      <w:u w:val="single"/>
    </w:rPr>
  </w:style>
  <w:style w:type="character" w:customStyle="1" w:styleId="FooterChar">
    <w:name w:val="Footer Char"/>
    <w:link w:val="Footer"/>
    <w:uiPriority w:val="99"/>
    <w:rsid w:val="008D6EA4"/>
    <w:rPr>
      <w:snapToGrid w:val="0"/>
      <w:kern w:val="28"/>
      <w:sz w:val="22"/>
    </w:rPr>
  </w:style>
  <w:style w:type="paragraph" w:styleId="BalloonText">
    <w:name w:val="Balloon Text"/>
    <w:basedOn w:val="Normal"/>
    <w:link w:val="BalloonTextChar"/>
    <w:rsid w:val="00AE2D78"/>
    <w:rPr>
      <w:rFonts w:ascii="Segoe UI" w:hAnsi="Segoe UI" w:cs="Segoe UI"/>
      <w:sz w:val="18"/>
      <w:szCs w:val="18"/>
    </w:rPr>
  </w:style>
  <w:style w:type="character" w:customStyle="1" w:styleId="BalloonTextChar">
    <w:name w:val="Balloon Text Char"/>
    <w:basedOn w:val="DefaultParagraphFont"/>
    <w:link w:val="BalloonText"/>
    <w:rsid w:val="00AE2D78"/>
    <w:rPr>
      <w:rFonts w:ascii="Segoe UI" w:hAnsi="Segoe UI" w:cs="Segoe UI"/>
      <w:snapToGrid w:val="0"/>
      <w:kern w:val="28"/>
      <w:sz w:val="18"/>
      <w:szCs w:val="18"/>
    </w:rPr>
  </w:style>
  <w:style w:type="character" w:customStyle="1" w:styleId="FootnoteTextChar2">
    <w:name w:val="Footnote Text Char2"/>
    <w:aliases w:val="Footnote Text Char Char,Footnote Text Char Char Char4 Char Char,Footnote Text Char1 Char,Footnote Text Char3 Char,Footnote Text Char4 Char1 Char Char,Footnote Text Char4 Char1 Char Char Char Char Char,Footnote Text Char7 Char Char"/>
    <w:link w:val="FootnoteText"/>
    <w:rsid w:val="00AE2D78"/>
  </w:style>
  <w:style w:type="character" w:customStyle="1" w:styleId="ParaNumChar">
    <w:name w:val="ParaNum Char"/>
    <w:link w:val="ParaNum"/>
    <w:locked/>
    <w:rsid w:val="00AE2D78"/>
    <w:rPr>
      <w:snapToGrid w:val="0"/>
      <w:kern w:val="28"/>
      <w:sz w:val="22"/>
    </w:rPr>
  </w:style>
  <w:style w:type="character" w:styleId="Emphasis">
    <w:name w:val="Emphasis"/>
    <w:uiPriority w:val="20"/>
    <w:qFormat/>
    <w:rsid w:val="00AE2D78"/>
    <w:rPr>
      <w:i/>
      <w:iCs/>
    </w:rPr>
  </w:style>
  <w:style w:type="character" w:customStyle="1" w:styleId="cosearchterm">
    <w:name w:val="co_searchterm"/>
    <w:rsid w:val="00AE2D78"/>
  </w:style>
  <w:style w:type="character" w:styleId="CommentReference">
    <w:name w:val="annotation reference"/>
    <w:basedOn w:val="DefaultParagraphFont"/>
    <w:rsid w:val="00AE2D78"/>
    <w:rPr>
      <w:sz w:val="16"/>
      <w:szCs w:val="16"/>
    </w:rPr>
  </w:style>
  <w:style w:type="paragraph" w:styleId="CommentText">
    <w:name w:val="annotation text"/>
    <w:basedOn w:val="Normal"/>
    <w:link w:val="CommentTextChar"/>
    <w:rsid w:val="00AE2D78"/>
    <w:rPr>
      <w:sz w:val="20"/>
    </w:rPr>
  </w:style>
  <w:style w:type="character" w:customStyle="1" w:styleId="CommentTextChar">
    <w:name w:val="Comment Text Char"/>
    <w:basedOn w:val="DefaultParagraphFont"/>
    <w:link w:val="CommentText"/>
    <w:rsid w:val="00AE2D78"/>
    <w:rPr>
      <w:rFonts w:eastAsia="SimSun"/>
    </w:rPr>
  </w:style>
  <w:style w:type="paragraph" w:styleId="CommentSubject">
    <w:name w:val="annotation subject"/>
    <w:basedOn w:val="CommentText"/>
    <w:next w:val="CommentText"/>
    <w:link w:val="CommentSubjectChar"/>
    <w:rsid w:val="00C61CB8"/>
    <w:rPr>
      <w:b/>
      <w:bCs/>
    </w:rPr>
  </w:style>
  <w:style w:type="character" w:customStyle="1" w:styleId="CommentSubjectChar">
    <w:name w:val="Comment Subject Char"/>
    <w:basedOn w:val="CommentTextChar"/>
    <w:link w:val="CommentSubject"/>
    <w:rsid w:val="00C61CB8"/>
    <w:rPr>
      <w:rFonts w:eastAsia="SimSun"/>
      <w:b/>
      <w:bCs/>
    </w:rPr>
  </w:style>
  <w:style w:type="character" w:customStyle="1" w:styleId="UnresolvedMention1">
    <w:name w:val="Unresolved Mention1"/>
    <w:basedOn w:val="DefaultParagraphFont"/>
    <w:uiPriority w:val="99"/>
    <w:semiHidden/>
    <w:unhideWhenUsed/>
    <w:rsid w:val="00505710"/>
    <w:rPr>
      <w:color w:val="605E5C"/>
      <w:shd w:val="clear" w:color="auto" w:fill="E1DFDD"/>
    </w:rPr>
  </w:style>
  <w:style w:type="character" w:customStyle="1" w:styleId="UnresolvedMention">
    <w:name w:val="Unresolved Mention"/>
    <w:basedOn w:val="DefaultParagraphFont"/>
    <w:rsid w:val="001A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1.next.westlaw.com/Link/Document/FullText?findType=Y&amp;serNum=1997263097&amp;pubNum=0004493&amp;originatingDoc=I7d944119fdff11dfaa23bccc834e9520&amp;refType=CA&amp;fi=co_pp_sp_4493_17113&amp;originationContext=document&amp;transitionType=DocumentItem&amp;contextData=(sc.Search)" TargetMode="External" /><Relationship Id="rId2" Type="http://schemas.openxmlformats.org/officeDocument/2006/relationships/hyperlink" Target="https://1.next.westlaw.com/Link/Document/FullText?findType=Y&amp;serNum=1999290806&amp;pubNum=0004493&amp;originatingDoc=I7d944119fdff11dfaa23bccc834e9520&amp;refType=CA&amp;originationContext=document&amp;transitionType=DocumentItem&amp;contextData=(sc.Search)" TargetMode="External" /><Relationship Id="rId3" Type="http://schemas.openxmlformats.org/officeDocument/2006/relationships/hyperlink" Target="https://1.next.westlaw.com/Link/Document/FullText?findType=L&amp;pubNum=1000547&amp;cite=47CFRS1.80&amp;originatingDoc=I7d944119fdff11dfaa23bccc834e9520&amp;refType=RB&amp;originationContext=document&amp;transitionType=DocumentItem&amp;contextData=(sc.Search)" TargetMode="External" /><Relationship Id="rId4" Type="http://schemas.openxmlformats.org/officeDocument/2006/relationships/hyperlink" Target="https://1.next.westlaw.com/Link/Document/FullText?findType=L&amp;pubNum=1000546&amp;cite=47USCAS503&amp;originatingDoc=I7d944119fdff11dfaa23bccc834e9520&amp;refType=RB&amp;originationContext=document&amp;transitionType=DocumentItem&amp;contextData=(sc.Search)" TargetMode="External" /><Relationship Id="rId5" Type="http://schemas.openxmlformats.org/officeDocument/2006/relationships/hyperlink" Target="https://1.next.westlaw.com/Link/Document/FullText?findType=Y&amp;serNum=1997263097&amp;pubNum=4493&amp;originatingDoc=I7d944119fdff11dfaa23bccc834e9520&amp;refType=CA&amp;fi=co_pp_sp_4493_17100&amp;originationContext=document&amp;transitionType=DocumentItem&amp;contextData=(sc.Search)" TargetMode="External" /><Relationship Id="rId6" Type="http://schemas.openxmlformats.org/officeDocument/2006/relationships/hyperlink" Target="mailto:ARINQUIRIES@fcc.gov" TargetMode="External" /><Relationship Id="rId7" Type="http://schemas.openxmlformats.org/officeDocument/2006/relationships/hyperlink" Target="https://transition.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