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0F6D" w14:paraId="0A9992BE" w14:textId="77777777">
      <w:pPr>
        <w:jc w:val="center"/>
        <w:rPr>
          <w:b/>
        </w:rPr>
      </w:pPr>
      <w:r>
        <w:rPr>
          <w:rFonts w:ascii="Times New Roman Bold" w:hAnsi="Times New Roman Bold"/>
          <w:b/>
          <w:kern w:val="0"/>
          <w:szCs w:val="22"/>
        </w:rPr>
        <w:t>Before</w:t>
      </w:r>
      <w:r>
        <w:rPr>
          <w:b/>
        </w:rPr>
        <w:t xml:space="preserve"> the</w:t>
      </w:r>
    </w:p>
    <w:p w:rsidR="00A50F6D" w14:paraId="409F3154" w14:textId="77777777">
      <w:pPr>
        <w:pStyle w:val="StyleBoldCentered"/>
      </w:pPr>
      <w:r>
        <w:t>F</w:t>
      </w:r>
      <w:r>
        <w:rPr>
          <w:caps w:val="0"/>
        </w:rPr>
        <w:t>ederal Communications Commission</w:t>
      </w:r>
    </w:p>
    <w:p w:rsidR="00A50F6D" w14:paraId="36344719" w14:textId="77777777">
      <w:pPr>
        <w:pStyle w:val="StyleBoldCentered"/>
      </w:pPr>
      <w:r>
        <w:rPr>
          <w:caps w:val="0"/>
        </w:rPr>
        <w:t>Washington, D.C. 20554</w:t>
      </w:r>
    </w:p>
    <w:p w:rsidR="00A50F6D" w14:paraId="0E984CEC" w14:textId="77777777"/>
    <w:p w:rsidR="00A50F6D" w14:paraId="03CBAE1D" w14:textId="77777777"/>
    <w:tbl>
      <w:tblPr>
        <w:tblW w:w="0" w:type="auto"/>
        <w:tblLayout w:type="fixed"/>
        <w:tblLook w:val="0000"/>
      </w:tblPr>
      <w:tblGrid>
        <w:gridCol w:w="4698"/>
        <w:gridCol w:w="630"/>
        <w:gridCol w:w="4248"/>
      </w:tblGrid>
      <w:tr w14:paraId="787E2C6B" w14:textId="77777777">
        <w:tblPrEx>
          <w:tblW w:w="0" w:type="auto"/>
          <w:tblLayout w:type="fixed"/>
          <w:tblLook w:val="0000"/>
        </w:tblPrEx>
        <w:tc>
          <w:tcPr>
            <w:tcW w:w="4698" w:type="dxa"/>
          </w:tcPr>
          <w:p w:rsidR="00A50F6D" w14:paraId="37E340BD" w14:textId="77777777">
            <w:pPr>
              <w:tabs>
                <w:tab w:val="center" w:pos="4680"/>
              </w:tabs>
              <w:suppressAutoHyphens/>
              <w:rPr>
                <w:spacing w:val="-2"/>
              </w:rPr>
            </w:pPr>
            <w:r>
              <w:rPr>
                <w:spacing w:val="-2"/>
              </w:rPr>
              <w:t>In the Matter of</w:t>
            </w:r>
          </w:p>
          <w:p w:rsidR="00A50F6D" w14:paraId="243760F6" w14:textId="77777777">
            <w:pPr>
              <w:tabs>
                <w:tab w:val="center" w:pos="4680"/>
              </w:tabs>
              <w:suppressAutoHyphens/>
              <w:rPr>
                <w:spacing w:val="-2"/>
              </w:rPr>
            </w:pPr>
          </w:p>
          <w:p w:rsidR="00A50F6D" w14:paraId="7B8F9016" w14:textId="77777777">
            <w:pPr>
              <w:tabs>
                <w:tab w:val="center" w:pos="4680"/>
              </w:tabs>
              <w:suppressAutoHyphens/>
              <w:rPr>
                <w:spacing w:val="-2"/>
              </w:rPr>
            </w:pPr>
            <w:r>
              <w:rPr>
                <w:spacing w:val="-2"/>
              </w:rPr>
              <w:t>Closed Captioning of Internet Protocol-Delivered Video Programming: Implementation of the Twenty-First Century Communications and Video Accessibility Act of 2010</w:t>
            </w:r>
          </w:p>
        </w:tc>
        <w:tc>
          <w:tcPr>
            <w:tcW w:w="630" w:type="dxa"/>
          </w:tcPr>
          <w:p w:rsidR="00A50F6D" w14:paraId="4D978A36" w14:textId="77777777">
            <w:pPr>
              <w:tabs>
                <w:tab w:val="center" w:pos="4680"/>
              </w:tabs>
              <w:suppressAutoHyphens/>
              <w:rPr>
                <w:b/>
                <w:spacing w:val="-2"/>
              </w:rPr>
            </w:pPr>
            <w:r>
              <w:rPr>
                <w:b/>
                <w:spacing w:val="-2"/>
              </w:rPr>
              <w:t>)</w:t>
            </w:r>
          </w:p>
          <w:p w:rsidR="00A50F6D" w14:paraId="499E1AF3" w14:textId="77777777">
            <w:pPr>
              <w:tabs>
                <w:tab w:val="center" w:pos="4680"/>
              </w:tabs>
              <w:suppressAutoHyphens/>
              <w:rPr>
                <w:b/>
                <w:spacing w:val="-2"/>
              </w:rPr>
            </w:pPr>
            <w:r>
              <w:rPr>
                <w:b/>
                <w:spacing w:val="-2"/>
              </w:rPr>
              <w:t>)</w:t>
            </w:r>
          </w:p>
          <w:p w:rsidR="00A50F6D" w14:paraId="517CB43E" w14:textId="77777777">
            <w:pPr>
              <w:tabs>
                <w:tab w:val="center" w:pos="4680"/>
              </w:tabs>
              <w:suppressAutoHyphens/>
              <w:rPr>
                <w:b/>
                <w:spacing w:val="-2"/>
              </w:rPr>
            </w:pPr>
            <w:r>
              <w:rPr>
                <w:b/>
                <w:spacing w:val="-2"/>
              </w:rPr>
              <w:t>)</w:t>
            </w:r>
          </w:p>
          <w:p w:rsidR="00A50F6D" w14:paraId="381B91CE" w14:textId="77777777">
            <w:pPr>
              <w:tabs>
                <w:tab w:val="center" w:pos="4680"/>
              </w:tabs>
              <w:suppressAutoHyphens/>
              <w:rPr>
                <w:b/>
                <w:spacing w:val="-2"/>
              </w:rPr>
            </w:pPr>
            <w:r>
              <w:rPr>
                <w:b/>
                <w:spacing w:val="-2"/>
              </w:rPr>
              <w:t>)</w:t>
            </w:r>
          </w:p>
          <w:p w:rsidR="00A50F6D" w14:paraId="14B5592A" w14:textId="77777777">
            <w:pPr>
              <w:tabs>
                <w:tab w:val="center" w:pos="4680"/>
              </w:tabs>
              <w:suppressAutoHyphens/>
              <w:rPr>
                <w:b/>
                <w:spacing w:val="-2"/>
              </w:rPr>
            </w:pPr>
            <w:r>
              <w:rPr>
                <w:b/>
                <w:spacing w:val="-2"/>
              </w:rPr>
              <w:t>)</w:t>
            </w:r>
          </w:p>
          <w:p w:rsidR="00A50F6D" w14:paraId="517606F7" w14:textId="5110700B">
            <w:pPr>
              <w:tabs>
                <w:tab w:val="center" w:pos="4680"/>
              </w:tabs>
              <w:suppressAutoHyphens/>
              <w:rPr>
                <w:b/>
                <w:spacing w:val="-2"/>
              </w:rPr>
            </w:pPr>
            <w:r>
              <w:rPr>
                <w:b/>
                <w:spacing w:val="-2"/>
              </w:rPr>
              <w:t>)</w:t>
            </w:r>
          </w:p>
        </w:tc>
        <w:tc>
          <w:tcPr>
            <w:tcW w:w="4248" w:type="dxa"/>
          </w:tcPr>
          <w:p w:rsidR="00A50F6D" w14:paraId="37F60E1E" w14:textId="77777777">
            <w:pPr>
              <w:tabs>
                <w:tab w:val="center" w:pos="4680"/>
              </w:tabs>
              <w:suppressAutoHyphens/>
              <w:rPr>
                <w:spacing w:val="-2"/>
              </w:rPr>
            </w:pPr>
          </w:p>
          <w:p w:rsidR="00A50F6D" w14:paraId="75886D50" w14:textId="77777777">
            <w:pPr>
              <w:pStyle w:val="TOAHeading"/>
              <w:tabs>
                <w:tab w:val="center" w:pos="4680"/>
                <w:tab w:val="clear" w:pos="9360"/>
              </w:tabs>
              <w:rPr>
                <w:spacing w:val="-2"/>
              </w:rPr>
            </w:pPr>
          </w:p>
          <w:p w:rsidR="00A50F6D" w14:paraId="0DD67CCB" w14:textId="77777777">
            <w:pPr>
              <w:tabs>
                <w:tab w:val="center" w:pos="4680"/>
              </w:tabs>
              <w:suppressAutoHyphens/>
              <w:rPr>
                <w:spacing w:val="-2"/>
              </w:rPr>
            </w:pPr>
            <w:r>
              <w:rPr>
                <w:spacing w:val="-2"/>
              </w:rPr>
              <w:t>MB Docket No. 11-154</w:t>
            </w:r>
          </w:p>
        </w:tc>
      </w:tr>
    </w:tbl>
    <w:p w:rsidR="00A50F6D" w14:paraId="1B7AF950" w14:textId="77777777"/>
    <w:p w:rsidR="00A50F6D" w14:paraId="57BB3007" w14:textId="27417B00">
      <w:pPr>
        <w:pStyle w:val="StyleBoldCentered"/>
      </w:pPr>
      <w:r>
        <w:t>Order</w:t>
      </w:r>
    </w:p>
    <w:p w:rsidR="00A50F6D" w14:paraId="432E5EB3" w14:textId="77777777">
      <w:pPr>
        <w:tabs>
          <w:tab w:val="left" w:pos="-720"/>
        </w:tabs>
        <w:suppressAutoHyphens/>
        <w:spacing w:line="227" w:lineRule="auto"/>
        <w:rPr>
          <w:spacing w:val="-2"/>
        </w:rPr>
      </w:pPr>
    </w:p>
    <w:p w:rsidR="00A50F6D" w14:paraId="64F3D0EB" w14:textId="1D4E42DC">
      <w:pPr>
        <w:tabs>
          <w:tab w:val="left" w:pos="720"/>
          <w:tab w:val="right" w:pos="9360"/>
        </w:tabs>
        <w:suppressAutoHyphens/>
        <w:spacing w:line="227" w:lineRule="auto"/>
        <w:rPr>
          <w:spacing w:val="-2"/>
        </w:rPr>
      </w:pPr>
      <w:r>
        <w:rPr>
          <w:b/>
          <w:spacing w:val="-2"/>
        </w:rPr>
        <w:t xml:space="preserve">Adopted:  </w:t>
      </w:r>
      <w:r w:rsidR="003D1335">
        <w:rPr>
          <w:b/>
          <w:spacing w:val="-2"/>
        </w:rPr>
        <w:t>September 29, 2021</w:t>
      </w:r>
      <w:r>
        <w:rPr>
          <w:b/>
          <w:spacing w:val="-2"/>
        </w:rPr>
        <w:tab/>
        <w:t xml:space="preserve">Released:  </w:t>
      </w:r>
      <w:r w:rsidR="003D1335">
        <w:rPr>
          <w:b/>
          <w:spacing w:val="-2"/>
        </w:rPr>
        <w:t>September 29, 2021</w:t>
      </w:r>
    </w:p>
    <w:p w:rsidR="00A50F6D" w14:paraId="78A2A3AE" w14:textId="77777777"/>
    <w:p w:rsidR="00A50F6D" w14:paraId="126E4206" w14:textId="77777777">
      <w:pPr>
        <w:rPr>
          <w:spacing w:val="-2"/>
        </w:rPr>
      </w:pPr>
      <w:r>
        <w:t xml:space="preserve">By the </w:t>
      </w:r>
      <w:r>
        <w:rPr>
          <w:spacing w:val="-2"/>
        </w:rPr>
        <w:t>Chief, Media Bureau:</w:t>
      </w:r>
    </w:p>
    <w:p w:rsidR="00A50F6D" w14:paraId="2AE7A4BE" w14:textId="77777777">
      <w:pPr>
        <w:rPr>
          <w:spacing w:val="-2"/>
        </w:rPr>
      </w:pPr>
    </w:p>
    <w:p w:rsidR="00A50F6D" w:rsidP="00A53697" w14:paraId="19F0D911" w14:textId="4D7CB47B">
      <w:pPr>
        <w:pStyle w:val="ParaNum"/>
        <w:rPr>
          <w:szCs w:val="22"/>
        </w:rPr>
      </w:pPr>
      <w:r>
        <w:t>On May 15, 2019, Pluto</w:t>
      </w:r>
      <w:r w:rsidR="1C9BCD78">
        <w:t xml:space="preserve"> Inc.</w:t>
      </w:r>
      <w:r w:rsidR="01E423A6">
        <w:t>, currently a subsidiary of ViacomCBS Inc.,</w:t>
      </w:r>
      <w:r>
        <w:t xml:space="preserve"> filed </w:t>
      </w:r>
      <w:r w:rsidR="43C6A143">
        <w:t xml:space="preserve">a </w:t>
      </w:r>
      <w:r>
        <w:t xml:space="preserve">Petition </w:t>
      </w:r>
      <w:r w:rsidR="5BFEFF15">
        <w:t>for Waiver (Petition)</w:t>
      </w:r>
      <w:r>
        <w:rPr>
          <w:rStyle w:val="FootnoteReference"/>
        </w:rPr>
        <w:footnoteReference w:id="3"/>
      </w:r>
      <w:r w:rsidR="5BFEFF15">
        <w:t xml:space="preserve"> </w:t>
      </w:r>
      <w:r>
        <w:t xml:space="preserve">seeking a temporary waiver of the Commission’s </w:t>
      </w:r>
      <w:r w:rsidR="7234D5FB">
        <w:t>rules requiring closed captioning of video programming delivered through Internet Protocol (IP)</w:t>
      </w:r>
      <w:r>
        <w:t>.</w:t>
      </w:r>
      <w:r>
        <w:rPr>
          <w:rStyle w:val="FootnoteReference"/>
        </w:rPr>
        <w:footnoteReference w:id="4"/>
      </w:r>
      <w:r>
        <w:t xml:space="preserve">  On June 8, 2020, Pluto requested that the Commission suspend consideration of its Petition.</w:t>
      </w:r>
      <w:r>
        <w:rPr>
          <w:rStyle w:val="FootnoteReference"/>
        </w:rPr>
        <w:footnoteReference w:id="5"/>
      </w:r>
      <w:r>
        <w:t xml:space="preserve"> </w:t>
      </w:r>
      <w:r w:rsidR="3E1D68BA">
        <w:t xml:space="preserve"> </w:t>
      </w:r>
      <w:r>
        <w:t xml:space="preserve">On </w:t>
      </w:r>
      <w:r w:rsidR="69D2492B">
        <w:t>September 21, 2021</w:t>
      </w:r>
      <w:r>
        <w:t>, Pluto filed a request to withdraw its Petition.</w:t>
      </w:r>
      <w:r>
        <w:rPr>
          <w:vertAlign w:val="superscript"/>
        </w:rPr>
        <w:footnoteReference w:id="6"/>
      </w:r>
      <w:r>
        <w:t xml:space="preserve">  </w:t>
      </w:r>
    </w:p>
    <w:p w:rsidR="00A50F6D" w:rsidP="00A53697" w14:paraId="440C42FC" w14:textId="77777777">
      <w:pPr>
        <w:pStyle w:val="ParaNum"/>
      </w:pPr>
      <w:r>
        <w:t xml:space="preserve">Accordingly, </w:t>
      </w:r>
      <w:r w:rsidRPr="700E4D73">
        <w:rPr>
          <w:b/>
          <w:bCs/>
        </w:rPr>
        <w:t>IT IS ORDERED</w:t>
      </w:r>
      <w:r>
        <w:t xml:space="preserve"> that pursuant to section 4(i) of the Communications Act of 1934, as amended, 47 U.S.C. § 154(i), and sections 0.283, 1.3 and 1.8 of the Commission’s Rules, 47 CFR §§ 1.3, 1.8, Pluto’s request to withdraw its Petition for Waiver </w:t>
      </w:r>
      <w:r w:rsidRPr="700E4D73">
        <w:rPr>
          <w:b/>
          <w:bCs/>
        </w:rPr>
        <w:t xml:space="preserve">IS GRANTED </w:t>
      </w:r>
      <w:r>
        <w:t xml:space="preserve">and the Petition </w:t>
      </w:r>
      <w:r w:rsidRPr="700E4D73">
        <w:rPr>
          <w:b/>
          <w:bCs/>
        </w:rPr>
        <w:t>IS DISMISSED.</w:t>
      </w:r>
    </w:p>
    <w:p w:rsidR="00A50F6D" w:rsidP="00960D6A" w14:paraId="25729E35" w14:textId="77777777">
      <w:pPr>
        <w:pStyle w:val="ParaNum"/>
        <w:keepNext/>
        <w:keepLines/>
        <w:numPr>
          <w:ilvl w:val="0"/>
          <w:numId w:val="0"/>
        </w:numPr>
        <w:tabs>
          <w:tab w:val="num" w:pos="1440"/>
        </w:tabs>
        <w:ind w:left="720"/>
      </w:pPr>
    </w:p>
    <w:p w:rsidR="00A50F6D" w:rsidP="00960D6A" w14:paraId="392C16DE" w14:textId="77777777">
      <w:pPr>
        <w:keepNext/>
        <w:keepLines/>
      </w:pPr>
      <w:r>
        <w:tab/>
      </w:r>
      <w:r>
        <w:tab/>
      </w:r>
      <w:r>
        <w:tab/>
      </w:r>
      <w:r>
        <w:tab/>
      </w:r>
      <w:r>
        <w:tab/>
      </w:r>
      <w:r>
        <w:tab/>
        <w:t>FEDERAL COMMUNICATIONS COMMISSION</w:t>
      </w:r>
    </w:p>
    <w:p w:rsidR="00A50F6D" w:rsidP="00960D6A" w14:paraId="6B7624A7" w14:textId="77777777">
      <w:pPr>
        <w:keepNext/>
        <w:keepLines/>
      </w:pPr>
    </w:p>
    <w:p w:rsidR="00A50F6D" w:rsidP="00960D6A" w14:paraId="2E690AFD" w14:textId="77777777">
      <w:pPr>
        <w:keepNext/>
        <w:keepLines/>
      </w:pPr>
    </w:p>
    <w:p w:rsidR="00A50F6D" w:rsidP="00960D6A" w14:paraId="0ED74A2E" w14:textId="77777777">
      <w:pPr>
        <w:keepNext/>
        <w:keepLines/>
      </w:pPr>
    </w:p>
    <w:p w:rsidR="00A50F6D" w:rsidP="00960D6A" w14:paraId="74457803" w14:textId="77777777">
      <w:pPr>
        <w:keepNext/>
        <w:keepLines/>
      </w:pPr>
    </w:p>
    <w:p w:rsidR="00A50F6D" w:rsidP="00960D6A" w14:paraId="2819F8DD" w14:textId="77777777">
      <w:pPr>
        <w:keepNext/>
        <w:keepLines/>
      </w:pPr>
      <w:r>
        <w:tab/>
      </w:r>
      <w:r>
        <w:tab/>
      </w:r>
      <w:r>
        <w:tab/>
      </w:r>
      <w:r>
        <w:tab/>
      </w:r>
      <w:r>
        <w:tab/>
      </w:r>
      <w:r>
        <w:tab/>
        <w:t>Michelle M. Carey</w:t>
      </w:r>
    </w:p>
    <w:p w:rsidR="00A50F6D" w:rsidP="00960D6A" w14:paraId="076CEDD0" w14:textId="77777777">
      <w:pPr>
        <w:keepNext/>
        <w:keepLines/>
      </w:pPr>
      <w:r>
        <w:tab/>
      </w:r>
      <w:r>
        <w:tab/>
      </w:r>
      <w:r>
        <w:tab/>
      </w:r>
      <w:r>
        <w:tab/>
      </w:r>
      <w:r>
        <w:tab/>
      </w:r>
      <w:r>
        <w:tab/>
        <w:t>Chief, 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F6D" w14:paraId="0EB55F5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50F6D" w14:paraId="5F1863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F6D" w14:paraId="64A557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50F6D" w14:paraId="361E07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F6D" w14:paraId="580228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0F6D" w14:paraId="13C00F70" w14:textId="77777777">
      <w:r>
        <w:separator/>
      </w:r>
    </w:p>
  </w:footnote>
  <w:footnote w:type="continuationSeparator" w:id="1">
    <w:p w:rsidR="00A50F6D" w14:paraId="523E195F" w14:textId="77777777">
      <w:pPr>
        <w:spacing w:before="120"/>
        <w:rPr>
          <w:sz w:val="20"/>
        </w:rPr>
      </w:pPr>
      <w:r>
        <w:rPr>
          <w:sz w:val="20"/>
        </w:rPr>
        <w:t xml:space="preserve">(Continued from previous page)  </w:t>
      </w:r>
      <w:r>
        <w:rPr>
          <w:sz w:val="20"/>
        </w:rPr>
        <w:separator/>
      </w:r>
    </w:p>
  </w:footnote>
  <w:footnote w:type="continuationNotice" w:id="2">
    <w:p w:rsidR="00A50F6D" w14:paraId="0A71D89F" w14:textId="77777777">
      <w:pPr>
        <w:jc w:val="right"/>
        <w:rPr>
          <w:sz w:val="20"/>
        </w:rPr>
      </w:pPr>
      <w:r>
        <w:rPr>
          <w:sz w:val="20"/>
        </w:rPr>
        <w:t>(continued….)</w:t>
      </w:r>
    </w:p>
  </w:footnote>
  <w:footnote w:id="3">
    <w:p w:rsidR="52BB201F" w:rsidP="00A53697" w14:paraId="290EDFF6" w14:textId="2C12EA29">
      <w:pPr>
        <w:spacing w:after="120"/>
        <w:rPr>
          <w:szCs w:val="22"/>
        </w:rPr>
      </w:pPr>
      <w:r w:rsidRPr="52BB201F">
        <w:rPr>
          <w:rStyle w:val="FootnoteReference"/>
        </w:rPr>
        <w:footnoteRef/>
      </w:r>
      <w:r w:rsidR="700E4D73">
        <w:t xml:space="preserve"> </w:t>
      </w:r>
      <w:r w:rsidRPr="52BB201F" w:rsidR="700E4D73">
        <w:rPr>
          <w:sz w:val="20"/>
        </w:rPr>
        <w:t xml:space="preserve">Petition for Waiver of Pluto, Inc., MB Docket No. 11-154 (filed May 15, 2019) (Petition). </w:t>
      </w:r>
      <w:r w:rsidR="00A53697">
        <w:rPr>
          <w:sz w:val="20"/>
        </w:rPr>
        <w:t xml:space="preserve"> </w:t>
      </w:r>
      <w:r w:rsidRPr="52BB201F" w:rsidR="700E4D73">
        <w:rPr>
          <w:sz w:val="20"/>
        </w:rPr>
        <w:t xml:space="preserve">Pluto initially filed a similar Petition for Waiver seeking relief under an additional legal standard. </w:t>
      </w:r>
      <w:r w:rsidR="00A53697">
        <w:rPr>
          <w:sz w:val="20"/>
        </w:rPr>
        <w:t xml:space="preserve"> </w:t>
      </w:r>
      <w:r w:rsidRPr="00A53697" w:rsidR="700E4D73">
        <w:rPr>
          <w:i/>
          <w:iCs/>
          <w:sz w:val="20"/>
        </w:rPr>
        <w:t>See</w:t>
      </w:r>
      <w:r w:rsidRPr="52BB201F" w:rsidR="700E4D73">
        <w:rPr>
          <w:sz w:val="20"/>
        </w:rPr>
        <w:t xml:space="preserve"> Petition for Waiver of Pluto, Inc., MB Docket No. 11-154 (filed May 13, 2019).  Pluto did not prosecute the earlier Petition, which was not the subject of any public notice, and formally requested to withdraw it on June 8, 2020.  </w:t>
      </w:r>
      <w:r w:rsidRPr="00A53697" w:rsidR="700E4D73">
        <w:rPr>
          <w:i/>
          <w:iCs/>
          <w:sz w:val="20"/>
        </w:rPr>
        <w:t>See</w:t>
      </w:r>
      <w:r w:rsidRPr="52BB201F" w:rsidR="700E4D73">
        <w:rPr>
          <w:sz w:val="20"/>
        </w:rPr>
        <w:t xml:space="preserve"> Letter from Matthew S. DelNero, Counsel to ViacomCBS Inc. and Pluto Inc., to Marlene H. Dortch, Secretary, FCC, MB Docket No. 11-154 (filed June 8, 2020) (Pluto Update to Record).</w:t>
      </w:r>
    </w:p>
  </w:footnote>
  <w:footnote w:id="4">
    <w:p w:rsidR="00A50F6D" w:rsidP="00A53697" w14:paraId="79D403E2" w14:textId="56A15ABC">
      <w:pPr>
        <w:pStyle w:val="FootnoteText"/>
      </w:pPr>
      <w:r>
        <w:rPr>
          <w:rStyle w:val="FootnoteReference"/>
        </w:rPr>
        <w:footnoteRef/>
      </w:r>
      <w:r w:rsidR="700E4D73">
        <w:t xml:space="preserve"> </w:t>
      </w:r>
      <w:r w:rsidRPr="700E4D73" w:rsidR="700E4D73">
        <w:t>47 CFR § 79.4.</w:t>
      </w:r>
      <w:r w:rsidR="700E4D73">
        <w:t xml:space="preserve">  </w:t>
      </w:r>
      <w:r w:rsidRPr="700E4D73" w:rsidR="700E4D73">
        <w:t xml:space="preserve">Pluto amended its waiver request numerous times throughout the proceeding.  </w:t>
      </w:r>
      <w:r w:rsidRPr="700E4D73" w:rsidR="700E4D73">
        <w:rPr>
          <w:i/>
          <w:iCs/>
        </w:rPr>
        <w:t>See</w:t>
      </w:r>
      <w:r w:rsidR="700E4D73">
        <w:t xml:space="preserve"> Comments of Pluto Inc., MB Docket No. 11-154, at 2-3 (filed Feb. 21, 2020); Pluto Update to Record.</w:t>
      </w:r>
    </w:p>
  </w:footnote>
  <w:footnote w:id="5">
    <w:p w:rsidR="00A50F6D" w:rsidP="00A53697" w14:paraId="7F5736ED" w14:textId="77777777">
      <w:pPr>
        <w:pStyle w:val="FootnoteText"/>
      </w:pPr>
      <w:r>
        <w:rPr>
          <w:rStyle w:val="FootnoteReference"/>
        </w:rPr>
        <w:footnoteRef/>
      </w:r>
      <w:r>
        <w:t xml:space="preserve"> Pluto Update to Record at 2.  </w:t>
      </w:r>
    </w:p>
  </w:footnote>
  <w:footnote w:id="6">
    <w:p w:rsidR="00A50F6D" w:rsidRPr="00C646C2" w:rsidP="00A53697" w14:paraId="4FE32466" w14:textId="6D2BD338">
      <w:pPr>
        <w:spacing w:after="120"/>
        <w:rPr>
          <w:i/>
          <w:iCs/>
          <w:color w:val="000000" w:themeColor="text1"/>
          <w:sz w:val="20"/>
        </w:rPr>
      </w:pPr>
      <w:r>
        <w:rPr>
          <w:rStyle w:val="FootnoteReference"/>
        </w:rPr>
        <w:footnoteRef/>
      </w:r>
      <w:r w:rsidR="52BB201F">
        <w:t xml:space="preserve"> </w:t>
      </w:r>
      <w:r w:rsidRPr="52BB201F" w:rsidR="52BB201F">
        <w:rPr>
          <w:color w:val="000000" w:themeColor="text1"/>
          <w:sz w:val="20"/>
        </w:rPr>
        <w:t>Letter from Matthew S. DelNero, Thomas G. Parisi, Counsel to Pluto Inc., to Marlene H. Dortch, Secretary, FCC, MB Docket No. 11-154 (filed Sept</w:t>
      </w:r>
      <w:r w:rsidR="00A53697">
        <w:rPr>
          <w:color w:val="000000" w:themeColor="text1"/>
          <w:sz w:val="20"/>
        </w:rPr>
        <w:t>.</w:t>
      </w:r>
      <w:r w:rsidRPr="52BB201F" w:rsidR="52BB201F">
        <w:rPr>
          <w:color w:val="000000" w:themeColor="text1"/>
          <w:sz w:val="20"/>
        </w:rPr>
        <w:t xml:space="preserve"> 21, 2021).</w:t>
      </w:r>
      <w:r w:rsidR="00C646C2">
        <w:rPr>
          <w:color w:val="000000" w:themeColor="text1"/>
          <w:sz w:val="20"/>
        </w:rPr>
        <w:t xml:space="preserve">  </w:t>
      </w:r>
      <w:r w:rsidRPr="00C646C2" w:rsidR="00C646C2">
        <w:rPr>
          <w:color w:val="000000" w:themeColor="text1"/>
          <w:sz w:val="20"/>
        </w:rPr>
        <w:t xml:space="preserve">The Enforcement Bureau </w:t>
      </w:r>
      <w:r w:rsidR="00C646C2">
        <w:rPr>
          <w:color w:val="000000" w:themeColor="text1"/>
          <w:sz w:val="20"/>
        </w:rPr>
        <w:t xml:space="preserve">subsequently </w:t>
      </w:r>
      <w:r w:rsidRPr="00C646C2" w:rsidR="00C646C2">
        <w:rPr>
          <w:color w:val="000000" w:themeColor="text1"/>
          <w:sz w:val="20"/>
        </w:rPr>
        <w:t>entered into a consent decree with ViacomCBS and Pluto resolving an investigation into whether Pluto violated the Commission’s rules.</w:t>
      </w:r>
      <w:r w:rsidR="00C646C2">
        <w:rPr>
          <w:color w:val="000000" w:themeColor="text1"/>
          <w:sz w:val="20"/>
        </w:rPr>
        <w:t xml:space="preserve">  </w:t>
      </w:r>
      <w:r w:rsidRPr="00C646C2" w:rsidR="00C646C2">
        <w:rPr>
          <w:i/>
          <w:iCs/>
          <w:color w:val="000000" w:themeColor="text1"/>
          <w:sz w:val="20"/>
        </w:rPr>
        <w:t>Pluto Inc.; ViacomCBS Inc.</w:t>
      </w:r>
      <w:r w:rsidRPr="00C646C2" w:rsidR="00C646C2">
        <w:rPr>
          <w:color w:val="000000" w:themeColor="text1"/>
          <w:sz w:val="20"/>
        </w:rPr>
        <w:t xml:space="preserve">, Order and Consent Decree, DA 21-1183 (EB </w:t>
      </w:r>
      <w:r w:rsidR="003D1335">
        <w:rPr>
          <w:color w:val="000000" w:themeColor="text1"/>
          <w:sz w:val="20"/>
        </w:rPr>
        <w:t>Sept</w:t>
      </w:r>
      <w:r w:rsidR="00375500">
        <w:rPr>
          <w:color w:val="000000" w:themeColor="text1"/>
          <w:sz w:val="20"/>
        </w:rPr>
        <w:t>.</w:t>
      </w:r>
      <w:r w:rsidR="003D1335">
        <w:rPr>
          <w:color w:val="000000" w:themeColor="text1"/>
          <w:sz w:val="20"/>
        </w:rPr>
        <w:t xml:space="preserve"> 29</w:t>
      </w:r>
      <w:r w:rsidRPr="00C646C2" w:rsidR="00C646C2">
        <w:rPr>
          <w:color w:val="000000" w:themeColor="text1"/>
          <w:sz w:val="20"/>
        </w:rPr>
        <w:t xml:space="preserve">, 2021).  The consent decree requires ViacomCBS and Pluto to pay a civil penalty and implement a compliance plan designed to ensure Pluto’s compliance with the Commission’s IP closed captioning rules.  </w:t>
      </w:r>
      <w:r w:rsidR="00C646C2">
        <w:rPr>
          <w:i/>
          <w:iCs/>
          <w:color w:val="000000" w:themeColor="text1"/>
          <w:sz w:val="20"/>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F6D" w14:paraId="187C7243" w14:textId="77777777">
    <w:pPr>
      <w:pStyle w:val="Header"/>
      <w:rPr>
        <w:b w:val="0"/>
      </w:rPr>
    </w:pPr>
    <w:r>
      <w:tab/>
      <w:t>Federal Communications Commission</w:t>
    </w:r>
    <w:r>
      <w:tab/>
      <w:t>DA XX-XXX</w:t>
    </w:r>
  </w:p>
  <w:p w:rsidR="00A50F6D" w14:paraId="793841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50F6D" w14:paraId="7E2AC2C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F6D" w14:paraId="141D0FF9" w14:textId="3621EE2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21113A">
      <w:rPr>
        <w:spacing w:val="-2"/>
      </w:rPr>
      <w:t>21-1184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6D"/>
    <w:rsid w:val="0021113A"/>
    <w:rsid w:val="00375500"/>
    <w:rsid w:val="003D1335"/>
    <w:rsid w:val="00960D6A"/>
    <w:rsid w:val="009F0732"/>
    <w:rsid w:val="00A50F6D"/>
    <w:rsid w:val="00A53697"/>
    <w:rsid w:val="00C646C2"/>
    <w:rsid w:val="00D355D3"/>
    <w:rsid w:val="01E423A6"/>
    <w:rsid w:val="063280F4"/>
    <w:rsid w:val="090B4892"/>
    <w:rsid w:val="0913F3E0"/>
    <w:rsid w:val="0D7BFC57"/>
    <w:rsid w:val="0D8C3D51"/>
    <w:rsid w:val="0EB83F86"/>
    <w:rsid w:val="138BB0A9"/>
    <w:rsid w:val="151B5086"/>
    <w:rsid w:val="1C9BCD78"/>
    <w:rsid w:val="201BD06E"/>
    <w:rsid w:val="2AEBB08D"/>
    <w:rsid w:val="2E87F0E6"/>
    <w:rsid w:val="2F1E3877"/>
    <w:rsid w:val="3640B7E2"/>
    <w:rsid w:val="399861D0"/>
    <w:rsid w:val="3E1D68BA"/>
    <w:rsid w:val="3E8C3164"/>
    <w:rsid w:val="43C6A143"/>
    <w:rsid w:val="44F46C22"/>
    <w:rsid w:val="474A9E9F"/>
    <w:rsid w:val="47B94C57"/>
    <w:rsid w:val="4C24F091"/>
    <w:rsid w:val="4D7CF8F3"/>
    <w:rsid w:val="52A374AE"/>
    <w:rsid w:val="52BB201F"/>
    <w:rsid w:val="5BFEFF15"/>
    <w:rsid w:val="5C14C084"/>
    <w:rsid w:val="5EDA929B"/>
    <w:rsid w:val="65F5B58D"/>
    <w:rsid w:val="682EBC3E"/>
    <w:rsid w:val="69D2492B"/>
    <w:rsid w:val="700E4D73"/>
    <w:rsid w:val="71A57828"/>
    <w:rsid w:val="7234D5FB"/>
    <w:rsid w:val="72D2FDA5"/>
    <w:rsid w:val="745A51CC"/>
    <w:rsid w:val="785669BC"/>
    <w:rsid w:val="7C2BB0C4"/>
    <w:rsid w:val="7EE5B4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942919"/>
  <w15:chartTrackingRefBased/>
  <w15:docId w15:val="{0F0B4DF7-3298-4C41-864E-B322C42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75500"/>
    <w:pPr>
      <w:widowControl w:val="0"/>
    </w:pPr>
    <w:rPr>
      <w:snapToGrid w:val="0"/>
      <w:kern w:val="28"/>
      <w:sz w:val="22"/>
    </w:rPr>
  </w:style>
  <w:style w:type="paragraph" w:styleId="Heading1">
    <w:name w:val="heading 1"/>
    <w:basedOn w:val="Normal"/>
    <w:next w:val="ParaNum"/>
    <w:qFormat/>
    <w:rsid w:val="003755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500"/>
    <w:pPr>
      <w:keepNext/>
      <w:numPr>
        <w:ilvl w:val="1"/>
        <w:numId w:val="3"/>
      </w:numPr>
      <w:spacing w:after="120"/>
      <w:outlineLvl w:val="1"/>
    </w:pPr>
    <w:rPr>
      <w:b/>
    </w:rPr>
  </w:style>
  <w:style w:type="paragraph" w:styleId="Heading3">
    <w:name w:val="heading 3"/>
    <w:basedOn w:val="Normal"/>
    <w:next w:val="ParaNum"/>
    <w:qFormat/>
    <w:rsid w:val="00375500"/>
    <w:pPr>
      <w:keepNext/>
      <w:numPr>
        <w:ilvl w:val="2"/>
        <w:numId w:val="3"/>
      </w:numPr>
      <w:tabs>
        <w:tab w:val="left" w:pos="2160"/>
      </w:tabs>
      <w:spacing w:after="120"/>
      <w:outlineLvl w:val="2"/>
    </w:pPr>
    <w:rPr>
      <w:b/>
    </w:rPr>
  </w:style>
  <w:style w:type="paragraph" w:styleId="Heading4">
    <w:name w:val="heading 4"/>
    <w:basedOn w:val="Normal"/>
    <w:next w:val="ParaNum"/>
    <w:qFormat/>
    <w:rsid w:val="00375500"/>
    <w:pPr>
      <w:keepNext/>
      <w:numPr>
        <w:ilvl w:val="3"/>
        <w:numId w:val="3"/>
      </w:numPr>
      <w:tabs>
        <w:tab w:val="left" w:pos="2880"/>
      </w:tabs>
      <w:spacing w:after="120"/>
      <w:outlineLvl w:val="3"/>
    </w:pPr>
    <w:rPr>
      <w:b/>
    </w:rPr>
  </w:style>
  <w:style w:type="paragraph" w:styleId="Heading5">
    <w:name w:val="heading 5"/>
    <w:basedOn w:val="Normal"/>
    <w:next w:val="ParaNum"/>
    <w:qFormat/>
    <w:rsid w:val="003755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5500"/>
    <w:pPr>
      <w:numPr>
        <w:ilvl w:val="5"/>
        <w:numId w:val="3"/>
      </w:numPr>
      <w:tabs>
        <w:tab w:val="left" w:pos="4320"/>
      </w:tabs>
      <w:spacing w:after="120"/>
      <w:outlineLvl w:val="5"/>
    </w:pPr>
    <w:rPr>
      <w:b/>
    </w:rPr>
  </w:style>
  <w:style w:type="paragraph" w:styleId="Heading7">
    <w:name w:val="heading 7"/>
    <w:basedOn w:val="Normal"/>
    <w:next w:val="ParaNum"/>
    <w:qFormat/>
    <w:rsid w:val="003755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55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55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55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500"/>
  </w:style>
  <w:style w:type="paragraph" w:customStyle="1" w:styleId="ParaNum">
    <w:name w:val="ParaNum"/>
    <w:basedOn w:val="Normal"/>
    <w:rsid w:val="00375500"/>
    <w:pPr>
      <w:numPr>
        <w:numId w:val="2"/>
      </w:numPr>
      <w:tabs>
        <w:tab w:val="clear" w:pos="1080"/>
        <w:tab w:val="num" w:pos="1440"/>
      </w:tabs>
      <w:spacing w:after="120"/>
    </w:pPr>
  </w:style>
  <w:style w:type="paragraph" w:styleId="EndnoteText">
    <w:name w:val="endnote text"/>
    <w:basedOn w:val="Normal"/>
    <w:semiHidden/>
    <w:rsid w:val="00375500"/>
    <w:rPr>
      <w:sz w:val="20"/>
    </w:rPr>
  </w:style>
  <w:style w:type="character" w:styleId="EndnoteReference">
    <w:name w:val="endnote reference"/>
    <w:semiHidden/>
    <w:rsid w:val="00375500"/>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rsid w:val="00375500"/>
    <w:pPr>
      <w:spacing w:after="120"/>
    </w:pPr>
  </w:style>
  <w:style w:type="character" w:styleId="FootnoteReference">
    <w:name w:val="footnote reference"/>
    <w:rsid w:val="00375500"/>
    <w:rPr>
      <w:rFonts w:ascii="Times New Roman" w:hAnsi="Times New Roman"/>
      <w:dstrike w:val="0"/>
      <w:color w:val="auto"/>
      <w:sz w:val="20"/>
      <w:vertAlign w:val="superscript"/>
    </w:rPr>
  </w:style>
  <w:style w:type="paragraph" w:styleId="TOC1">
    <w:name w:val="toc 1"/>
    <w:basedOn w:val="Normal"/>
    <w:next w:val="Normal"/>
    <w:semiHidden/>
    <w:rsid w:val="003755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5500"/>
    <w:pPr>
      <w:tabs>
        <w:tab w:val="left" w:pos="720"/>
        <w:tab w:val="right" w:leader="dot" w:pos="9360"/>
      </w:tabs>
      <w:suppressAutoHyphens/>
      <w:ind w:left="720" w:right="720" w:hanging="360"/>
    </w:pPr>
    <w:rPr>
      <w:noProof/>
    </w:rPr>
  </w:style>
  <w:style w:type="paragraph" w:styleId="TOC3">
    <w:name w:val="toc 3"/>
    <w:basedOn w:val="Normal"/>
    <w:next w:val="Normal"/>
    <w:semiHidden/>
    <w:rsid w:val="003755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55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55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55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55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55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55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5500"/>
    <w:pPr>
      <w:tabs>
        <w:tab w:val="right" w:pos="9360"/>
      </w:tabs>
      <w:suppressAutoHyphens/>
    </w:pPr>
  </w:style>
  <w:style w:type="character" w:customStyle="1" w:styleId="EquationCaption">
    <w:name w:val="_Equation Caption"/>
    <w:rsid w:val="00375500"/>
  </w:style>
  <w:style w:type="paragraph" w:styleId="Header">
    <w:name w:val="header"/>
    <w:basedOn w:val="Normal"/>
    <w:autoRedefine/>
    <w:rsid w:val="00375500"/>
    <w:pPr>
      <w:tabs>
        <w:tab w:val="center" w:pos="4680"/>
        <w:tab w:val="right" w:pos="9360"/>
      </w:tabs>
    </w:pPr>
    <w:rPr>
      <w:b/>
    </w:rPr>
  </w:style>
  <w:style w:type="paragraph" w:styleId="Footer">
    <w:name w:val="footer"/>
    <w:basedOn w:val="Normal"/>
    <w:link w:val="FooterChar"/>
    <w:uiPriority w:val="99"/>
    <w:rsid w:val="00375500"/>
    <w:pPr>
      <w:tabs>
        <w:tab w:val="center" w:pos="4320"/>
        <w:tab w:val="right" w:pos="8640"/>
      </w:tabs>
    </w:pPr>
  </w:style>
  <w:style w:type="character" w:styleId="PageNumber">
    <w:name w:val="page number"/>
    <w:basedOn w:val="DefaultParagraphFont"/>
    <w:rsid w:val="00375500"/>
  </w:style>
  <w:style w:type="paragraph" w:styleId="BlockText">
    <w:name w:val="Block Text"/>
    <w:basedOn w:val="Normal"/>
    <w:rsid w:val="00375500"/>
    <w:pPr>
      <w:spacing w:after="240"/>
      <w:ind w:left="1440" w:right="1440"/>
    </w:pPr>
  </w:style>
  <w:style w:type="paragraph" w:customStyle="1" w:styleId="Paratitle">
    <w:name w:val="Para title"/>
    <w:basedOn w:val="Normal"/>
    <w:rsid w:val="00375500"/>
    <w:pPr>
      <w:tabs>
        <w:tab w:val="center" w:pos="9270"/>
      </w:tabs>
      <w:spacing w:after="240"/>
    </w:pPr>
    <w:rPr>
      <w:spacing w:val="-2"/>
    </w:rPr>
  </w:style>
  <w:style w:type="paragraph" w:customStyle="1" w:styleId="Bullet">
    <w:name w:val="Bullet"/>
    <w:basedOn w:val="Normal"/>
    <w:rsid w:val="00375500"/>
    <w:pPr>
      <w:tabs>
        <w:tab w:val="left" w:pos="2160"/>
      </w:tabs>
      <w:spacing w:after="220"/>
      <w:ind w:left="2160" w:hanging="720"/>
    </w:pPr>
  </w:style>
  <w:style w:type="paragraph" w:customStyle="1" w:styleId="TableFormat">
    <w:name w:val="TableFormat"/>
    <w:basedOn w:val="Bullet"/>
    <w:rsid w:val="00375500"/>
    <w:pPr>
      <w:tabs>
        <w:tab w:val="clear" w:pos="2160"/>
        <w:tab w:val="left" w:pos="5040"/>
      </w:tabs>
      <w:ind w:left="5040" w:hanging="3600"/>
    </w:pPr>
  </w:style>
  <w:style w:type="paragraph" w:customStyle="1" w:styleId="TOCTitle">
    <w:name w:val="TOC Title"/>
    <w:basedOn w:val="Normal"/>
    <w:rsid w:val="003755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5500"/>
    <w:pPr>
      <w:jc w:val="center"/>
    </w:pPr>
    <w:rPr>
      <w:rFonts w:ascii="Times New Roman Bold" w:hAnsi="Times New Roman Bold"/>
      <w:b/>
      <w:bCs/>
      <w:caps/>
      <w:szCs w:val="22"/>
    </w:rPr>
  </w:style>
  <w:style w:type="character" w:styleId="Hyperlink">
    <w:name w:val="Hyperlink"/>
    <w:rsid w:val="00375500"/>
    <w:rPr>
      <w:color w:val="0000FF"/>
      <w:u w:val="single"/>
    </w:rPr>
  </w:style>
  <w:style w:type="character" w:customStyle="1" w:styleId="FooterChar">
    <w:name w:val="Footer Char"/>
    <w:link w:val="Footer"/>
    <w:uiPriority w:val="99"/>
    <w:rsid w:val="00375500"/>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