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27EE" w14:paraId="32C44A24" w14:textId="77777777">
      <w:pPr>
        <w:jc w:val="right"/>
        <w:rPr>
          <w:sz w:val="24"/>
        </w:rPr>
      </w:pPr>
    </w:p>
    <w:p w:rsidR="003427EE" w:rsidRPr="00C14E50" w14:paraId="1F1B9335" w14:textId="28323FB0">
      <w:pPr>
        <w:jc w:val="right"/>
        <w:rPr>
          <w:b/>
          <w:sz w:val="24"/>
        </w:rPr>
      </w:pPr>
      <w:r w:rsidRPr="00C14E50">
        <w:rPr>
          <w:b/>
          <w:sz w:val="24"/>
        </w:rPr>
        <w:t>DA</w:t>
      </w:r>
      <w:r w:rsidR="00021844">
        <w:rPr>
          <w:b/>
          <w:sz w:val="24"/>
        </w:rPr>
        <w:t xml:space="preserve"> 21</w:t>
      </w:r>
      <w:r w:rsidRPr="00C14E50">
        <w:rPr>
          <w:b/>
          <w:sz w:val="24"/>
        </w:rPr>
        <w:t>-</w:t>
      </w:r>
      <w:r w:rsidR="00021844">
        <w:rPr>
          <w:b/>
          <w:sz w:val="24"/>
        </w:rPr>
        <w:t>1200</w:t>
      </w:r>
    </w:p>
    <w:p w:rsidR="003427EE" w:rsidRPr="00C14E50" w14:paraId="7FEB0C07" w14:textId="4CC0EC06">
      <w:pPr>
        <w:spacing w:before="60"/>
        <w:jc w:val="right"/>
        <w:rPr>
          <w:b/>
          <w:sz w:val="24"/>
        </w:rPr>
      </w:pPr>
      <w:r>
        <w:rPr>
          <w:b/>
          <w:sz w:val="24"/>
        </w:rPr>
        <w:t xml:space="preserve">Released: </w:t>
      </w:r>
      <w:r w:rsidRPr="00C14E50" w:rsidR="00131791">
        <w:rPr>
          <w:b/>
          <w:sz w:val="24"/>
        </w:rPr>
        <w:t xml:space="preserve">September </w:t>
      </w:r>
      <w:r w:rsidR="0084642B">
        <w:rPr>
          <w:b/>
          <w:sz w:val="24"/>
        </w:rPr>
        <w:t>24</w:t>
      </w:r>
      <w:r w:rsidRPr="00C14E50" w:rsidR="00131791">
        <w:rPr>
          <w:b/>
          <w:sz w:val="24"/>
        </w:rPr>
        <w:t>, 2021</w:t>
      </w:r>
    </w:p>
    <w:p w:rsidR="003427EE" w:rsidRPr="00C14E50" w14:paraId="77395616" w14:textId="77777777">
      <w:pPr>
        <w:jc w:val="right"/>
        <w:rPr>
          <w:sz w:val="24"/>
        </w:rPr>
      </w:pPr>
    </w:p>
    <w:p w:rsidR="003427EE" w:rsidRPr="00C14E50" w14:paraId="6DA87968" w14:textId="14F22BB1">
      <w:pPr>
        <w:spacing w:after="240"/>
        <w:jc w:val="center"/>
        <w:rPr>
          <w:rFonts w:ascii="Times New Roman Bold" w:hAnsi="Times New Roman Bold"/>
          <w:b/>
          <w:caps/>
          <w:sz w:val="24"/>
        </w:rPr>
      </w:pPr>
      <w:r w:rsidRPr="00C14E50">
        <w:rPr>
          <w:rFonts w:ascii="Times New Roman Bold" w:hAnsi="Times New Roman Bold"/>
          <w:b/>
          <w:caps/>
          <w:sz w:val="24"/>
        </w:rPr>
        <w:t>APPLICATIONS FILED FOR ASSIGNMENT AND TRANSFER OF CONTROL BY Intelsat S.A., as debtor-in-possession</w:t>
      </w:r>
    </w:p>
    <w:p w:rsidR="003427EE" w:rsidRPr="00C14E50" w14:paraId="73468EE1" w14:textId="3381BC06">
      <w:pPr>
        <w:spacing w:after="240"/>
        <w:jc w:val="center"/>
        <w:rPr>
          <w:b/>
          <w:sz w:val="24"/>
        </w:rPr>
      </w:pPr>
      <w:r w:rsidRPr="00C14E50">
        <w:rPr>
          <w:b/>
          <w:sz w:val="24"/>
        </w:rPr>
        <w:t>Pleading Cycle Established</w:t>
      </w:r>
    </w:p>
    <w:p w:rsidR="003427EE" w:rsidRPr="00C14E50" w14:paraId="74E43091" w14:textId="1C185E86">
      <w:pPr>
        <w:jc w:val="center"/>
        <w:rPr>
          <w:b/>
          <w:sz w:val="24"/>
        </w:rPr>
      </w:pPr>
      <w:r w:rsidRPr="00C14E50">
        <w:rPr>
          <w:b/>
          <w:sz w:val="24"/>
        </w:rPr>
        <w:t>IB Docket No. 21</w:t>
      </w:r>
      <w:r w:rsidR="00021844">
        <w:rPr>
          <w:b/>
          <w:sz w:val="24"/>
        </w:rPr>
        <w:t>-375</w:t>
      </w:r>
    </w:p>
    <w:p w:rsidR="00787327" w:rsidRPr="00C14E50" w:rsidP="00787327" w14:paraId="46E0FD62" w14:textId="26F6B5BF">
      <w:pPr>
        <w:rPr>
          <w:b/>
          <w:sz w:val="24"/>
        </w:rPr>
      </w:pPr>
    </w:p>
    <w:p w:rsidR="00787327" w:rsidRPr="00C14E50" w:rsidP="00787327" w14:paraId="7F66905C" w14:textId="3054EF1D">
      <w:pPr>
        <w:rPr>
          <w:b/>
          <w:sz w:val="24"/>
        </w:rPr>
      </w:pPr>
      <w:r w:rsidRPr="00C14E50">
        <w:rPr>
          <w:b/>
          <w:sz w:val="24"/>
        </w:rPr>
        <w:t xml:space="preserve">Comments Due:  </w:t>
      </w:r>
      <w:r w:rsidR="0084642B">
        <w:rPr>
          <w:b/>
          <w:sz w:val="24"/>
        </w:rPr>
        <w:t>October 25</w:t>
      </w:r>
      <w:r w:rsidRPr="00C14E50">
        <w:rPr>
          <w:b/>
          <w:sz w:val="24"/>
        </w:rPr>
        <w:t>, 2021</w:t>
      </w:r>
    </w:p>
    <w:p w:rsidR="00787327" w:rsidRPr="00C14E50" w:rsidP="00787327" w14:paraId="61A73654" w14:textId="45660AEB">
      <w:pPr>
        <w:rPr>
          <w:b/>
          <w:sz w:val="24"/>
        </w:rPr>
      </w:pPr>
      <w:r w:rsidRPr="00C14E50">
        <w:rPr>
          <w:b/>
          <w:sz w:val="24"/>
        </w:rPr>
        <w:t xml:space="preserve">Reply Comments Due:  </w:t>
      </w:r>
      <w:r w:rsidR="0084642B">
        <w:rPr>
          <w:b/>
          <w:sz w:val="24"/>
        </w:rPr>
        <w:t>November 4</w:t>
      </w:r>
      <w:r w:rsidRPr="00C14E50">
        <w:rPr>
          <w:b/>
          <w:sz w:val="24"/>
        </w:rPr>
        <w:t>, 2021</w:t>
      </w:r>
    </w:p>
    <w:p w:rsidR="003427EE" w:rsidRPr="00C14E50" w14:paraId="71281AFE" w14:textId="77777777">
      <w:bookmarkStart w:id="0" w:name="TOChere"/>
    </w:p>
    <w:p w:rsidR="0055013C" w:rsidP="00DF26AA" w14:paraId="5D35E3D5" w14:textId="27114E5F">
      <w:pPr>
        <w:ind w:firstLine="720"/>
        <w:rPr>
          <w:szCs w:val="22"/>
        </w:rPr>
      </w:pPr>
      <w:r w:rsidRPr="00C14E50">
        <w:rPr>
          <w:szCs w:val="22"/>
        </w:rPr>
        <w:t>By this Public Notice, the International Bureau, Wireless Telecommunications Bureau</w:t>
      </w:r>
      <w:r>
        <w:rPr>
          <w:szCs w:val="22"/>
        </w:rPr>
        <w:t>,</w:t>
      </w:r>
      <w:r w:rsidRPr="00787327">
        <w:rPr>
          <w:szCs w:val="22"/>
        </w:rPr>
        <w:t xml:space="preserve"> and Office of Engineering and Technology </w:t>
      </w:r>
      <w:r w:rsidRPr="00AB369C">
        <w:rPr>
          <w:szCs w:val="22"/>
        </w:rPr>
        <w:t>seek comment from interested parties on application</w:t>
      </w:r>
      <w:r>
        <w:rPr>
          <w:szCs w:val="22"/>
        </w:rPr>
        <w:t>s</w:t>
      </w:r>
      <w:r>
        <w:rPr>
          <w:szCs w:val="22"/>
        </w:rPr>
        <w:t xml:space="preserve"> filed </w:t>
      </w:r>
      <w:r w:rsidR="00A162B3">
        <w:rPr>
          <w:szCs w:val="22"/>
        </w:rPr>
        <w:t xml:space="preserve">by </w:t>
      </w:r>
      <w:r w:rsidRPr="0055013C" w:rsidR="00A162B3">
        <w:rPr>
          <w:szCs w:val="22"/>
        </w:rPr>
        <w:t>Intelsat S.A., as debtor-in-possession</w:t>
      </w:r>
      <w:r w:rsidR="00A162B3">
        <w:rPr>
          <w:szCs w:val="22"/>
        </w:rPr>
        <w:t xml:space="preserve"> (Intelsat DIP), </w:t>
      </w:r>
      <w:r w:rsidR="002624BC">
        <w:rPr>
          <w:szCs w:val="22"/>
        </w:rPr>
        <w:t>and</w:t>
      </w:r>
      <w:r w:rsidR="00A162B3">
        <w:rPr>
          <w:szCs w:val="22"/>
        </w:rPr>
        <w:t xml:space="preserve"> </w:t>
      </w:r>
      <w:r w:rsidRPr="00496500" w:rsidR="00A162B3">
        <w:rPr>
          <w:szCs w:val="22"/>
        </w:rPr>
        <w:t xml:space="preserve">New </w:t>
      </w:r>
      <w:r w:rsidRPr="00496500" w:rsidR="00A162B3">
        <w:rPr>
          <w:szCs w:val="22"/>
        </w:rPr>
        <w:t>TopCo</w:t>
      </w:r>
      <w:r w:rsidRPr="00496500" w:rsidR="00A162B3">
        <w:rPr>
          <w:szCs w:val="22"/>
        </w:rPr>
        <w:t xml:space="preserve"> S.A. (New Intelsat)</w:t>
      </w:r>
      <w:r w:rsidR="00A162B3">
        <w:rPr>
          <w:szCs w:val="22"/>
        </w:rPr>
        <w:t xml:space="preserve"> (together, the Applicants),</w:t>
      </w:r>
      <w:r>
        <w:rPr>
          <w:rStyle w:val="FootnoteReference"/>
          <w:szCs w:val="22"/>
        </w:rPr>
        <w:footnoteReference w:id="3"/>
      </w:r>
      <w:r w:rsidR="00A162B3">
        <w:rPr>
          <w:szCs w:val="22"/>
        </w:rPr>
        <w:t xml:space="preserve"> </w:t>
      </w:r>
      <w:r>
        <w:rPr>
          <w:szCs w:val="22"/>
        </w:rPr>
        <w:t xml:space="preserve">pursuant to sections 214 and </w:t>
      </w:r>
      <w:r w:rsidRPr="00DF26AA" w:rsidR="00DF26AA">
        <w:rPr>
          <w:szCs w:val="22"/>
        </w:rPr>
        <w:t xml:space="preserve">310(d) </w:t>
      </w:r>
      <w:r>
        <w:rPr>
          <w:szCs w:val="22"/>
        </w:rPr>
        <w:t>of the Communications Act of 1934, as amended,</w:t>
      </w:r>
      <w:r>
        <w:rPr>
          <w:rStyle w:val="FootnoteReference"/>
          <w:szCs w:val="22"/>
        </w:rPr>
        <w:footnoteReference w:id="4"/>
      </w:r>
      <w:r>
        <w:rPr>
          <w:szCs w:val="22"/>
        </w:rPr>
        <w:t xml:space="preserve"> </w:t>
      </w:r>
      <w:r w:rsidRPr="0055013C">
        <w:rPr>
          <w:szCs w:val="22"/>
        </w:rPr>
        <w:t xml:space="preserve">for Commission consent to the assignment and transfer of control of </w:t>
      </w:r>
      <w:r w:rsidR="004E27F3">
        <w:rPr>
          <w:szCs w:val="22"/>
        </w:rPr>
        <w:t>authorizations</w:t>
      </w:r>
      <w:r w:rsidRPr="0055013C">
        <w:rPr>
          <w:szCs w:val="22"/>
        </w:rPr>
        <w:t xml:space="preserve"> that would occur under a planned reorganization of Intelsat </w:t>
      </w:r>
      <w:r w:rsidR="00412BB9">
        <w:rPr>
          <w:szCs w:val="22"/>
        </w:rPr>
        <w:t>DIP</w:t>
      </w:r>
      <w:r>
        <w:rPr>
          <w:szCs w:val="22"/>
        </w:rPr>
        <w:t xml:space="preserve"> </w:t>
      </w:r>
      <w:r w:rsidRPr="0055013C">
        <w:rPr>
          <w:szCs w:val="22"/>
        </w:rPr>
        <w:t>and its emergence from Chapter 11 bankruptcy</w:t>
      </w:r>
      <w:r>
        <w:rPr>
          <w:szCs w:val="22"/>
        </w:rPr>
        <w:t>.</w:t>
      </w:r>
    </w:p>
    <w:p w:rsidR="0055013C" w:rsidP="00DF26AA" w14:paraId="76A20950" w14:textId="77777777">
      <w:pPr>
        <w:ind w:firstLine="720"/>
        <w:rPr>
          <w:szCs w:val="22"/>
        </w:rPr>
      </w:pPr>
    </w:p>
    <w:bookmarkEnd w:id="0"/>
    <w:p w:rsidR="00524685" w:rsidP="0055270A" w14:paraId="306071F7" w14:textId="2C25062D">
      <w:pPr>
        <w:ind w:firstLine="720"/>
      </w:pPr>
      <w:r>
        <w:t xml:space="preserve">Intelsat DIP is </w:t>
      </w:r>
      <w:r w:rsidRPr="00524685">
        <w:t>one of the world’s largest satellite</w:t>
      </w:r>
      <w:r w:rsidR="002610D8">
        <w:t>-</w:t>
      </w:r>
      <w:r w:rsidRPr="00524685">
        <w:t xml:space="preserve">service </w:t>
      </w:r>
      <w:r w:rsidR="007159BA">
        <w:t>providers</w:t>
      </w:r>
      <w:r>
        <w:t>.</w:t>
      </w:r>
      <w:r>
        <w:rPr>
          <w:rStyle w:val="FootnoteReference"/>
        </w:rPr>
        <w:footnoteReference w:id="5"/>
      </w:r>
      <w:r>
        <w:t xml:space="preserve">  It </w:t>
      </w:r>
      <w:r w:rsidR="007159BA">
        <w:t>offers</w:t>
      </w:r>
      <w:r>
        <w:t xml:space="preserve"> </w:t>
      </w:r>
      <w:r w:rsidRPr="00524685">
        <w:t>voice, video, and data</w:t>
      </w:r>
      <w:r>
        <w:t xml:space="preserve"> </w:t>
      </w:r>
      <w:r w:rsidR="007159BA">
        <w:t xml:space="preserve">services to customers including </w:t>
      </w:r>
      <w:r w:rsidRPr="00524685" w:rsidR="007159BA">
        <w:t>media companies, Internet service providers, and the U.S. government</w:t>
      </w:r>
      <w:r w:rsidRPr="007159BA" w:rsidR="007159BA">
        <w:t xml:space="preserve"> </w:t>
      </w:r>
      <w:r w:rsidR="007159BA">
        <w:t xml:space="preserve">using </w:t>
      </w:r>
      <w:r w:rsidR="009F0D16">
        <w:t>its</w:t>
      </w:r>
      <w:r w:rsidRPr="007159BA" w:rsidR="007159BA">
        <w:t xml:space="preserve"> </w:t>
      </w:r>
      <w:r w:rsidR="00E31835">
        <w:t xml:space="preserve">network of satellites, earth stations, and </w:t>
      </w:r>
      <w:r w:rsidR="009F0D16">
        <w:t xml:space="preserve">other </w:t>
      </w:r>
      <w:r w:rsidRPr="007159BA" w:rsidR="007159BA">
        <w:t>connectivity infrastructure</w:t>
      </w:r>
      <w:r w:rsidRPr="00524685">
        <w:t>.</w:t>
      </w:r>
      <w:r>
        <w:rPr>
          <w:rStyle w:val="FootnoteReference"/>
        </w:rPr>
        <w:footnoteReference w:id="6"/>
      </w:r>
    </w:p>
    <w:p w:rsidR="00524685" w:rsidP="0055270A" w14:paraId="61CEEDBA" w14:textId="77777777">
      <w:pPr>
        <w:ind w:firstLine="720"/>
      </w:pPr>
    </w:p>
    <w:p w:rsidR="00547DFF" w:rsidP="00547DFF" w14:paraId="349509B4" w14:textId="7081EB43">
      <w:r>
        <w:tab/>
        <w:t xml:space="preserve">On May 13, 2020, Intelsat </w:t>
      </w:r>
      <w:r w:rsidR="00133F3F">
        <w:t xml:space="preserve">DIP </w:t>
      </w:r>
      <w:r>
        <w:t xml:space="preserve">and </w:t>
      </w:r>
      <w:r w:rsidR="00114A40">
        <w:t>several</w:t>
      </w:r>
      <w:r>
        <w:t xml:space="preserve"> of its subsidiaries, including </w:t>
      </w:r>
      <w:r w:rsidR="00133F3F">
        <w:t>Commission license</w:t>
      </w:r>
      <w:r w:rsidR="00E31835">
        <w:t xml:space="preserve"> holders</w:t>
      </w:r>
      <w:r>
        <w:t xml:space="preserve">, commenced voluntary cases under Chapter 11 of the </w:t>
      </w:r>
      <w:r w:rsidR="00205820">
        <w:t xml:space="preserve">U.S. </w:t>
      </w:r>
      <w:r>
        <w:t>Bankruptcy Code.</w:t>
      </w:r>
      <w:r>
        <w:rPr>
          <w:rStyle w:val="FootnoteReference"/>
        </w:rPr>
        <w:footnoteReference w:id="7"/>
      </w:r>
      <w:r>
        <w:t xml:space="preserve"> </w:t>
      </w:r>
      <w:r w:rsidR="006F34A3">
        <w:t xml:space="preserve"> On</w:t>
      </w:r>
      <w:r w:rsidRPr="006F34A3" w:rsidR="006F34A3">
        <w:t xml:space="preserve"> August 24, 2021, Intelsat </w:t>
      </w:r>
      <w:r w:rsidR="00311300">
        <w:t xml:space="preserve">DIP </w:t>
      </w:r>
      <w:r w:rsidRPr="006F34A3" w:rsidR="006F34A3">
        <w:t xml:space="preserve">filed </w:t>
      </w:r>
      <w:r w:rsidR="00F27AFA">
        <w:t xml:space="preserve">a plan of restructuring with </w:t>
      </w:r>
      <w:r w:rsidRPr="006F34A3" w:rsidR="006F34A3">
        <w:t xml:space="preserve">the </w:t>
      </w:r>
      <w:r w:rsidR="00F27AFA">
        <w:t>b</w:t>
      </w:r>
      <w:r w:rsidRPr="006F34A3" w:rsidR="006F34A3">
        <w:t xml:space="preserve">ankruptcy </w:t>
      </w:r>
      <w:r w:rsidR="00F27AFA">
        <w:t>c</w:t>
      </w:r>
      <w:r w:rsidRPr="006F34A3" w:rsidR="006F34A3">
        <w:t>ourt.</w:t>
      </w:r>
      <w:r>
        <w:rPr>
          <w:rStyle w:val="FootnoteReference"/>
        </w:rPr>
        <w:footnoteReference w:id="8"/>
      </w:r>
      <w:r w:rsidRPr="006F34A3" w:rsidR="006F34A3">
        <w:t xml:space="preserve"> </w:t>
      </w:r>
      <w:r w:rsidR="00CF568C">
        <w:t xml:space="preserve"> </w:t>
      </w:r>
      <w:r w:rsidR="00585139">
        <w:t xml:space="preserve">The </w:t>
      </w:r>
      <w:r w:rsidR="00160F38">
        <w:t xml:space="preserve">restructuring plan </w:t>
      </w:r>
      <w:r w:rsidR="0010111A">
        <w:t>would</w:t>
      </w:r>
      <w:r w:rsidR="00093B1F">
        <w:t xml:space="preserve"> </w:t>
      </w:r>
      <w:r w:rsidRPr="006F34A3" w:rsidR="00093B1F">
        <w:t>repay secured debt obligations using a new financing facility</w:t>
      </w:r>
      <w:r w:rsidR="00093B1F">
        <w:t xml:space="preserve"> and convert</w:t>
      </w:r>
      <w:r w:rsidRPr="006F34A3" w:rsidR="00093B1F">
        <w:t xml:space="preserve"> </w:t>
      </w:r>
      <w:r w:rsidRPr="006F34A3" w:rsidR="006F34A3">
        <w:t>approximately $8 billion of unsecured funded debt</w:t>
      </w:r>
      <w:r w:rsidR="00093B1F">
        <w:t xml:space="preserve"> to equity interests</w:t>
      </w:r>
      <w:r w:rsidRPr="006F34A3" w:rsidR="006F34A3">
        <w:t xml:space="preserve">, leaving approximately $7.125 billion of funded debt </w:t>
      </w:r>
      <w:r w:rsidR="004910C1">
        <w:t>and</w:t>
      </w:r>
      <w:r w:rsidRPr="006F34A3" w:rsidR="006F34A3">
        <w:t xml:space="preserve"> a revolving credit facility with up to $500 million of availability.</w:t>
      </w:r>
      <w:r>
        <w:rPr>
          <w:rStyle w:val="FootnoteReference"/>
        </w:rPr>
        <w:footnoteReference w:id="9"/>
      </w:r>
    </w:p>
    <w:p w:rsidR="006F34A3" w:rsidP="00547DFF" w14:paraId="3D999F1A" w14:textId="4979782B"/>
    <w:p w:rsidR="00133048" w:rsidP="00A176B3" w14:paraId="2E23C1CF" w14:textId="70175C40">
      <w:pPr>
        <w:widowControl/>
      </w:pPr>
      <w:r>
        <w:tab/>
      </w:r>
      <w:r w:rsidRPr="006F34A3">
        <w:t>Intelsat</w:t>
      </w:r>
      <w:r w:rsidR="0098705D">
        <w:t xml:space="preserve"> DIP</w:t>
      </w:r>
      <w:r w:rsidRPr="006F34A3">
        <w:t xml:space="preserve"> </w:t>
      </w:r>
      <w:r w:rsidR="0098705D">
        <w:t xml:space="preserve">plans to emerge </w:t>
      </w:r>
      <w:r w:rsidRPr="006F34A3">
        <w:t>from bankruptcy with a new ultimate parent company</w:t>
      </w:r>
      <w:r w:rsidR="0098705D">
        <w:t xml:space="preserve">, New Intelsat, </w:t>
      </w:r>
      <w:r w:rsidRPr="00690080" w:rsidR="00C045CC">
        <w:t xml:space="preserve">a </w:t>
      </w:r>
      <w:r w:rsidRPr="00690080" w:rsidR="00ED27C8">
        <w:t>Lu</w:t>
      </w:r>
      <w:r w:rsidRPr="00690080" w:rsidR="005073D6">
        <w:t>x</w:t>
      </w:r>
      <w:r w:rsidRPr="00690080" w:rsidR="00ED27C8">
        <w:t>embourg</w:t>
      </w:r>
      <w:r w:rsidRPr="00690080" w:rsidR="00706EA6">
        <w:t xml:space="preserve"> company</w:t>
      </w:r>
      <w:r w:rsidR="00706EA6">
        <w:t xml:space="preserve"> </w:t>
      </w:r>
      <w:r w:rsidRPr="006F34A3">
        <w:t xml:space="preserve">that </w:t>
      </w:r>
      <w:r w:rsidR="00601C78">
        <w:t>would</w:t>
      </w:r>
      <w:r w:rsidRPr="006F34A3">
        <w:t xml:space="preserve"> be privately held by the creditors receiving equity in New Intelsat as a result of the </w:t>
      </w:r>
      <w:r w:rsidR="006564F3">
        <w:t>restructuring plan</w:t>
      </w:r>
      <w:r w:rsidRPr="006F34A3">
        <w:t>.</w:t>
      </w:r>
      <w:r>
        <w:rPr>
          <w:rStyle w:val="FootnoteReference"/>
        </w:rPr>
        <w:footnoteReference w:id="10"/>
      </w:r>
      <w:r w:rsidRPr="006F34A3">
        <w:t xml:space="preserve"> </w:t>
      </w:r>
      <w:r w:rsidR="006564F3">
        <w:t xml:space="preserve"> </w:t>
      </w:r>
      <w:r w:rsidRPr="006F34A3">
        <w:t>Pacific Investment Management Company LLC (PIMCO)</w:t>
      </w:r>
      <w:r w:rsidR="00C56956">
        <w:t xml:space="preserve">, </w:t>
      </w:r>
      <w:r w:rsidR="00EF7753">
        <w:t>a Del</w:t>
      </w:r>
      <w:r w:rsidR="00EB017C">
        <w:t>a</w:t>
      </w:r>
      <w:r w:rsidR="00EF7753">
        <w:t xml:space="preserve">ware </w:t>
      </w:r>
      <w:r w:rsidR="00583F2A">
        <w:t>l</w:t>
      </w:r>
      <w:r w:rsidR="00EF7753">
        <w:t xml:space="preserve">imited </w:t>
      </w:r>
      <w:r w:rsidR="00583F2A">
        <w:t>l</w:t>
      </w:r>
      <w:r w:rsidR="00EF7753">
        <w:t xml:space="preserve">iability </w:t>
      </w:r>
      <w:r w:rsidR="00583F2A">
        <w:t>c</w:t>
      </w:r>
      <w:r w:rsidR="00EF7753">
        <w:t>ompany</w:t>
      </w:r>
      <w:r w:rsidR="00A46B65">
        <w:t xml:space="preserve"> </w:t>
      </w:r>
      <w:r w:rsidR="00583F2A">
        <w:t>serv</w:t>
      </w:r>
      <w:r w:rsidR="00A46B65">
        <w:t>ing</w:t>
      </w:r>
      <w:r w:rsidR="00583F2A">
        <w:t xml:space="preserve"> </w:t>
      </w:r>
      <w:r w:rsidR="00A46B65">
        <w:t>as the</w:t>
      </w:r>
      <w:r w:rsidR="00C56956">
        <w:t xml:space="preserve"> investment advisor</w:t>
      </w:r>
      <w:r w:rsidR="00824C7E">
        <w:t xml:space="preserve"> </w:t>
      </w:r>
      <w:r w:rsidR="00A46B65">
        <w:t xml:space="preserve">for its managed funds, would </w:t>
      </w:r>
      <w:r w:rsidRPr="006F34A3">
        <w:t>indirectly hold approximately 32.8% of the voting and equity interests in New Intelsat.</w:t>
      </w:r>
      <w:r>
        <w:rPr>
          <w:rStyle w:val="FootnoteReference"/>
        </w:rPr>
        <w:footnoteReference w:id="11"/>
      </w:r>
      <w:r w:rsidRPr="006F34A3">
        <w:t xml:space="preserve"> </w:t>
      </w:r>
      <w:r>
        <w:t xml:space="preserve"> </w:t>
      </w:r>
      <w:r w:rsidRPr="006F34A3">
        <w:t>The ultimate parent of PIMCO is Allianz SE, a German company</w:t>
      </w:r>
      <w:r>
        <w:t>.</w:t>
      </w:r>
      <w:r>
        <w:rPr>
          <w:rStyle w:val="FootnoteReference"/>
        </w:rPr>
        <w:footnoteReference w:id="12"/>
      </w:r>
      <w:r w:rsidRPr="006F34A3">
        <w:t xml:space="preserve"> </w:t>
      </w:r>
      <w:r w:rsidR="00ED6AFB">
        <w:t xml:space="preserve"> </w:t>
      </w:r>
      <w:r w:rsidRPr="006F34A3" w:rsidR="00ED6AFB">
        <w:t xml:space="preserve">Other than companies in the PIMCO ownership chain, </w:t>
      </w:r>
      <w:r w:rsidR="00601C78">
        <w:t>the Applicants</w:t>
      </w:r>
      <w:r w:rsidRPr="006F34A3" w:rsidR="00ED6AFB">
        <w:t xml:space="preserve"> expect that no other shareholder </w:t>
      </w:r>
      <w:r w:rsidR="00423B31">
        <w:t>would</w:t>
      </w:r>
      <w:r w:rsidRPr="006F34A3" w:rsidR="00ED6AFB">
        <w:t xml:space="preserve"> directly or indirectly hold 10% or more of the voting or equity interests in New Intelsat.</w:t>
      </w:r>
      <w:r>
        <w:rPr>
          <w:rStyle w:val="FootnoteReference"/>
        </w:rPr>
        <w:footnoteReference w:id="13"/>
      </w:r>
    </w:p>
    <w:p w:rsidR="00601C78" w:rsidP="00133048" w14:paraId="34B6A551" w14:textId="77777777"/>
    <w:p w:rsidR="00B82787" w:rsidP="00BF5263" w14:paraId="1165FED3" w14:textId="40C1E412">
      <w:r>
        <w:tab/>
      </w:r>
      <w:r w:rsidR="00423DFB">
        <w:t xml:space="preserve">The </w:t>
      </w:r>
      <w:r w:rsidRPr="00D17873">
        <w:rPr>
          <w:bCs/>
          <w:szCs w:val="22"/>
        </w:rPr>
        <w:t xml:space="preserve">Applicants </w:t>
      </w:r>
      <w:r w:rsidR="002B6F00">
        <w:rPr>
          <w:bCs/>
          <w:szCs w:val="22"/>
        </w:rPr>
        <w:t>argue</w:t>
      </w:r>
      <w:r w:rsidRPr="00D17873">
        <w:rPr>
          <w:bCs/>
          <w:szCs w:val="22"/>
        </w:rPr>
        <w:t xml:space="preserve"> that grant of the </w:t>
      </w:r>
      <w:r>
        <w:rPr>
          <w:bCs/>
          <w:szCs w:val="22"/>
        </w:rPr>
        <w:t>A</w:t>
      </w:r>
      <w:r w:rsidRPr="00D17873">
        <w:rPr>
          <w:bCs/>
          <w:szCs w:val="22"/>
        </w:rPr>
        <w:t>pplication would serve the public interest, convenience, and necessity.</w:t>
      </w:r>
      <w:r>
        <w:rPr>
          <w:rStyle w:val="FootnoteReference"/>
          <w:bCs/>
          <w:szCs w:val="22"/>
        </w:rPr>
        <w:footnoteReference w:id="14"/>
      </w:r>
      <w:r>
        <w:rPr>
          <w:bCs/>
          <w:szCs w:val="22"/>
        </w:rPr>
        <w:t xml:space="preserve">  </w:t>
      </w:r>
      <w:r w:rsidR="00BA47A3">
        <w:t>The</w:t>
      </w:r>
      <w:r w:rsidR="00437FD0">
        <w:t>y</w:t>
      </w:r>
      <w:r w:rsidR="00BA47A3">
        <w:t xml:space="preserve"> assert that </w:t>
      </w:r>
      <w:r w:rsidRPr="00F77FBE" w:rsidR="00BA47A3">
        <w:t xml:space="preserve">grant would not </w:t>
      </w:r>
      <w:r w:rsidR="00BA47A3">
        <w:t xml:space="preserve">violate any </w:t>
      </w:r>
      <w:r w:rsidR="00740DC6">
        <w:t xml:space="preserve">statute or </w:t>
      </w:r>
      <w:r w:rsidR="00BA47A3">
        <w:t xml:space="preserve">Commission rule, would not </w:t>
      </w:r>
      <w:r w:rsidRPr="00F77FBE" w:rsidR="00BA47A3">
        <w:t>result in competitive harm</w:t>
      </w:r>
      <w:r w:rsidR="00BA47A3">
        <w:t>,</w:t>
      </w:r>
      <w:r w:rsidRPr="00F77FBE" w:rsidR="00BA47A3">
        <w:t xml:space="preserve"> and would not raise issues in the areas of national security, law enforcement, foreign policy, or trade policy.</w:t>
      </w:r>
      <w:r>
        <w:rPr>
          <w:rStyle w:val="FootnoteReference"/>
        </w:rPr>
        <w:footnoteReference w:id="15"/>
      </w:r>
      <w:r w:rsidR="00BA47A3">
        <w:t xml:space="preserve">  </w:t>
      </w:r>
      <w:r w:rsidR="00423DFB">
        <w:t xml:space="preserve">The </w:t>
      </w:r>
      <w:r w:rsidR="007776FA">
        <w:t xml:space="preserve">Applicants </w:t>
      </w:r>
      <w:r w:rsidR="00423DFB">
        <w:t>contend</w:t>
      </w:r>
      <w:r w:rsidR="007776FA">
        <w:t xml:space="preserve"> that grant would </w:t>
      </w:r>
      <w:r w:rsidRPr="00F77FBE" w:rsidR="00F77FBE">
        <w:t xml:space="preserve">provide New Intelsat with a new capital structure that </w:t>
      </w:r>
      <w:r w:rsidR="00423DFB">
        <w:t>would</w:t>
      </w:r>
      <w:r w:rsidRPr="00F77FBE" w:rsidR="00F77FBE">
        <w:t xml:space="preserve"> help reduce its debt</w:t>
      </w:r>
      <w:r w:rsidR="00423DFB">
        <w:t xml:space="preserve"> and </w:t>
      </w:r>
      <w:r w:rsidRPr="00F77FBE" w:rsidR="00F77FBE">
        <w:t>allow for continued service to customers.</w:t>
      </w:r>
      <w:r>
        <w:rPr>
          <w:rStyle w:val="FootnoteReference"/>
        </w:rPr>
        <w:footnoteReference w:id="16"/>
      </w:r>
    </w:p>
    <w:p w:rsidR="00F77FBE" w:rsidP="00133048" w14:paraId="18C9F74B" w14:textId="5F494769"/>
    <w:p w:rsidR="00574F59" w:rsidRPr="00B35925" w:rsidP="00A46B65" w14:paraId="6F3E51A0" w14:textId="200B606C">
      <w:pPr>
        <w:autoSpaceDE w:val="0"/>
        <w:autoSpaceDN w:val="0"/>
        <w:adjustRightInd w:val="0"/>
        <w:ind w:firstLine="720"/>
        <w:rPr>
          <w:bCs/>
          <w:color w:val="000000"/>
          <w:szCs w:val="22"/>
          <w:u w:val="single"/>
        </w:rPr>
      </w:pPr>
      <w:r w:rsidRPr="00752296">
        <w:rPr>
          <w:bCs/>
          <w:color w:val="000000"/>
          <w:szCs w:val="22"/>
          <w:u w:val="single"/>
        </w:rPr>
        <w:t>Referral to Executive Branch Agencies</w:t>
      </w:r>
      <w:r w:rsidRPr="00BD18CE">
        <w:rPr>
          <w:bCs/>
          <w:color w:val="000000"/>
          <w:szCs w:val="22"/>
        </w:rPr>
        <w:t>.</w:t>
      </w:r>
      <w:r w:rsidRPr="00752296">
        <w:rPr>
          <w:bCs/>
          <w:color w:val="000000"/>
          <w:szCs w:val="22"/>
        </w:rPr>
        <w:t xml:space="preserve">  Through this Public Notice, pursuant to Commission practice, </w:t>
      </w:r>
      <w:r>
        <w:rPr>
          <w:bCs/>
          <w:color w:val="000000"/>
          <w:szCs w:val="22"/>
        </w:rPr>
        <w:t xml:space="preserve">the applications set out in the Attachment </w:t>
      </w:r>
      <w:r w:rsidRPr="00752296">
        <w:rPr>
          <w:bCs/>
          <w:color w:val="000000"/>
          <w:szCs w:val="22"/>
        </w:rPr>
        <w:t xml:space="preserve">are being referred to the relevant Executive Branch agencies for their views on any national security, law enforcement, foreign policy, or trade policy concerns related to the foreign ownership of the </w:t>
      </w:r>
      <w:r>
        <w:rPr>
          <w:bCs/>
          <w:color w:val="000000"/>
          <w:szCs w:val="22"/>
        </w:rPr>
        <w:t>Applicants</w:t>
      </w:r>
      <w:r w:rsidRPr="00752296">
        <w:rPr>
          <w:bCs/>
          <w:color w:val="000000"/>
          <w:szCs w:val="22"/>
        </w:rPr>
        <w:t>.</w:t>
      </w:r>
      <w:r>
        <w:rPr>
          <w:rStyle w:val="FootnoteReference"/>
          <w:bCs/>
          <w:color w:val="000000"/>
          <w:szCs w:val="22"/>
        </w:rPr>
        <w:footnoteReference w:id="17"/>
      </w:r>
      <w:r w:rsidRPr="00621896" w:rsidR="00621896">
        <w:t xml:space="preserve"> </w:t>
      </w:r>
    </w:p>
    <w:p w:rsidR="00574F59" w:rsidP="00133048" w14:paraId="7BF132FF" w14:textId="77777777"/>
    <w:p w:rsidR="00765087" w:rsidP="00765087" w14:paraId="4686AE8D" w14:textId="77777777">
      <w:pPr>
        <w:autoSpaceDE w:val="0"/>
        <w:autoSpaceDN w:val="0"/>
        <w:adjustRightInd w:val="0"/>
        <w:rPr>
          <w:szCs w:val="22"/>
        </w:rPr>
      </w:pPr>
      <w:r w:rsidRPr="00B713DE">
        <w:rPr>
          <w:b/>
          <w:szCs w:val="22"/>
          <w:u w:val="single"/>
        </w:rPr>
        <w:t>GENERAL INFORMATION</w:t>
      </w:r>
    </w:p>
    <w:p w:rsidR="00765087" w:rsidP="00765087" w14:paraId="37E334F5" w14:textId="77777777">
      <w:pPr>
        <w:autoSpaceDE w:val="0"/>
        <w:autoSpaceDN w:val="0"/>
        <w:adjustRightInd w:val="0"/>
        <w:rPr>
          <w:szCs w:val="22"/>
        </w:rPr>
      </w:pPr>
    </w:p>
    <w:p w:rsidR="00765087" w:rsidRPr="00EC66CA" w:rsidP="00765087" w14:paraId="22737DC3" w14:textId="523234CB">
      <w:pPr>
        <w:autoSpaceDE w:val="0"/>
        <w:autoSpaceDN w:val="0"/>
        <w:adjustRightInd w:val="0"/>
        <w:spacing w:after="120"/>
        <w:ind w:firstLine="720"/>
        <w:rPr>
          <w:szCs w:val="22"/>
        </w:rPr>
      </w:pPr>
      <w:r w:rsidRPr="00EC66CA">
        <w:rPr>
          <w:szCs w:val="22"/>
        </w:rPr>
        <w:t>The application</w:t>
      </w:r>
      <w:r>
        <w:rPr>
          <w:szCs w:val="22"/>
        </w:rPr>
        <w:t>s</w:t>
      </w:r>
      <w:r w:rsidRPr="00EC66CA">
        <w:rPr>
          <w:szCs w:val="22"/>
        </w:rPr>
        <w:t xml:space="preserve"> identified herein ha</w:t>
      </w:r>
      <w:r>
        <w:rPr>
          <w:szCs w:val="22"/>
        </w:rPr>
        <w:t>ve</w:t>
      </w:r>
      <w:r w:rsidRPr="00EC66CA">
        <w:rPr>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w:t>
      </w:r>
    </w:p>
    <w:p w:rsidR="00765087" w:rsidRPr="00EC66CA" w:rsidP="00765087" w14:paraId="43AC64C0" w14:textId="43BF664A">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D04F13">
        <w:rPr>
          <w:b/>
          <w:szCs w:val="22"/>
        </w:rPr>
        <w:t>October 25,</w:t>
      </w:r>
      <w:r w:rsidRPr="006F586C">
        <w:rPr>
          <w:b/>
          <w:szCs w:val="22"/>
        </w:rPr>
        <w:t xml:space="preserve"> 2021</w:t>
      </w:r>
      <w:r w:rsidRPr="006F586C">
        <w:rPr>
          <w:szCs w:val="22"/>
        </w:rPr>
        <w:t xml:space="preserve">, and reply comments </w:t>
      </w:r>
      <w:r w:rsidRPr="006F586C">
        <w:rPr>
          <w:b/>
          <w:szCs w:val="22"/>
        </w:rPr>
        <w:t xml:space="preserve">on or before </w:t>
      </w:r>
      <w:r w:rsidR="00D04F13">
        <w:rPr>
          <w:b/>
          <w:szCs w:val="22"/>
        </w:rPr>
        <w:t>November 4</w:t>
      </w:r>
      <w:r w:rsidRPr="006F586C">
        <w:rPr>
          <w:b/>
          <w:szCs w:val="22"/>
        </w:rPr>
        <w:t>, 2021</w:t>
      </w:r>
      <w:r w:rsidRPr="006F586C">
        <w:rPr>
          <w:szCs w:val="22"/>
        </w:rPr>
        <w:t>.</w:t>
      </w:r>
      <w:r w:rsidRPr="00CB2908">
        <w:rPr>
          <w:szCs w:val="22"/>
        </w:rPr>
        <w:t xml:space="preserve">  </w:t>
      </w:r>
      <w:r w:rsidRPr="00EC66CA">
        <w:rPr>
          <w:szCs w:val="22"/>
        </w:rPr>
        <w:t xml:space="preserve">Comments may be filed </w:t>
      </w:r>
      <w:r>
        <w:rPr>
          <w:szCs w:val="22"/>
        </w:rPr>
        <w:t xml:space="preserve">in the docket </w:t>
      </w:r>
      <w:r w:rsidRPr="00EC66CA">
        <w:rPr>
          <w:szCs w:val="22"/>
        </w:rPr>
        <w:t>using the Commission’s Electronic Comment Filing System (ECFS)</w:t>
      </w:r>
      <w:r w:rsidR="00CF191B">
        <w:rPr>
          <w:szCs w:val="22"/>
        </w:rPr>
        <w:t xml:space="preserve"> </w:t>
      </w:r>
      <w:r w:rsidRPr="00EC66CA">
        <w:rPr>
          <w:szCs w:val="22"/>
        </w:rPr>
        <w:t>or by paper.</w:t>
      </w:r>
    </w:p>
    <w:p w:rsidR="00765087" w:rsidP="00765087" w14:paraId="47A1FB75" w14:textId="1374BC82">
      <w:pPr>
        <w:widowControl/>
        <w:numPr>
          <w:ilvl w:val="0"/>
          <w:numId w:val="8"/>
        </w:numPr>
        <w:autoSpaceDE w:val="0"/>
        <w:autoSpaceDN w:val="0"/>
        <w:adjustRightInd w:val="0"/>
        <w:rPr>
          <w:szCs w:val="22"/>
        </w:rPr>
      </w:pPr>
      <w:r w:rsidRPr="00EC66CA">
        <w:rPr>
          <w:szCs w:val="22"/>
        </w:rPr>
        <w:t>Electronic Filers:  Comments may be filed electronically by accessing ECFS at</w:t>
      </w:r>
      <w:r w:rsidR="00CA4FC5">
        <w:rPr>
          <w:szCs w:val="22"/>
        </w:rPr>
        <w:t xml:space="preserve"> </w:t>
      </w:r>
      <w:hyperlink r:id="rId5" w:history="1">
        <w:r w:rsidRPr="00EC66CA" w:rsidR="00CA4FC5">
          <w:rPr>
            <w:rStyle w:val="Hyperlink"/>
            <w:szCs w:val="22"/>
          </w:rPr>
          <w:t>http://apps.fcc.gov/ecfs/</w:t>
        </w:r>
      </w:hyperlink>
      <w:r w:rsidR="00CA4FC5">
        <w:rPr>
          <w:szCs w:val="22"/>
        </w:rPr>
        <w:t>.</w:t>
      </w:r>
    </w:p>
    <w:p w:rsidR="00765087" w:rsidRPr="00EC66CA" w:rsidP="00765087" w14:paraId="2C388BF3" w14:textId="77777777">
      <w:pPr>
        <w:autoSpaceDE w:val="0"/>
        <w:autoSpaceDN w:val="0"/>
        <w:adjustRightInd w:val="0"/>
        <w:ind w:left="720"/>
        <w:rPr>
          <w:szCs w:val="22"/>
        </w:rPr>
      </w:pPr>
    </w:p>
    <w:p w:rsidR="00765087" w:rsidP="00765087" w14:paraId="105DB7F5" w14:textId="77777777">
      <w:pPr>
        <w:widowControl/>
        <w:numPr>
          <w:ilvl w:val="0"/>
          <w:numId w:val="9"/>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65087" w:rsidRPr="004D7912" w:rsidP="00765087" w14:paraId="7666DAD6" w14:textId="77777777">
      <w:pPr>
        <w:autoSpaceDE w:val="0"/>
        <w:autoSpaceDN w:val="0"/>
        <w:adjustRightInd w:val="0"/>
        <w:ind w:left="720"/>
        <w:rPr>
          <w:szCs w:val="22"/>
        </w:rPr>
      </w:pPr>
    </w:p>
    <w:p w:rsidR="00765087" w:rsidRPr="004D7912" w:rsidP="00765087" w14:paraId="62E643B8" w14:textId="77777777">
      <w:pPr>
        <w:widowControl/>
        <w:numPr>
          <w:ilvl w:val="1"/>
          <w:numId w:val="9"/>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8"/>
      </w:r>
      <w:r w:rsidRPr="004D7912">
        <w:rPr>
          <w:szCs w:val="22"/>
        </w:rPr>
        <w:t xml:space="preserve">  All filings must be addressed to the Commission’s Secretary, Office of the Secretary, Federal Communications Commission.</w:t>
      </w:r>
    </w:p>
    <w:p w:rsidR="00765087" w:rsidRPr="0011311D" w:rsidP="00765087" w14:paraId="36C0CCFA" w14:textId="77777777">
      <w:pPr>
        <w:widowControl/>
        <w:numPr>
          <w:ilvl w:val="1"/>
          <w:numId w:val="9"/>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Pr>
          <w:szCs w:val="22"/>
        </w:rPr>
        <w:t xml:space="preserve">  </w:t>
      </w:r>
      <w:r w:rsidRPr="0011311D">
        <w:rPr>
          <w:szCs w:val="22"/>
        </w:rPr>
        <w:t>U.S. Postal Service first-class, Express, and Priority mail must be addressed to 45 L Street, NE, Washington, DC 20554.</w:t>
      </w:r>
    </w:p>
    <w:p w:rsidR="00765087" w:rsidRPr="0075291B" w:rsidP="00765087" w14:paraId="1D845236" w14:textId="77777777">
      <w:pPr>
        <w:autoSpaceDE w:val="0"/>
        <w:autoSpaceDN w:val="0"/>
        <w:adjustRightInd w:val="0"/>
        <w:rPr>
          <w:szCs w:val="22"/>
        </w:rPr>
      </w:pPr>
    </w:p>
    <w:p w:rsidR="00765087" w:rsidP="000F25C2" w14:paraId="7852AEB7" w14:textId="77777777">
      <w:pPr>
        <w:autoSpaceDE w:val="0"/>
        <w:autoSpaceDN w:val="0"/>
        <w:adjustRightInd w:val="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6" w:tgtFrame="_blank" w:history="1">
        <w:r w:rsidRPr="009B1CCF">
          <w:rPr>
            <w:rStyle w:val="Hyperlink"/>
            <w:szCs w:val="22"/>
          </w:rPr>
          <w:t>fcc504@fcc.gov</w:t>
        </w:r>
      </w:hyperlink>
      <w:r w:rsidRPr="009B1CCF">
        <w:rPr>
          <w:szCs w:val="22"/>
        </w:rPr>
        <w:t> or call the Consumer and Governmental Affairs Bureau at (202) 418-0530.</w:t>
      </w:r>
    </w:p>
    <w:p w:rsidR="00765087" w:rsidRPr="00EC66CA" w:rsidP="000F25C2" w14:paraId="17059F2A" w14:textId="77777777">
      <w:pPr>
        <w:autoSpaceDE w:val="0"/>
        <w:autoSpaceDN w:val="0"/>
        <w:adjustRightInd w:val="0"/>
        <w:ind w:firstLine="720"/>
        <w:rPr>
          <w:b/>
          <w:szCs w:val="22"/>
        </w:rPr>
      </w:pPr>
    </w:p>
    <w:p w:rsidR="00765087" w:rsidRPr="00EC66CA" w:rsidP="000F25C2" w14:paraId="1139C761" w14:textId="77777777">
      <w:pPr>
        <w:autoSpaceDE w:val="0"/>
        <w:autoSpaceDN w:val="0"/>
        <w:adjustRightInd w:val="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 xml:space="preserve">ex </w:t>
      </w:r>
      <w:r w:rsidRPr="00EC66CA">
        <w:rPr>
          <w:i/>
          <w:szCs w:val="22"/>
        </w:rPr>
        <w:t>parte</w:t>
      </w:r>
      <w:r w:rsidRPr="00EC66CA">
        <w:rPr>
          <w:szCs w:val="22"/>
        </w:rPr>
        <w:t xml:space="preserve"> rules.  Persons making </w:t>
      </w:r>
      <w:r w:rsidRPr="00EC66CA">
        <w:rPr>
          <w:i/>
          <w:szCs w:val="22"/>
        </w:rPr>
        <w:t xml:space="preserve">ex </w:t>
      </w:r>
      <w:r w:rsidRPr="00EC66CA">
        <w:rPr>
          <w:i/>
          <w:szCs w:val="22"/>
        </w:rPr>
        <w:t>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 xml:space="preserve">ex </w:t>
      </w:r>
      <w:r w:rsidRPr="00EC66CA">
        <w:rPr>
          <w:i/>
          <w:szCs w:val="22"/>
        </w:rPr>
        <w:t>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 xml:space="preserve">ex </w:t>
      </w:r>
      <w:r w:rsidRPr="00EC66CA">
        <w:rPr>
          <w:i/>
          <w:szCs w:val="22"/>
        </w:rPr>
        <w:t>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 xml:space="preserve">ex </w:t>
      </w:r>
      <w:r w:rsidRPr="00EC66CA">
        <w:rPr>
          <w:i/>
          <w:szCs w:val="22"/>
        </w:rPr>
        <w:t>parte</w:t>
      </w:r>
      <w:r w:rsidRPr="00EC66CA">
        <w:rPr>
          <w:szCs w:val="22"/>
        </w:rPr>
        <w:t xml:space="preserve"> meetings are deemed to be written </w:t>
      </w:r>
      <w:r w:rsidRPr="00EC66CA">
        <w:rPr>
          <w:i/>
          <w:szCs w:val="22"/>
        </w:rPr>
        <w:t xml:space="preserve">ex </w:t>
      </w:r>
      <w:r w:rsidRPr="00EC66CA">
        <w:rPr>
          <w:i/>
          <w:szCs w:val="22"/>
        </w:rPr>
        <w:t>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 xml:space="preserve">ex </w:t>
      </w:r>
      <w:r w:rsidRPr="00EC66CA">
        <w:rPr>
          <w:i/>
          <w:szCs w:val="22"/>
        </w:rPr>
        <w:t>parte</w:t>
      </w:r>
      <w:r w:rsidRPr="00EC66CA">
        <w:rPr>
          <w:szCs w:val="22"/>
        </w:rPr>
        <w:t xml:space="preserve"> rules.</w:t>
      </w:r>
    </w:p>
    <w:p w:rsidR="00C9311E" w:rsidP="00C9311E" w14:paraId="0AEB64C0" w14:textId="77777777">
      <w:pPr>
        <w:autoSpaceDE w:val="0"/>
        <w:autoSpaceDN w:val="0"/>
        <w:adjustRightInd w:val="0"/>
        <w:ind w:firstLine="720"/>
        <w:rPr>
          <w:szCs w:val="22"/>
        </w:rPr>
      </w:pPr>
    </w:p>
    <w:p w:rsidR="00765087" w:rsidRPr="00EB5F81" w:rsidP="00C9311E" w14:paraId="70A28BFB" w14:textId="0121DB6C">
      <w:pPr>
        <w:autoSpaceDE w:val="0"/>
        <w:autoSpaceDN w:val="0"/>
        <w:adjustRightInd w:val="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9"/>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9311E" w:rsidP="00C9311E" w14:paraId="1AD8AF31" w14:textId="77777777">
      <w:pPr>
        <w:autoSpaceDE w:val="0"/>
        <w:autoSpaceDN w:val="0"/>
        <w:adjustRightInd w:val="0"/>
        <w:ind w:firstLine="720"/>
        <w:rPr>
          <w:szCs w:val="22"/>
        </w:rPr>
      </w:pPr>
    </w:p>
    <w:p w:rsidR="00DD046A" w:rsidP="00C9311E" w14:paraId="71C0185D" w14:textId="29DFFB6D">
      <w:pPr>
        <w:autoSpaceDE w:val="0"/>
        <w:autoSpaceDN w:val="0"/>
        <w:adjustRightInd w:val="0"/>
        <w:ind w:firstLine="720"/>
        <w:rPr>
          <w:szCs w:val="22"/>
        </w:rPr>
      </w:pPr>
      <w:r w:rsidRPr="009753C0">
        <w:rPr>
          <w:szCs w:val="22"/>
        </w:rPr>
        <w:t xml:space="preserve">For further information, contact </w:t>
      </w:r>
      <w:r>
        <w:rPr>
          <w:szCs w:val="22"/>
        </w:rPr>
        <w:t>Clay DeCell, International Bureau, (202) 418-0803</w:t>
      </w:r>
      <w:r w:rsidRPr="006B7F06">
        <w:rPr>
          <w:szCs w:val="22"/>
        </w:rPr>
        <w:t>.</w:t>
      </w:r>
      <w:r>
        <w:rPr>
          <w:szCs w:val="22"/>
        </w:rPr>
        <w:br w:type="page"/>
      </w:r>
    </w:p>
    <w:p w:rsidR="007776FA" w:rsidRPr="00B0712D" w:rsidP="002431C2" w14:paraId="5DB32380" w14:textId="0AE7A6D2">
      <w:pPr>
        <w:autoSpaceDE w:val="0"/>
        <w:autoSpaceDN w:val="0"/>
        <w:adjustRightInd w:val="0"/>
        <w:contextualSpacing/>
        <w:jc w:val="center"/>
        <w:rPr>
          <w:szCs w:val="22"/>
          <w:u w:val="single"/>
        </w:rPr>
      </w:pPr>
      <w:r w:rsidRPr="00B0712D">
        <w:rPr>
          <w:b/>
          <w:bCs/>
          <w:szCs w:val="22"/>
          <w:u w:val="single"/>
        </w:rPr>
        <w:t>ATTACHMENT</w:t>
      </w:r>
    </w:p>
    <w:p w:rsidR="002B0946" w:rsidP="002431C2" w14:paraId="56536D18" w14:textId="07A224D6">
      <w:pPr>
        <w:autoSpaceDE w:val="0"/>
        <w:autoSpaceDN w:val="0"/>
        <w:adjustRightInd w:val="0"/>
        <w:contextualSpacing/>
      </w:pPr>
    </w:p>
    <w:p w:rsidR="00C74AA3" w:rsidP="002431C2" w14:paraId="27FA7C48" w14:textId="4F7EA56E">
      <w:pPr>
        <w:contextualSpacing/>
      </w:pPr>
    </w:p>
    <w:p w:rsidR="00C74AA3" w:rsidRPr="00C74AA3" w:rsidP="002431C2" w14:paraId="489D4D8B" w14:textId="4CDCA3CF">
      <w:pPr>
        <w:contextualSpacing/>
        <w:rPr>
          <w:b/>
          <w:bCs/>
        </w:rPr>
      </w:pPr>
      <w:r w:rsidRPr="00C74AA3">
        <w:rPr>
          <w:b/>
          <w:bCs/>
        </w:rPr>
        <w:t>Part 5 – Experimental Licenses</w:t>
      </w:r>
    </w:p>
    <w:p w:rsidR="00C74AA3" w:rsidP="002431C2" w14:paraId="0F4AB6FE" w14:textId="405AF7DA">
      <w:pPr>
        <w:contextualSpacing/>
      </w:pPr>
    </w:p>
    <w:p w:rsidR="005C5A7B" w:rsidP="005C5A7B" w14:paraId="28AD2425" w14:textId="4CAF797D">
      <w:pPr>
        <w:contextualSpacing/>
      </w:pPr>
      <w:r w:rsidRPr="001F57A7">
        <w:rPr>
          <w:u w:val="single"/>
        </w:rPr>
        <w:t>File Number</w:t>
      </w:r>
      <w:r>
        <w:tab/>
      </w:r>
      <w:r>
        <w:tab/>
      </w:r>
      <w:r>
        <w:tab/>
      </w:r>
      <w:r>
        <w:tab/>
      </w:r>
      <w:r w:rsidRPr="001F57A7">
        <w:rPr>
          <w:u w:val="single"/>
        </w:rPr>
        <w:t>Licensee</w:t>
      </w:r>
      <w:r>
        <w:tab/>
      </w:r>
      <w:r>
        <w:tab/>
      </w:r>
      <w:r>
        <w:tab/>
      </w:r>
      <w:r w:rsidR="006730BB">
        <w:tab/>
      </w:r>
      <w:r w:rsidRPr="001F57A7">
        <w:rPr>
          <w:u w:val="single"/>
        </w:rPr>
        <w:t>Call Sign</w:t>
      </w:r>
    </w:p>
    <w:p w:rsidR="00C74AA3" w:rsidP="002431C2" w14:paraId="7CE34E44" w14:textId="47852852">
      <w:pPr>
        <w:contextualSpacing/>
      </w:pPr>
    </w:p>
    <w:p w:rsidR="00C74AA3" w:rsidP="002431C2" w14:paraId="5A68AFBF" w14:textId="02D47CB1">
      <w:pPr>
        <w:contextualSpacing/>
      </w:pPr>
      <w:r w:rsidRPr="005C5A7B">
        <w:t>0013-EX-AU-2021</w:t>
      </w:r>
      <w:r>
        <w:tab/>
      </w:r>
      <w:r>
        <w:tab/>
      </w:r>
      <w:r>
        <w:tab/>
      </w:r>
      <w:r w:rsidRPr="005C5A7B">
        <w:t>Intelsat License LLC</w:t>
      </w:r>
      <w:r>
        <w:tab/>
      </w:r>
      <w:r>
        <w:tab/>
      </w:r>
      <w:r w:rsidR="006730BB">
        <w:tab/>
      </w:r>
      <w:r w:rsidRPr="005C5A7B">
        <w:t>WL2XTQ</w:t>
      </w:r>
    </w:p>
    <w:p w:rsidR="00C74AA3" w:rsidP="002431C2" w14:paraId="7BF8EB44" w14:textId="76A9D2FF">
      <w:pPr>
        <w:contextualSpacing/>
      </w:pPr>
    </w:p>
    <w:p w:rsidR="00BA6B00" w:rsidP="00BA6B00" w14:paraId="5FAB5478" w14:textId="77777777">
      <w:pPr>
        <w:contextualSpacing/>
      </w:pPr>
      <w:r w:rsidRPr="00336A58">
        <w:t>0014-EX-AU-2021</w:t>
      </w:r>
      <w:r>
        <w:tab/>
      </w:r>
      <w:r>
        <w:tab/>
      </w:r>
      <w:r>
        <w:tab/>
      </w:r>
      <w:r w:rsidRPr="00336A58">
        <w:t xml:space="preserve">Intelsat US LLC, </w:t>
      </w:r>
      <w:r>
        <w:tab/>
      </w:r>
      <w:r>
        <w:tab/>
      </w:r>
      <w:r>
        <w:tab/>
      </w:r>
      <w:r w:rsidRPr="00336A58">
        <w:t>WL2XHT</w:t>
      </w:r>
    </w:p>
    <w:p w:rsidR="00BA6B00" w:rsidP="00BA6B00" w14:paraId="4AD45889" w14:textId="77777777">
      <w:pPr>
        <w:ind w:left="2880" w:firstLine="720"/>
        <w:contextualSpacing/>
      </w:pPr>
      <w:r w:rsidRPr="00336A58">
        <w:t>as debtor</w:t>
      </w:r>
      <w:r>
        <w:t>-</w:t>
      </w:r>
      <w:r w:rsidRPr="00336A58">
        <w:t>in</w:t>
      </w:r>
      <w:r>
        <w:t>-</w:t>
      </w:r>
      <w:r w:rsidRPr="00336A58">
        <w:t>possession</w:t>
      </w:r>
    </w:p>
    <w:p w:rsidR="00BA6B00" w:rsidP="002431C2" w14:paraId="1619C157" w14:textId="77777777">
      <w:pPr>
        <w:contextualSpacing/>
      </w:pPr>
    </w:p>
    <w:p w:rsidR="00336A58" w:rsidP="002431C2" w14:paraId="6C10748C" w14:textId="4F554A8C">
      <w:pPr>
        <w:contextualSpacing/>
      </w:pPr>
      <w:r w:rsidRPr="00336A58">
        <w:t>0032-EX-TU-2021</w:t>
      </w:r>
      <w:r w:rsidRPr="00336A58">
        <w:tab/>
      </w:r>
      <w:r>
        <w:tab/>
      </w:r>
      <w:r>
        <w:tab/>
      </w:r>
      <w:r w:rsidRPr="00336A58">
        <w:t>Intelsat Inflight Licenses LLC</w:t>
      </w:r>
      <w:r>
        <w:tab/>
      </w:r>
      <w:r w:rsidR="006730BB">
        <w:tab/>
      </w:r>
      <w:r w:rsidRPr="00336A58">
        <w:t>WF2XMC</w:t>
      </w:r>
    </w:p>
    <w:p w:rsidR="00C74AA3" w:rsidP="002431C2" w14:paraId="56047982" w14:textId="77777777">
      <w:pPr>
        <w:contextualSpacing/>
      </w:pPr>
    </w:p>
    <w:p w:rsidR="002B0946" w:rsidP="002431C2" w14:paraId="72452D5C" w14:textId="77777777">
      <w:pPr>
        <w:contextualSpacing/>
      </w:pPr>
    </w:p>
    <w:p w:rsidR="00DD046A" w:rsidRPr="00450D07" w:rsidP="002431C2" w14:paraId="7F7079B8" w14:textId="62EA0CE5">
      <w:pPr>
        <w:contextualSpacing/>
        <w:rPr>
          <w:b/>
          <w:bCs/>
        </w:rPr>
      </w:pPr>
      <w:r w:rsidRPr="00450D07">
        <w:rPr>
          <w:b/>
          <w:bCs/>
        </w:rPr>
        <w:t>Part 25 – Space Station Licenses</w:t>
      </w:r>
    </w:p>
    <w:p w:rsidR="00DD046A" w:rsidP="002431C2" w14:paraId="70B3F5FB" w14:textId="77777777">
      <w:pPr>
        <w:contextualSpacing/>
      </w:pPr>
    </w:p>
    <w:p w:rsidR="00DD046A" w:rsidP="002431C2" w14:paraId="18FA752B" w14:textId="525D214C">
      <w:pPr>
        <w:contextualSpacing/>
      </w:pPr>
      <w:r w:rsidRPr="001F57A7">
        <w:rPr>
          <w:u w:val="single"/>
        </w:rPr>
        <w:t>File N</w:t>
      </w:r>
      <w:r w:rsidRPr="001F57A7" w:rsidR="008054EB">
        <w:rPr>
          <w:u w:val="single"/>
        </w:rPr>
        <w:t>umber</w:t>
      </w:r>
      <w:r>
        <w:tab/>
      </w:r>
      <w:r>
        <w:tab/>
      </w:r>
      <w:r>
        <w:tab/>
      </w:r>
      <w:r>
        <w:tab/>
      </w:r>
      <w:r w:rsidRPr="001F57A7">
        <w:rPr>
          <w:u w:val="single"/>
        </w:rPr>
        <w:t>Licensee</w:t>
      </w:r>
      <w:r>
        <w:tab/>
      </w:r>
      <w:r>
        <w:tab/>
      </w:r>
      <w:r>
        <w:tab/>
      </w:r>
      <w:r w:rsidR="006730BB">
        <w:tab/>
      </w:r>
      <w:r w:rsidRPr="001F57A7">
        <w:rPr>
          <w:u w:val="single"/>
        </w:rPr>
        <w:t>Lead Call Sign</w:t>
      </w:r>
    </w:p>
    <w:p w:rsidR="001F57A7" w:rsidP="002431C2" w14:paraId="6F9FA523" w14:textId="6675DAF0">
      <w:pPr>
        <w:contextualSpacing/>
      </w:pPr>
    </w:p>
    <w:p w:rsidR="004B50A6" w:rsidP="002431C2" w14:paraId="1651DBF5" w14:textId="59D340F7">
      <w:pPr>
        <w:contextualSpacing/>
      </w:pPr>
      <w:r w:rsidRPr="00450D07">
        <w:t>SAT-ASG-20210826-00117</w:t>
      </w:r>
      <w:r w:rsidR="00DD046A">
        <w:tab/>
      </w:r>
      <w:r w:rsidR="00DD046A">
        <w:tab/>
      </w:r>
      <w:r w:rsidRPr="004B50A6">
        <w:t xml:space="preserve">Intelsat License LLC, </w:t>
      </w:r>
      <w:r>
        <w:tab/>
      </w:r>
      <w:r>
        <w:tab/>
      </w:r>
      <w:r w:rsidR="006730BB">
        <w:tab/>
      </w:r>
      <w:r w:rsidRPr="004B50A6">
        <w:t>S2154</w:t>
      </w:r>
    </w:p>
    <w:p w:rsidR="00DD046A" w:rsidP="002431C2" w14:paraId="18A0DDB9" w14:textId="5ABCC156">
      <w:pPr>
        <w:ind w:left="2880" w:firstLine="720"/>
        <w:contextualSpacing/>
      </w:pPr>
      <w:r w:rsidRPr="004B50A6">
        <w:t>as debtor-</w:t>
      </w:r>
      <w:r>
        <w:t>in-possession</w:t>
      </w:r>
    </w:p>
    <w:p w:rsidR="00050B3D" w:rsidP="002431C2" w14:paraId="4CC5B5D4" w14:textId="77777777">
      <w:pPr>
        <w:contextualSpacing/>
      </w:pPr>
    </w:p>
    <w:p w:rsidR="00C332AE" w:rsidP="002431C2" w14:paraId="2CFF4055" w14:textId="18703433">
      <w:pPr>
        <w:contextualSpacing/>
      </w:pPr>
      <w:r w:rsidRPr="00C332AE">
        <w:t>SAT-ASG-20210827-00118</w:t>
      </w:r>
      <w:r>
        <w:tab/>
      </w:r>
      <w:r>
        <w:tab/>
      </w:r>
      <w:r w:rsidRPr="004B50A6">
        <w:t xml:space="preserve">Intelsat License LLC, </w:t>
      </w:r>
      <w:r>
        <w:tab/>
      </w:r>
      <w:r>
        <w:tab/>
      </w:r>
      <w:r w:rsidR="006730BB">
        <w:tab/>
      </w:r>
      <w:r w:rsidRPr="00C332AE">
        <w:t>S2385</w:t>
      </w:r>
    </w:p>
    <w:p w:rsidR="00C332AE" w:rsidP="002431C2" w14:paraId="5753C1E3" w14:textId="77777777">
      <w:pPr>
        <w:ind w:left="2880" w:firstLine="720"/>
        <w:contextualSpacing/>
      </w:pPr>
      <w:r w:rsidRPr="004B50A6">
        <w:t>as debtor-</w:t>
      </w:r>
      <w:r>
        <w:t>in-possession</w:t>
      </w:r>
    </w:p>
    <w:p w:rsidR="00050B3D" w:rsidP="002431C2" w14:paraId="63DE18C7" w14:textId="77777777">
      <w:pPr>
        <w:contextualSpacing/>
      </w:pPr>
    </w:p>
    <w:p w:rsidR="00DD046A" w:rsidP="002431C2" w14:paraId="6E66BAA0" w14:textId="238F54A8">
      <w:pPr>
        <w:contextualSpacing/>
      </w:pPr>
      <w:r w:rsidRPr="00330088">
        <w:t>SAT-T/C-20210826-00114</w:t>
      </w:r>
      <w:r>
        <w:tab/>
      </w:r>
      <w:r>
        <w:tab/>
      </w:r>
      <w:r w:rsidRPr="00330088">
        <w:t>Horizons-3 License LLC</w:t>
      </w:r>
      <w:r>
        <w:tab/>
      </w:r>
      <w:r w:rsidR="006730BB">
        <w:tab/>
      </w:r>
      <w:r w:rsidRPr="00330088">
        <w:t>S2947</w:t>
      </w:r>
    </w:p>
    <w:p w:rsidR="008054EB" w:rsidP="002431C2" w14:paraId="0A416701" w14:textId="73906626">
      <w:pPr>
        <w:contextualSpacing/>
      </w:pPr>
    </w:p>
    <w:p w:rsidR="008054EB" w:rsidP="002431C2" w14:paraId="07BA6F0A" w14:textId="77777777">
      <w:pPr>
        <w:contextualSpacing/>
      </w:pPr>
    </w:p>
    <w:p w:rsidR="008054EB" w:rsidRPr="00450D07" w:rsidP="002431C2" w14:paraId="0FA442EB" w14:textId="12A193B6">
      <w:pPr>
        <w:contextualSpacing/>
        <w:rPr>
          <w:b/>
          <w:bCs/>
        </w:rPr>
      </w:pPr>
      <w:r w:rsidRPr="00450D07">
        <w:rPr>
          <w:b/>
          <w:bCs/>
        </w:rPr>
        <w:t>Part 25 – Space Station Market Access Grants</w:t>
      </w:r>
    </w:p>
    <w:p w:rsidR="008054EB" w:rsidP="002431C2" w14:paraId="63FA5F61" w14:textId="77777777">
      <w:pPr>
        <w:contextualSpacing/>
      </w:pPr>
    </w:p>
    <w:p w:rsidR="00C332AE" w:rsidP="002431C2" w14:paraId="46CE70EE" w14:textId="5FD52655">
      <w:pPr>
        <w:contextualSpacing/>
      </w:pPr>
      <w:r w:rsidRPr="001F57A7">
        <w:rPr>
          <w:u w:val="single"/>
        </w:rPr>
        <w:t>File Number</w:t>
      </w:r>
      <w:r>
        <w:tab/>
      </w:r>
      <w:r>
        <w:tab/>
      </w:r>
      <w:r>
        <w:tab/>
      </w:r>
      <w:r>
        <w:tab/>
      </w:r>
      <w:r>
        <w:rPr>
          <w:u w:val="single"/>
        </w:rPr>
        <w:t>Grantee</w:t>
      </w:r>
      <w:r>
        <w:tab/>
      </w:r>
      <w:r>
        <w:tab/>
      </w:r>
      <w:r>
        <w:tab/>
      </w:r>
      <w:r>
        <w:tab/>
      </w:r>
      <w:r w:rsidR="006730BB">
        <w:tab/>
      </w:r>
      <w:r w:rsidRPr="001F57A7">
        <w:rPr>
          <w:u w:val="single"/>
        </w:rPr>
        <w:t>Call Sign</w:t>
      </w:r>
    </w:p>
    <w:p w:rsidR="008054EB" w:rsidP="002431C2" w14:paraId="41BC2D47" w14:textId="5D7135BE">
      <w:pPr>
        <w:contextualSpacing/>
      </w:pPr>
    </w:p>
    <w:p w:rsidR="00C332AE" w:rsidP="002431C2" w14:paraId="5B27A3E5" w14:textId="0F2C7595">
      <w:pPr>
        <w:contextualSpacing/>
      </w:pPr>
      <w:r w:rsidRPr="00C332AE">
        <w:t>SAT-MPL-20210826-00113</w:t>
      </w:r>
      <w:r>
        <w:tab/>
      </w:r>
      <w:r>
        <w:tab/>
      </w:r>
      <w:r w:rsidRPr="00C332AE">
        <w:t>Horizons-1 Satellite LLC</w:t>
      </w:r>
      <w:r>
        <w:tab/>
      </w:r>
      <w:r w:rsidR="006730BB">
        <w:tab/>
      </w:r>
      <w:r w:rsidRPr="00C332AE">
        <w:t>S2475</w:t>
      </w:r>
    </w:p>
    <w:p w:rsidR="00050B3D" w:rsidP="002431C2" w14:paraId="1CE4C7F8" w14:textId="77777777">
      <w:pPr>
        <w:contextualSpacing/>
      </w:pPr>
    </w:p>
    <w:p w:rsidR="006F76D7" w:rsidP="002431C2" w14:paraId="5EAA5C5B" w14:textId="37A77B6B">
      <w:pPr>
        <w:contextualSpacing/>
      </w:pPr>
      <w:r w:rsidRPr="006F76D7">
        <w:t>SAT-MPL-20210826-00115</w:t>
      </w:r>
      <w:r>
        <w:tab/>
      </w:r>
      <w:r>
        <w:tab/>
      </w:r>
      <w:r w:rsidRPr="004B50A6">
        <w:t xml:space="preserve">Intelsat License LLC, </w:t>
      </w:r>
      <w:r>
        <w:tab/>
      </w:r>
      <w:r>
        <w:tab/>
      </w:r>
      <w:r w:rsidR="006730BB">
        <w:tab/>
      </w:r>
      <w:r w:rsidRPr="006F76D7">
        <w:t>S3058</w:t>
      </w:r>
    </w:p>
    <w:p w:rsidR="006F76D7" w:rsidP="002431C2" w14:paraId="48A5F5B6" w14:textId="0EA5B4FC">
      <w:pPr>
        <w:ind w:left="2880" w:firstLine="720"/>
        <w:contextualSpacing/>
      </w:pPr>
      <w:r w:rsidRPr="004B50A6">
        <w:t>as debtor-</w:t>
      </w:r>
      <w:r>
        <w:t>in-possession</w:t>
      </w:r>
    </w:p>
    <w:p w:rsidR="00050B3D" w:rsidP="002431C2" w14:paraId="7317B505" w14:textId="77777777">
      <w:pPr>
        <w:contextualSpacing/>
      </w:pPr>
    </w:p>
    <w:p w:rsidR="00745015" w:rsidP="002431C2" w14:paraId="71B61F8B" w14:textId="2F368ABE">
      <w:pPr>
        <w:contextualSpacing/>
      </w:pPr>
      <w:r w:rsidRPr="00745015">
        <w:t>SAT-MPL-20210826-00116</w:t>
      </w:r>
      <w:r>
        <w:tab/>
      </w:r>
      <w:r>
        <w:tab/>
      </w:r>
      <w:r w:rsidRPr="004B50A6">
        <w:t xml:space="preserve">Intelsat License LLC, </w:t>
      </w:r>
      <w:r>
        <w:tab/>
      </w:r>
      <w:r>
        <w:tab/>
      </w:r>
      <w:r w:rsidR="006730BB">
        <w:tab/>
      </w:r>
      <w:r w:rsidRPr="00EF1D2F" w:rsidR="00EF1D2F">
        <w:t>S2592</w:t>
      </w:r>
    </w:p>
    <w:p w:rsidR="00745015" w:rsidP="002431C2" w14:paraId="72E513CD" w14:textId="77777777">
      <w:pPr>
        <w:ind w:left="2880" w:firstLine="720"/>
        <w:contextualSpacing/>
      </w:pPr>
      <w:r w:rsidRPr="004B50A6">
        <w:t>as debtor-</w:t>
      </w:r>
      <w:r>
        <w:t>in-possession</w:t>
      </w:r>
    </w:p>
    <w:p w:rsidR="00745015" w:rsidP="002431C2" w14:paraId="061CEDD5" w14:textId="5935867F">
      <w:pPr>
        <w:contextualSpacing/>
      </w:pPr>
    </w:p>
    <w:p w:rsidR="00C332AE" w:rsidP="002431C2" w14:paraId="55D3EF4E" w14:textId="77777777">
      <w:pPr>
        <w:contextualSpacing/>
      </w:pPr>
    </w:p>
    <w:p w:rsidR="00DD046A" w:rsidRPr="00450D07" w:rsidP="002431C2" w14:paraId="761283B5" w14:textId="172A02DA">
      <w:pPr>
        <w:contextualSpacing/>
        <w:rPr>
          <w:b/>
          <w:bCs/>
        </w:rPr>
      </w:pPr>
      <w:r w:rsidRPr="00450D07">
        <w:rPr>
          <w:b/>
          <w:bCs/>
        </w:rPr>
        <w:t>Part 25 – Earth Station Licenses</w:t>
      </w:r>
    </w:p>
    <w:p w:rsidR="00DD046A" w:rsidP="002431C2" w14:paraId="21B747C9" w14:textId="77777777">
      <w:pPr>
        <w:contextualSpacing/>
      </w:pPr>
    </w:p>
    <w:p w:rsidR="00DD046A" w:rsidP="002431C2" w14:paraId="047455BC" w14:textId="5607C085">
      <w:pPr>
        <w:contextualSpacing/>
      </w:pPr>
      <w:r w:rsidRPr="001F57A7">
        <w:rPr>
          <w:u w:val="single"/>
        </w:rPr>
        <w:t>File Number</w:t>
      </w:r>
      <w:r>
        <w:tab/>
      </w:r>
      <w:r>
        <w:tab/>
      </w:r>
      <w:r>
        <w:tab/>
      </w:r>
      <w:r>
        <w:tab/>
      </w:r>
      <w:r w:rsidRPr="001F57A7">
        <w:rPr>
          <w:u w:val="single"/>
        </w:rPr>
        <w:t>Licensee</w:t>
      </w:r>
      <w:r>
        <w:tab/>
      </w:r>
      <w:r>
        <w:tab/>
      </w:r>
      <w:r>
        <w:tab/>
      </w:r>
      <w:r w:rsidR="006730BB">
        <w:tab/>
      </w:r>
      <w:r w:rsidRPr="001F57A7">
        <w:rPr>
          <w:u w:val="single"/>
        </w:rPr>
        <w:t>Lead Call Sign</w:t>
      </w:r>
    </w:p>
    <w:p w:rsidR="00450D07" w:rsidP="002431C2" w14:paraId="0C1800DB" w14:textId="37081013">
      <w:pPr>
        <w:contextualSpacing/>
      </w:pPr>
    </w:p>
    <w:p w:rsidR="00BA6B00" w:rsidP="00BA6B00" w14:paraId="067B5107" w14:textId="77777777">
      <w:pPr>
        <w:contextualSpacing/>
      </w:pPr>
      <w:r>
        <w:t>SES-ASG-20210907-01540</w:t>
      </w:r>
      <w:r>
        <w:tab/>
      </w:r>
      <w:r>
        <w:tab/>
      </w:r>
      <w:r w:rsidRPr="004B50A6">
        <w:t xml:space="preserve">Intelsat License LLC, </w:t>
      </w:r>
      <w:r>
        <w:tab/>
      </w:r>
      <w:r>
        <w:tab/>
      </w:r>
      <w:r>
        <w:tab/>
      </w:r>
      <w:r w:rsidRPr="00105130">
        <w:t>E050169</w:t>
      </w:r>
    </w:p>
    <w:p w:rsidR="00BA6B00" w:rsidP="00BA6B00" w14:paraId="43E01D6F" w14:textId="77777777">
      <w:pPr>
        <w:ind w:left="2880" w:firstLine="720"/>
        <w:contextualSpacing/>
      </w:pPr>
      <w:r w:rsidRPr="004B50A6">
        <w:t>as debtor-</w:t>
      </w:r>
      <w:r>
        <w:t>in-possession</w:t>
      </w:r>
    </w:p>
    <w:p w:rsidR="00BA6B00" w:rsidP="00BA6B00" w14:paraId="07D60564" w14:textId="77777777">
      <w:pPr>
        <w:rPr>
          <w:szCs w:val="22"/>
        </w:rPr>
      </w:pPr>
    </w:p>
    <w:p w:rsidR="00BA6B00" w:rsidP="00BA6B00" w14:paraId="38998D8B" w14:textId="77777777">
      <w:pPr>
        <w:contextualSpacing/>
      </w:pPr>
      <w:r>
        <w:t>SES-ASG-20210907-01541</w:t>
      </w:r>
      <w:r>
        <w:tab/>
      </w:r>
      <w:r>
        <w:tab/>
      </w:r>
      <w:r w:rsidRPr="004B50A6">
        <w:t xml:space="preserve">Intelsat License LLC, </w:t>
      </w:r>
      <w:r>
        <w:tab/>
      </w:r>
      <w:r>
        <w:tab/>
      </w:r>
      <w:r>
        <w:tab/>
      </w:r>
      <w:r w:rsidRPr="00731812">
        <w:t>E000049</w:t>
      </w:r>
    </w:p>
    <w:p w:rsidR="00BA6B00" w:rsidP="00BA6B00" w14:paraId="75D7DA85" w14:textId="77777777">
      <w:pPr>
        <w:ind w:left="2880" w:firstLine="720"/>
        <w:contextualSpacing/>
      </w:pPr>
      <w:r w:rsidRPr="004B50A6">
        <w:t>as debtor-</w:t>
      </w:r>
      <w:r>
        <w:t>in-possession</w:t>
      </w:r>
    </w:p>
    <w:p w:rsidR="00BA6B00" w:rsidP="00BA6B00" w14:paraId="74E71607" w14:textId="77777777">
      <w:pPr>
        <w:contextualSpacing/>
      </w:pPr>
    </w:p>
    <w:p w:rsidR="00BA6B00" w:rsidP="00BA6B00" w14:paraId="6044F22B" w14:textId="77777777">
      <w:pPr>
        <w:contextualSpacing/>
      </w:pPr>
      <w:r>
        <w:t>SES-ASG-20210907-01542</w:t>
      </w:r>
      <w:r>
        <w:tab/>
      </w:r>
      <w:r>
        <w:tab/>
      </w:r>
      <w:r w:rsidRPr="004B50A6">
        <w:t xml:space="preserve">Intelsat License LLC, </w:t>
      </w:r>
      <w:r>
        <w:tab/>
      </w:r>
      <w:r>
        <w:tab/>
      </w:r>
      <w:r>
        <w:tab/>
      </w:r>
      <w:r w:rsidRPr="00105130">
        <w:t>E070234</w:t>
      </w:r>
    </w:p>
    <w:p w:rsidR="00BA6B00" w:rsidP="00BA6B00" w14:paraId="500B3D8D" w14:textId="77777777">
      <w:pPr>
        <w:ind w:left="2880" w:firstLine="720"/>
        <w:contextualSpacing/>
      </w:pPr>
      <w:r w:rsidRPr="004B50A6">
        <w:t>as debtor-</w:t>
      </w:r>
      <w:r>
        <w:t>in-possession</w:t>
      </w:r>
    </w:p>
    <w:p w:rsidR="00BA6B00" w:rsidP="00DB2ED8" w14:paraId="2BD850B7" w14:textId="77777777">
      <w:pPr>
        <w:contextualSpacing/>
      </w:pPr>
    </w:p>
    <w:p w:rsidR="00DB2ED8" w:rsidP="00DB2ED8" w14:paraId="47ED4302" w14:textId="5A453392">
      <w:pPr>
        <w:contextualSpacing/>
      </w:pPr>
      <w:r w:rsidRPr="009013B1">
        <w:t>SES-T/C-</w:t>
      </w:r>
      <w:r>
        <w:t>20210827-01539</w:t>
      </w:r>
      <w:r>
        <w:tab/>
      </w:r>
      <w:r>
        <w:tab/>
        <w:t>Intelsat Inflight Licenses LLC</w:t>
      </w:r>
      <w:r>
        <w:tab/>
      </w:r>
      <w:r>
        <w:tab/>
      </w:r>
      <w:r w:rsidRPr="009013B1">
        <w:t>E120106</w:t>
      </w:r>
    </w:p>
    <w:p w:rsidR="00DB2ED8" w:rsidP="00DB2ED8" w14:paraId="74307851" w14:textId="77777777">
      <w:pPr>
        <w:contextualSpacing/>
      </w:pPr>
    </w:p>
    <w:p w:rsidR="00DB2ED8" w:rsidP="00DB2ED8" w14:paraId="0284BE68" w14:textId="77777777">
      <w:pPr>
        <w:contextualSpacing/>
      </w:pPr>
      <w:r w:rsidRPr="009013B1">
        <w:t>SES-T/C-</w:t>
      </w:r>
      <w:r>
        <w:t>20210827-01543</w:t>
      </w:r>
      <w:r>
        <w:tab/>
      </w:r>
      <w:r>
        <w:tab/>
        <w:t>Intelsat Inflight Licenses LLC</w:t>
      </w:r>
      <w:r>
        <w:tab/>
      </w:r>
      <w:r>
        <w:tab/>
      </w:r>
      <w:r w:rsidRPr="009013B1">
        <w:t>E150104</w:t>
      </w:r>
    </w:p>
    <w:p w:rsidR="001719AE" w:rsidP="002431C2" w14:paraId="55698831" w14:textId="6669CC56">
      <w:pPr>
        <w:contextualSpacing/>
      </w:pPr>
    </w:p>
    <w:p w:rsidR="00082B7E" w:rsidP="002431C2" w14:paraId="4A3FD0DB" w14:textId="0D3C4AB0">
      <w:pPr>
        <w:contextualSpacing/>
      </w:pPr>
    </w:p>
    <w:p w:rsidR="00082B7E" w:rsidRPr="00E256C3" w:rsidP="002431C2" w14:paraId="5D09EF58" w14:textId="720852F4">
      <w:pPr>
        <w:contextualSpacing/>
        <w:rPr>
          <w:b/>
          <w:bCs/>
        </w:rPr>
      </w:pPr>
      <w:r w:rsidRPr="00E256C3">
        <w:rPr>
          <w:b/>
          <w:bCs/>
        </w:rPr>
        <w:t>Part 25 – Earth Station Receive-Only Registrations</w:t>
      </w:r>
    </w:p>
    <w:p w:rsidR="00E256C3" w:rsidP="002431C2" w14:paraId="463EA8C0" w14:textId="6CDCA03E">
      <w:pPr>
        <w:contextualSpacing/>
      </w:pPr>
    </w:p>
    <w:p w:rsidR="00242F96" w:rsidP="002431C2" w14:paraId="63A0D930" w14:textId="45F795A2">
      <w:pPr>
        <w:contextualSpacing/>
      </w:pPr>
      <w:r w:rsidRPr="00242F96">
        <w:rPr>
          <w:u w:val="single"/>
        </w:rPr>
        <w:t>File Number</w:t>
      </w:r>
      <w:r>
        <w:tab/>
      </w:r>
      <w:r>
        <w:tab/>
      </w:r>
      <w:r>
        <w:tab/>
      </w:r>
      <w:r w:rsidR="006730BB">
        <w:tab/>
      </w:r>
      <w:r w:rsidRPr="00242F96">
        <w:rPr>
          <w:u w:val="single"/>
        </w:rPr>
        <w:t>Registrant</w:t>
      </w:r>
      <w:r>
        <w:tab/>
      </w:r>
      <w:r>
        <w:tab/>
      </w:r>
      <w:r>
        <w:tab/>
      </w:r>
      <w:r w:rsidR="006730BB">
        <w:tab/>
      </w:r>
      <w:r w:rsidRPr="00242F96">
        <w:rPr>
          <w:u w:val="single"/>
        </w:rPr>
        <w:t>Lead Call Sign</w:t>
      </w:r>
    </w:p>
    <w:p w:rsidR="00242F96" w:rsidP="002431C2" w14:paraId="4CA32867" w14:textId="77777777">
      <w:pPr>
        <w:contextualSpacing/>
      </w:pPr>
    </w:p>
    <w:p w:rsidR="00E256C3" w:rsidP="002431C2" w14:paraId="1253156F" w14:textId="46343DDF">
      <w:pPr>
        <w:contextualSpacing/>
      </w:pPr>
      <w:r w:rsidRPr="00797B7D">
        <w:t>SES-ASG-20210826-01513</w:t>
      </w:r>
      <w:r>
        <w:tab/>
      </w:r>
      <w:r w:rsidR="006730BB">
        <w:tab/>
      </w:r>
      <w:r w:rsidRPr="004B50A6">
        <w:t xml:space="preserve">Intelsat License LLC, </w:t>
      </w:r>
      <w:r>
        <w:tab/>
      </w:r>
      <w:r>
        <w:tab/>
      </w:r>
      <w:r w:rsidR="006730BB">
        <w:tab/>
      </w:r>
      <w:r w:rsidRPr="00797B7D">
        <w:t>E010334</w:t>
      </w:r>
    </w:p>
    <w:p w:rsidR="00E256C3" w:rsidP="006730BB" w14:paraId="186A09AF" w14:textId="77777777">
      <w:pPr>
        <w:ind w:left="2880" w:firstLine="720"/>
        <w:contextualSpacing/>
      </w:pPr>
      <w:r w:rsidRPr="004B50A6">
        <w:t>as debtor-</w:t>
      </w:r>
      <w:r>
        <w:t>in-possession</w:t>
      </w:r>
    </w:p>
    <w:p w:rsidR="00E256C3" w:rsidP="002431C2" w14:paraId="66FC6A33" w14:textId="77777777">
      <w:pPr>
        <w:contextualSpacing/>
      </w:pPr>
    </w:p>
    <w:p w:rsidR="00082B7E" w:rsidP="002431C2" w14:paraId="04A3FDF6" w14:textId="391DC369">
      <w:pPr>
        <w:contextualSpacing/>
      </w:pPr>
    </w:p>
    <w:p w:rsidR="00A01C23" w:rsidRPr="008054EB" w:rsidP="00A01C23" w14:paraId="148A2C62" w14:textId="77777777">
      <w:pPr>
        <w:autoSpaceDE w:val="0"/>
        <w:autoSpaceDN w:val="0"/>
        <w:adjustRightInd w:val="0"/>
        <w:contextualSpacing/>
        <w:rPr>
          <w:b/>
          <w:bCs/>
        </w:rPr>
      </w:pPr>
      <w:r w:rsidRPr="008054EB">
        <w:rPr>
          <w:b/>
          <w:bCs/>
        </w:rPr>
        <w:t>Part 63 – International Section 214 Authorization</w:t>
      </w:r>
    </w:p>
    <w:p w:rsidR="00A01C23" w:rsidP="00A01C23" w14:paraId="13D5648D" w14:textId="77777777">
      <w:pPr>
        <w:contextualSpacing/>
      </w:pPr>
    </w:p>
    <w:p w:rsidR="00A01C23" w:rsidP="00A01C23" w14:paraId="7C7F2A7E" w14:textId="1C82E7C8">
      <w:pPr>
        <w:contextualSpacing/>
      </w:pPr>
      <w:r>
        <w:t>The application for consent to the transfer of control of an international section 214 authorization has been assigned the file number listed below.</w:t>
      </w:r>
    </w:p>
    <w:p w:rsidR="00A01C23" w:rsidP="00A01C23" w14:paraId="358E2999" w14:textId="77777777">
      <w:pPr>
        <w:contextualSpacing/>
      </w:pPr>
    </w:p>
    <w:p w:rsidR="00A01C23" w:rsidP="00A01C23" w14:paraId="29DE95F2" w14:textId="5D365B91">
      <w:pPr>
        <w:contextualSpacing/>
      </w:pPr>
      <w:r w:rsidRPr="002B0946">
        <w:rPr>
          <w:u w:val="single"/>
        </w:rPr>
        <w:t>File N</w:t>
      </w:r>
      <w:r>
        <w:rPr>
          <w:u w:val="single"/>
        </w:rPr>
        <w:t>umber</w:t>
      </w:r>
      <w:r>
        <w:tab/>
      </w:r>
      <w:r>
        <w:tab/>
      </w:r>
      <w:r>
        <w:tab/>
      </w:r>
      <w:r w:rsidR="006730BB">
        <w:tab/>
      </w:r>
      <w:r w:rsidRPr="002B0946">
        <w:rPr>
          <w:u w:val="single"/>
        </w:rPr>
        <w:t>Authorization Holder</w:t>
      </w:r>
      <w:r>
        <w:tab/>
      </w:r>
      <w:r>
        <w:tab/>
      </w:r>
      <w:r w:rsidR="006730BB">
        <w:tab/>
      </w:r>
      <w:r w:rsidRPr="002B0946">
        <w:rPr>
          <w:u w:val="single"/>
        </w:rPr>
        <w:t>Authorization Number</w:t>
      </w:r>
    </w:p>
    <w:p w:rsidR="00A01C23" w:rsidP="00A01C23" w14:paraId="5B2B23B4" w14:textId="77777777">
      <w:pPr>
        <w:contextualSpacing/>
      </w:pPr>
    </w:p>
    <w:p w:rsidR="00A01C23" w:rsidP="00A01C23" w14:paraId="21059279" w14:textId="6502A07F">
      <w:pPr>
        <w:contextualSpacing/>
      </w:pPr>
      <w:r w:rsidRPr="002B0946">
        <w:t>ITC-T/C-20210907-00131</w:t>
      </w:r>
      <w:r>
        <w:tab/>
      </w:r>
      <w:r w:rsidR="006730BB">
        <w:tab/>
      </w:r>
      <w:r>
        <w:t xml:space="preserve">Intelsat General </w:t>
      </w:r>
      <w:r>
        <w:tab/>
      </w:r>
      <w:r>
        <w:tab/>
      </w:r>
      <w:r w:rsidR="006730BB">
        <w:t xml:space="preserve">      </w:t>
      </w:r>
      <w:r w:rsidR="00813EB4">
        <w:tab/>
      </w:r>
      <w:r w:rsidRPr="008054EB">
        <w:t>ITC-MOD-20050329-</w:t>
      </w:r>
    </w:p>
    <w:p w:rsidR="00A01C23" w:rsidP="00A46B65" w14:paraId="45DE69D6" w14:textId="30D414DC">
      <w:pPr>
        <w:ind w:left="2880" w:firstLine="720"/>
        <w:contextualSpacing/>
      </w:pPr>
      <w:r>
        <w:t>Communications LLC</w:t>
      </w:r>
      <w:r w:rsidR="00813EB4">
        <w:tab/>
      </w:r>
      <w:r w:rsidR="00813EB4">
        <w:tab/>
      </w:r>
      <w:r w:rsidR="00813EB4">
        <w:tab/>
      </w:r>
      <w:r w:rsidRPr="00813EB4" w:rsidR="00813EB4">
        <w:t>00170</w:t>
      </w:r>
    </w:p>
    <w:p w:rsidR="00A01C23" w:rsidP="002431C2" w14:paraId="4FE1626F" w14:textId="3BBF1CF6">
      <w:pPr>
        <w:contextualSpacing/>
      </w:pPr>
    </w:p>
    <w:p w:rsidR="00B96773" w:rsidP="002431C2" w14:paraId="2DC6CF6D" w14:textId="77777777">
      <w:pPr>
        <w:contextualSpacing/>
      </w:pPr>
    </w:p>
    <w:p w:rsidR="00DD046A" w:rsidRPr="00450D07" w:rsidP="002431C2" w14:paraId="7E09D0BB" w14:textId="5C453E3A">
      <w:pPr>
        <w:contextualSpacing/>
        <w:rPr>
          <w:b/>
          <w:bCs/>
        </w:rPr>
      </w:pPr>
      <w:r w:rsidRPr="00450D07">
        <w:rPr>
          <w:b/>
          <w:bCs/>
        </w:rPr>
        <w:t>Part 90 – Private Land Mobile Radio License</w:t>
      </w:r>
    </w:p>
    <w:p w:rsidR="00DD046A" w:rsidP="002431C2" w14:paraId="15D88690" w14:textId="77777777">
      <w:pPr>
        <w:contextualSpacing/>
      </w:pPr>
    </w:p>
    <w:p w:rsidR="008742F3" w:rsidP="002431C2" w14:paraId="4684E598" w14:textId="32E25F0A">
      <w:pPr>
        <w:contextualSpacing/>
      </w:pPr>
      <w:r w:rsidRPr="001F57A7">
        <w:rPr>
          <w:u w:val="single"/>
        </w:rPr>
        <w:t>File Number</w:t>
      </w:r>
      <w:r>
        <w:tab/>
      </w:r>
      <w:r>
        <w:tab/>
      </w:r>
      <w:r>
        <w:tab/>
      </w:r>
      <w:r w:rsidR="006730BB">
        <w:tab/>
      </w:r>
      <w:r w:rsidRPr="001F57A7">
        <w:rPr>
          <w:u w:val="single"/>
        </w:rPr>
        <w:t>Licensee</w:t>
      </w:r>
      <w:r>
        <w:tab/>
      </w:r>
      <w:r>
        <w:tab/>
      </w:r>
      <w:r>
        <w:tab/>
      </w:r>
      <w:r w:rsidR="006730BB">
        <w:tab/>
      </w:r>
      <w:r w:rsidRPr="001F57A7">
        <w:rPr>
          <w:u w:val="single"/>
        </w:rPr>
        <w:t>Call Sign</w:t>
      </w:r>
    </w:p>
    <w:p w:rsidR="00DD046A" w:rsidP="002431C2" w14:paraId="5999820E" w14:textId="47B2F1E9">
      <w:pPr>
        <w:contextualSpacing/>
      </w:pPr>
    </w:p>
    <w:p w:rsidR="008742F3" w:rsidP="002431C2" w14:paraId="57E3050C" w14:textId="3164D56E">
      <w:pPr>
        <w:contextualSpacing/>
      </w:pPr>
      <w:r w:rsidRPr="00082B7E">
        <w:t>0009684601</w:t>
      </w:r>
      <w:r>
        <w:tab/>
      </w:r>
      <w:r>
        <w:tab/>
      </w:r>
      <w:r>
        <w:tab/>
      </w:r>
      <w:r w:rsidR="006730BB">
        <w:tab/>
      </w:r>
      <w:r w:rsidRPr="004B50A6">
        <w:t xml:space="preserve">Intelsat License LLC, </w:t>
      </w:r>
      <w:r>
        <w:tab/>
      </w:r>
      <w:r>
        <w:tab/>
      </w:r>
      <w:r w:rsidR="006730BB">
        <w:tab/>
      </w:r>
      <w:r w:rsidRPr="008742F3">
        <w:t>WQSW724</w:t>
      </w:r>
    </w:p>
    <w:p w:rsidR="008742F3" w:rsidP="006730BB" w14:paraId="3B458D4E" w14:textId="77777777">
      <w:pPr>
        <w:ind w:left="2880" w:firstLine="720"/>
        <w:contextualSpacing/>
      </w:pPr>
      <w:r w:rsidRPr="004B50A6">
        <w:t>as debtor-</w:t>
      </w:r>
      <w:r>
        <w:t>in-possession</w:t>
      </w:r>
    </w:p>
    <w:p w:rsidR="008742F3" w:rsidP="002431C2" w14:paraId="36F74EA3" w14:textId="2977638D">
      <w:pPr>
        <w:contextualSpacing/>
      </w:pPr>
    </w:p>
    <w:p w:rsidR="00A01C23" w:rsidP="002431C2" w14:paraId="6432E5D9" w14:textId="77777777">
      <w:pPr>
        <w:contextualSpacing/>
      </w:pPr>
    </w:p>
    <w:p w:rsidR="00A01C23" w:rsidRPr="00A01C23" w:rsidP="00A01C23" w14:paraId="6EA94358" w14:textId="041B53A5">
      <w:pPr>
        <w:contextualSpacing/>
        <w:jc w:val="center"/>
        <w:rPr>
          <w:b/>
          <w:bCs/>
        </w:rPr>
      </w:pPr>
      <w:r w:rsidRPr="00A01C23">
        <w:rPr>
          <w:b/>
          <w:bCs/>
        </w:rPr>
        <w:t>– FCC –</w:t>
      </w:r>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1A5DD0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27EE" w14:paraId="1C136E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6424D8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6BEEF36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5445" w14:paraId="178BEC24" w14:textId="77777777">
      <w:r>
        <w:separator/>
      </w:r>
    </w:p>
  </w:footnote>
  <w:footnote w:type="continuationSeparator" w:id="1">
    <w:p w:rsidR="009F5445" w14:paraId="0225D1AE" w14:textId="77777777">
      <w:pPr>
        <w:rPr>
          <w:sz w:val="20"/>
        </w:rPr>
      </w:pPr>
      <w:r>
        <w:rPr>
          <w:sz w:val="20"/>
        </w:rPr>
        <w:t xml:space="preserve">(Continued from previous page)  </w:t>
      </w:r>
      <w:r>
        <w:rPr>
          <w:sz w:val="20"/>
        </w:rPr>
        <w:separator/>
      </w:r>
    </w:p>
  </w:footnote>
  <w:footnote w:type="continuationNotice" w:id="2">
    <w:p w:rsidR="009F5445" w14:paraId="4268C694" w14:textId="77777777">
      <w:pPr>
        <w:jc w:val="right"/>
        <w:rPr>
          <w:sz w:val="20"/>
        </w:rPr>
      </w:pPr>
      <w:r>
        <w:rPr>
          <w:sz w:val="20"/>
        </w:rPr>
        <w:t>(continued….)</w:t>
      </w:r>
    </w:p>
  </w:footnote>
  <w:footnote w:id="3">
    <w:p w:rsidR="00A162B3" w:rsidRPr="00C25666" w:rsidP="00A162B3" w14:paraId="2DA5B230" w14:textId="475C9921">
      <w:pPr>
        <w:pStyle w:val="FootnoteText"/>
      </w:pPr>
      <w:r w:rsidRPr="00C25666">
        <w:rPr>
          <w:rStyle w:val="FootnoteReference"/>
        </w:rPr>
        <w:footnoteRef/>
      </w:r>
      <w:r w:rsidRPr="00C25666">
        <w:t xml:space="preserve"> </w:t>
      </w:r>
      <w:r w:rsidRPr="00412BB9">
        <w:rPr>
          <w:i/>
          <w:iCs/>
        </w:rPr>
        <w:t>See</w:t>
      </w:r>
      <w:r>
        <w:t xml:space="preserve"> </w:t>
      </w:r>
      <w:r w:rsidRPr="00412BB9">
        <w:t xml:space="preserve">Application for Assignment of Authorizations </w:t>
      </w:r>
      <w:r>
        <w:t xml:space="preserve">held by </w:t>
      </w:r>
      <w:r w:rsidRPr="00412BB9">
        <w:t>Intelsat License</w:t>
      </w:r>
      <w:r>
        <w:t xml:space="preserve">, </w:t>
      </w:r>
      <w:r w:rsidR="003C2797">
        <w:t xml:space="preserve">as </w:t>
      </w:r>
      <w:r>
        <w:t>debtor-in-possession,</w:t>
      </w:r>
      <w:r w:rsidRPr="00412BB9">
        <w:t xml:space="preserve"> </w:t>
      </w:r>
      <w:r w:rsidR="000C4521">
        <w:t xml:space="preserve">Narrative, </w:t>
      </w:r>
      <w:r>
        <w:t xml:space="preserve">IBFS File No. </w:t>
      </w:r>
      <w:r w:rsidRPr="00412BB9">
        <w:t>SAT-ASG-20210826-00117</w:t>
      </w:r>
      <w:r>
        <w:t xml:space="preserve"> </w:t>
      </w:r>
      <w:r w:rsidRPr="00C25666">
        <w:t xml:space="preserve">(filed </w:t>
      </w:r>
      <w:r>
        <w:t>Aug. 26</w:t>
      </w:r>
      <w:r w:rsidRPr="00C25666">
        <w:t xml:space="preserve">, 2021) (Application). </w:t>
      </w:r>
      <w:r>
        <w:t xml:space="preserve"> The full list of applications subject to this Public Notice is set forth in the Attachment.</w:t>
      </w:r>
    </w:p>
  </w:footnote>
  <w:footnote w:id="4">
    <w:p w:rsidR="00547DFF" w:rsidP="00547DFF" w14:paraId="0A92BF47" w14:textId="77777777">
      <w:pPr>
        <w:pStyle w:val="FootnoteText"/>
      </w:pPr>
      <w:r>
        <w:rPr>
          <w:rStyle w:val="FootnoteReference"/>
        </w:rPr>
        <w:footnoteRef/>
      </w:r>
      <w:r>
        <w:t xml:space="preserve"> </w:t>
      </w:r>
      <w:r w:rsidRPr="00C25666">
        <w:rPr>
          <w:i/>
        </w:rPr>
        <w:t>See</w:t>
      </w:r>
      <w:r w:rsidRPr="00C25666">
        <w:t xml:space="preserve"> 47 U.S.C. §</w:t>
      </w:r>
      <w:r w:rsidRPr="004F6886">
        <w:rPr>
          <w:rFonts w:eastAsia="Calibri"/>
        </w:rPr>
        <w:t>§</w:t>
      </w:r>
      <w:r w:rsidRPr="00C25666">
        <w:t xml:space="preserve"> 214</w:t>
      </w:r>
      <w:r>
        <w:t xml:space="preserve">, </w:t>
      </w:r>
      <w:r w:rsidRPr="004F6886">
        <w:rPr>
          <w:rFonts w:eastAsia="Calibri"/>
        </w:rPr>
        <w:t>310</w:t>
      </w:r>
      <w:r>
        <w:rPr>
          <w:rFonts w:eastAsia="Calibri"/>
        </w:rPr>
        <w:t>(d)</w:t>
      </w:r>
      <w:r w:rsidRPr="00C25666">
        <w:t xml:space="preserve">; </w:t>
      </w:r>
      <w:r w:rsidRPr="00395733">
        <w:rPr>
          <w:i/>
          <w:iCs/>
        </w:rPr>
        <w:t>see also</w:t>
      </w:r>
      <w:r>
        <w:t xml:space="preserve"> </w:t>
      </w:r>
      <w:r w:rsidRPr="00021F2D">
        <w:t>47 CFR §§</w:t>
      </w:r>
      <w:r>
        <w:t> </w:t>
      </w:r>
      <w:r w:rsidRPr="00395733">
        <w:t>1.948(c)</w:t>
      </w:r>
      <w:r>
        <w:t xml:space="preserve">, </w:t>
      </w:r>
      <w:r w:rsidRPr="004E0FC0">
        <w:rPr>
          <w:szCs w:val="22"/>
        </w:rPr>
        <w:t>5.79</w:t>
      </w:r>
      <w:r>
        <w:rPr>
          <w:szCs w:val="22"/>
        </w:rPr>
        <w:t xml:space="preserve">, </w:t>
      </w:r>
      <w:r>
        <w:t>25.119, 25.137(g), 63.24.</w:t>
      </w:r>
    </w:p>
  </w:footnote>
  <w:footnote w:id="5">
    <w:p w:rsidR="00524685" w14:paraId="665496C1" w14:textId="19615488">
      <w:pPr>
        <w:pStyle w:val="FootnoteText"/>
      </w:pPr>
      <w:r>
        <w:rPr>
          <w:rStyle w:val="FootnoteReference"/>
        </w:rPr>
        <w:footnoteRef/>
      </w:r>
      <w:r>
        <w:t xml:space="preserve"> </w:t>
      </w:r>
      <w:r w:rsidRPr="00524685">
        <w:rPr>
          <w:i/>
          <w:iCs/>
        </w:rPr>
        <w:t>See</w:t>
      </w:r>
      <w:r>
        <w:t xml:space="preserve"> Application at 1</w:t>
      </w:r>
      <w:r w:rsidR="002610D8">
        <w:t>.</w:t>
      </w:r>
    </w:p>
  </w:footnote>
  <w:footnote w:id="6">
    <w:p w:rsidR="00524685" w:rsidRPr="008F48B1" w14:paraId="15A20CEF" w14:textId="24846B11">
      <w:pPr>
        <w:pStyle w:val="FootnoteText"/>
      </w:pPr>
      <w:r>
        <w:rPr>
          <w:rStyle w:val="FootnoteReference"/>
        </w:rPr>
        <w:footnoteRef/>
      </w:r>
      <w:r>
        <w:t xml:space="preserve"> </w:t>
      </w:r>
      <w:r w:rsidRPr="00524685">
        <w:rPr>
          <w:i/>
          <w:iCs/>
        </w:rPr>
        <w:t>Se</w:t>
      </w:r>
      <w:r w:rsidR="008F48B1">
        <w:rPr>
          <w:i/>
          <w:iCs/>
        </w:rPr>
        <w:t>e</w:t>
      </w:r>
      <w:r w:rsidRPr="008F7833" w:rsidR="008F48B1">
        <w:rPr>
          <w:i/>
          <w:iCs/>
        </w:rPr>
        <w:t xml:space="preserve"> </w:t>
      </w:r>
      <w:r w:rsidRPr="008F7833" w:rsidR="008F7833">
        <w:rPr>
          <w:i/>
          <w:iCs/>
        </w:rPr>
        <w:t>id</w:t>
      </w:r>
      <w:r w:rsidRPr="008F7833" w:rsidR="008F48B1">
        <w:rPr>
          <w:i/>
          <w:iCs/>
        </w:rPr>
        <w:t>.</w:t>
      </w:r>
    </w:p>
  </w:footnote>
  <w:footnote w:id="7">
    <w:p w:rsidR="00302AFF" w14:paraId="188C7297" w14:textId="742160A3">
      <w:pPr>
        <w:pStyle w:val="FootnoteText"/>
      </w:pPr>
      <w:r>
        <w:rPr>
          <w:rStyle w:val="FootnoteReference"/>
        </w:rPr>
        <w:footnoteRef/>
      </w:r>
      <w:r>
        <w:t xml:space="preserve"> </w:t>
      </w:r>
      <w:r w:rsidRPr="00302AFF">
        <w:rPr>
          <w:i/>
          <w:iCs/>
        </w:rPr>
        <w:t>Id.</w:t>
      </w:r>
      <w:r>
        <w:t xml:space="preserve">; </w:t>
      </w:r>
      <w:r w:rsidRPr="00302AFF">
        <w:rPr>
          <w:i/>
          <w:iCs/>
        </w:rPr>
        <w:t>see also, e.g.</w:t>
      </w:r>
      <w:r>
        <w:t xml:space="preserve">, IBFS File No. </w:t>
      </w:r>
      <w:r w:rsidRPr="00427BCE" w:rsidR="00427BCE">
        <w:t>SAT-ASG-20200522-00048</w:t>
      </w:r>
      <w:r w:rsidR="00427BCE">
        <w:t>.</w:t>
      </w:r>
    </w:p>
  </w:footnote>
  <w:footnote w:id="8">
    <w:p w:rsidR="00F27AFA" w14:paraId="7A153879" w14:textId="14F207CD">
      <w:pPr>
        <w:pStyle w:val="FootnoteText"/>
      </w:pPr>
      <w:r>
        <w:rPr>
          <w:rStyle w:val="FootnoteReference"/>
        </w:rPr>
        <w:footnoteRef/>
      </w:r>
      <w:r>
        <w:t xml:space="preserve"> </w:t>
      </w:r>
      <w:r>
        <w:t>Application at 2.</w:t>
      </w:r>
    </w:p>
  </w:footnote>
  <w:footnote w:id="9">
    <w:p w:rsidR="00CF568C" w14:paraId="368342DE" w14:textId="5BC0DEBC">
      <w:pPr>
        <w:pStyle w:val="FootnoteText"/>
      </w:pPr>
      <w:r>
        <w:rPr>
          <w:rStyle w:val="FootnoteReference"/>
        </w:rPr>
        <w:footnoteRef/>
      </w:r>
      <w:r>
        <w:t xml:space="preserve"> </w:t>
      </w:r>
      <w:r w:rsidRPr="008B5D45" w:rsidR="008B5D45">
        <w:rPr>
          <w:i/>
          <w:iCs/>
        </w:rPr>
        <w:t>I</w:t>
      </w:r>
      <w:r w:rsidRPr="00CF568C">
        <w:rPr>
          <w:i/>
          <w:iCs/>
        </w:rPr>
        <w:t>d.</w:t>
      </w:r>
    </w:p>
  </w:footnote>
  <w:footnote w:id="10">
    <w:p w:rsidR="00FE604C" w14:paraId="56B8BDC4" w14:textId="4F788229">
      <w:pPr>
        <w:pStyle w:val="FootnoteText"/>
      </w:pPr>
      <w:r>
        <w:rPr>
          <w:rStyle w:val="FootnoteReference"/>
        </w:rPr>
        <w:footnoteRef/>
      </w:r>
      <w:r>
        <w:t xml:space="preserve"> </w:t>
      </w:r>
      <w:r w:rsidRPr="00002AED" w:rsidR="00002AED">
        <w:rPr>
          <w:i/>
          <w:iCs/>
        </w:rPr>
        <w:t>I</w:t>
      </w:r>
      <w:r w:rsidRPr="00FE604C">
        <w:rPr>
          <w:i/>
          <w:iCs/>
        </w:rPr>
        <w:t>d.</w:t>
      </w:r>
    </w:p>
  </w:footnote>
  <w:footnote w:id="11">
    <w:p w:rsidR="00133048" w14:paraId="51AFEEFF" w14:textId="127CD2EB">
      <w:pPr>
        <w:pStyle w:val="FootnoteText"/>
      </w:pPr>
      <w:r>
        <w:rPr>
          <w:rStyle w:val="FootnoteReference"/>
        </w:rPr>
        <w:footnoteRef/>
      </w:r>
      <w:r>
        <w:t xml:space="preserve"> </w:t>
      </w:r>
      <w:r w:rsidRPr="008A1DCB" w:rsidR="008A1DCB">
        <w:rPr>
          <w:i/>
          <w:iCs/>
        </w:rPr>
        <w:t>I</w:t>
      </w:r>
      <w:r w:rsidRPr="00133048">
        <w:rPr>
          <w:i/>
          <w:iCs/>
        </w:rPr>
        <w:t>d.</w:t>
      </w:r>
    </w:p>
  </w:footnote>
  <w:footnote w:id="12">
    <w:p w:rsidR="00133048" w14:paraId="27CF8B11" w14:textId="75CBC98C">
      <w:pPr>
        <w:pStyle w:val="FootnoteText"/>
      </w:pPr>
      <w:r>
        <w:rPr>
          <w:rStyle w:val="FootnoteReference"/>
        </w:rPr>
        <w:footnoteRef/>
      </w:r>
      <w:r>
        <w:t xml:space="preserve"> </w:t>
      </w:r>
      <w:r w:rsidRPr="00133048">
        <w:rPr>
          <w:i/>
          <w:iCs/>
        </w:rPr>
        <w:t>Id.</w:t>
      </w:r>
    </w:p>
  </w:footnote>
  <w:footnote w:id="13">
    <w:p w:rsidR="00ED6AFB" w14:paraId="380E5C95" w14:textId="5698C6B3">
      <w:pPr>
        <w:pStyle w:val="FootnoteText"/>
      </w:pPr>
      <w:r>
        <w:rPr>
          <w:rStyle w:val="FootnoteReference"/>
        </w:rPr>
        <w:footnoteRef/>
      </w:r>
      <w:r>
        <w:t xml:space="preserve"> </w:t>
      </w:r>
      <w:r w:rsidRPr="00ED6AFB">
        <w:rPr>
          <w:i/>
          <w:iCs/>
        </w:rPr>
        <w:t>Id.</w:t>
      </w:r>
    </w:p>
  </w:footnote>
  <w:footnote w:id="14">
    <w:p w:rsidR="00BF5263" w:rsidRPr="000D0D16" w:rsidP="00BF5263" w14:paraId="13470D16" w14:textId="23DD66AE">
      <w:pPr>
        <w:pStyle w:val="FootnoteText"/>
      </w:pPr>
      <w:r>
        <w:rPr>
          <w:rStyle w:val="FootnoteReference"/>
        </w:rPr>
        <w:footnoteRef/>
      </w:r>
      <w:r>
        <w:t xml:space="preserve"> </w:t>
      </w:r>
      <w:r w:rsidRPr="00BF5263">
        <w:rPr>
          <w:i/>
          <w:iCs/>
        </w:rPr>
        <w:t>See</w:t>
      </w:r>
      <w:r w:rsidRPr="001F184B">
        <w:rPr>
          <w:i/>
          <w:iCs/>
        </w:rPr>
        <w:t xml:space="preserve"> </w:t>
      </w:r>
      <w:r w:rsidRPr="001F184B" w:rsidR="001F184B">
        <w:rPr>
          <w:i/>
          <w:iCs/>
        </w:rPr>
        <w:t>id.</w:t>
      </w:r>
      <w:r w:rsidRPr="000D0D16">
        <w:t xml:space="preserve"> at </w:t>
      </w:r>
      <w:r>
        <w:t>3-6</w:t>
      </w:r>
      <w:r w:rsidRPr="000D0D16">
        <w:t>.</w:t>
      </w:r>
    </w:p>
  </w:footnote>
  <w:footnote w:id="15">
    <w:p w:rsidR="00BA47A3" w:rsidP="00BA47A3" w14:paraId="453A92D4" w14:textId="6E9863F8">
      <w:pPr>
        <w:pStyle w:val="FootnoteText"/>
      </w:pPr>
      <w:r>
        <w:rPr>
          <w:rStyle w:val="FootnoteReference"/>
        </w:rPr>
        <w:footnoteRef/>
      </w:r>
      <w:r>
        <w:t xml:space="preserve"> </w:t>
      </w:r>
      <w:r w:rsidRPr="00157F7E">
        <w:rPr>
          <w:i/>
          <w:iCs/>
        </w:rPr>
        <w:t>Id.</w:t>
      </w:r>
      <w:r w:rsidRPr="00DE5F88" w:rsidR="00DE5F88">
        <w:t xml:space="preserve"> </w:t>
      </w:r>
      <w:r w:rsidR="00DE5F88">
        <w:t>at 4.</w:t>
      </w:r>
    </w:p>
  </w:footnote>
  <w:footnote w:id="16">
    <w:p w:rsidR="00157F7E" w14:paraId="70861F25" w14:textId="1FF16D76">
      <w:pPr>
        <w:pStyle w:val="FootnoteText"/>
      </w:pPr>
      <w:r>
        <w:rPr>
          <w:rStyle w:val="FootnoteReference"/>
        </w:rPr>
        <w:footnoteRef/>
      </w:r>
      <w:r>
        <w:t xml:space="preserve"> </w:t>
      </w:r>
      <w:r w:rsidRPr="00157F7E">
        <w:rPr>
          <w:i/>
          <w:iCs/>
        </w:rPr>
        <w:t>Id.</w:t>
      </w:r>
    </w:p>
  </w:footnote>
  <w:footnote w:id="17">
    <w:p w:rsidR="00574F59" w:rsidP="00A81593" w14:paraId="44CE6408" w14:textId="70963894">
      <w:pPr>
        <w:pStyle w:val="FootnoteText"/>
      </w:pPr>
      <w:r>
        <w:rPr>
          <w:rStyle w:val="FootnoteReference"/>
        </w:rPr>
        <w:footnoteRef/>
      </w:r>
      <w:r>
        <w:t xml:space="preserve"> </w:t>
      </w:r>
      <w:r w:rsidR="009278D6">
        <w:t xml:space="preserve">We </w:t>
      </w:r>
      <w:r w:rsidR="00211BD9">
        <w:t>find no reason to accept t</w:t>
      </w:r>
      <w:r w:rsidR="009278D6">
        <w:t>he Applicants</w:t>
      </w:r>
      <w:r w:rsidR="004F2088">
        <w:t>’</w:t>
      </w:r>
      <w:r w:rsidR="009278D6">
        <w:t xml:space="preserve"> </w:t>
      </w:r>
      <w:r w:rsidR="00CA77EE">
        <w:t>request</w:t>
      </w:r>
      <w:r w:rsidR="009278D6">
        <w:t xml:space="preserve"> </w:t>
      </w:r>
      <w:r w:rsidR="00D4505F">
        <w:t xml:space="preserve">to </w:t>
      </w:r>
      <w:r w:rsidR="009278D6">
        <w:t>not refer the applications to the Executive Branch agencies</w:t>
      </w:r>
      <w:r w:rsidR="00336D05">
        <w:t xml:space="preserve"> or </w:t>
      </w:r>
      <w:r w:rsidR="00211BD9">
        <w:t xml:space="preserve">to </w:t>
      </w:r>
      <w:r w:rsidR="00F074DB">
        <w:t xml:space="preserve">grant the </w:t>
      </w:r>
      <w:r w:rsidRPr="00F074DB" w:rsidR="00F074DB">
        <w:t>applications pending future completion of Executive Branch review</w:t>
      </w:r>
      <w:r w:rsidR="009278D6">
        <w:t xml:space="preserve">.  </w:t>
      </w:r>
      <w:r w:rsidR="00795CCB">
        <w:rPr>
          <w:i/>
          <w:iCs/>
        </w:rPr>
        <w:t xml:space="preserve">See </w:t>
      </w:r>
      <w:r w:rsidR="00D4505F">
        <w:t xml:space="preserve">Application at 5-6.  </w:t>
      </w:r>
      <w:r w:rsidR="009278D6">
        <w:t xml:space="preserve">As stated in the </w:t>
      </w:r>
      <w:r w:rsidRPr="00A46B65" w:rsidR="009278D6">
        <w:rPr>
          <w:i/>
          <w:iCs/>
        </w:rPr>
        <w:t>Executive Branch</w:t>
      </w:r>
      <w:r w:rsidR="003D397C">
        <w:rPr>
          <w:i/>
          <w:iCs/>
        </w:rPr>
        <w:t xml:space="preserve"> Review</w:t>
      </w:r>
      <w:r w:rsidRPr="00A46B65" w:rsidR="009278D6">
        <w:rPr>
          <w:i/>
          <w:iCs/>
        </w:rPr>
        <w:t xml:space="preserve"> Or</w:t>
      </w:r>
      <w:r w:rsidR="009278D6">
        <w:rPr>
          <w:i/>
          <w:iCs/>
        </w:rPr>
        <w:t>d</w:t>
      </w:r>
      <w:r w:rsidRPr="00A46B65" w:rsidR="009278D6">
        <w:rPr>
          <w:i/>
          <w:iCs/>
        </w:rPr>
        <w:t>er</w:t>
      </w:r>
      <w:r w:rsidR="00CA77EE">
        <w:t xml:space="preserve">, </w:t>
      </w:r>
      <w:r w:rsidR="00BC29EC">
        <w:t xml:space="preserve">we commonly refer </w:t>
      </w:r>
      <w:r w:rsidR="00F074DB">
        <w:t xml:space="preserve">international section 214 transfer of control </w:t>
      </w:r>
      <w:r w:rsidR="00BC29EC">
        <w:t xml:space="preserve">applications </w:t>
      </w:r>
      <w:r w:rsidR="00057D92">
        <w:t xml:space="preserve">with </w:t>
      </w:r>
      <w:r w:rsidR="007270E0">
        <w:t xml:space="preserve">reportable </w:t>
      </w:r>
      <w:r w:rsidR="00057D92">
        <w:t>foreign ownership</w:t>
      </w:r>
      <w:r w:rsidR="00211BD9">
        <w:t xml:space="preserve"> and related applications</w:t>
      </w:r>
      <w:r w:rsidR="00F074DB">
        <w:t xml:space="preserve">.  </w:t>
      </w:r>
      <w:r w:rsidRPr="00A46B65" w:rsidR="00A81593">
        <w:rPr>
          <w:i/>
          <w:iCs/>
        </w:rPr>
        <w:t>See</w:t>
      </w:r>
      <w:r w:rsidR="00A81593">
        <w:t xml:space="preserve"> </w:t>
      </w:r>
      <w:r w:rsidRPr="00A46B65" w:rsidR="00A81593">
        <w:rPr>
          <w:i/>
          <w:iCs/>
        </w:rPr>
        <w:t>Process Reform for Executive Branch Review of Certain FCC Applications and Petitions Involving Foreign Ownership</w:t>
      </w:r>
      <w:r w:rsidR="00A81593">
        <w:t xml:space="preserve">, Report and Order, </w:t>
      </w:r>
      <w:bookmarkStart w:id="1" w:name="_Hlk83372731"/>
      <w:r w:rsidR="00A81593">
        <w:t xml:space="preserve">35 FCC </w:t>
      </w:r>
      <w:r w:rsidR="00A81593">
        <w:t>Rcd</w:t>
      </w:r>
      <w:r w:rsidR="00A81593">
        <w:t xml:space="preserve"> </w:t>
      </w:r>
      <w:bookmarkEnd w:id="1"/>
      <w:r w:rsidR="00A81593">
        <w:t>10927, 10935-36, para. 24 (2020) (</w:t>
      </w:r>
      <w:r w:rsidRPr="00A46B65" w:rsidR="00A81593">
        <w:rPr>
          <w:i/>
          <w:iCs/>
        </w:rPr>
        <w:t>Executive Branch Review Order</w:t>
      </w:r>
      <w:r w:rsidR="00A81593">
        <w:t xml:space="preserve">); Erratum (Appendix B — Final Rules), DA 20-1404 (OMD/IB rel. Nov. 27, 2020); </w:t>
      </w:r>
      <w:r w:rsidRPr="00A46B65" w:rsidR="00A81593">
        <w:rPr>
          <w:i/>
          <w:iCs/>
        </w:rPr>
        <w:t>see id</w:t>
      </w:r>
      <w:r w:rsidR="00A81593">
        <w:t>. at 10935, para. 24 (</w:t>
      </w:r>
      <w:r w:rsidR="00057D92">
        <w:t>“[u</w:t>
      </w:r>
      <w:r w:rsidR="00412261">
        <w:t>]</w:t>
      </w:r>
      <w:r w:rsidRPr="00057D92" w:rsidR="00057D92">
        <w:t>nder</w:t>
      </w:r>
      <w:r w:rsidRPr="00057D92" w:rsidR="00057D92">
        <w:t xml:space="preserve"> the rules we adopt today, we will continue to refer applications for international section 214 authorizations and submarine cable landing licenses, as well as applications to assign, transfer control of or modify those authorizations and licenses, where the applicant has reportable foreign ownership</w:t>
      </w:r>
      <w:r w:rsidR="00412261">
        <w:t>. . . .</w:t>
      </w:r>
      <w:r w:rsidR="00211BD9">
        <w:t xml:space="preserve"> </w:t>
      </w:r>
      <w:r w:rsidRPr="00057D92" w:rsidR="00057D92">
        <w:t>In addition, we will refer, at the Commission’s discretion, all associated applications.</w:t>
      </w:r>
      <w:r w:rsidR="00795CCB">
        <w:t>”</w:t>
      </w:r>
      <w:r w:rsidR="00A81593">
        <w:t>)</w:t>
      </w:r>
      <w:r w:rsidR="00795CCB">
        <w:t>.</w:t>
      </w:r>
    </w:p>
  </w:footnote>
  <w:footnote w:id="18">
    <w:p w:rsidR="00765087" w:rsidRPr="00C25666" w:rsidP="00765087" w14:paraId="25D9CA67" w14:textId="1CD6B02C">
      <w:pPr>
        <w:pStyle w:val="FootnoteText"/>
      </w:pPr>
      <w:r w:rsidRPr="00C25666">
        <w:rPr>
          <w:rStyle w:val="FootnoteReference"/>
        </w:rPr>
        <w:footnoteRef/>
      </w:r>
      <w:r w:rsidRPr="00C25666">
        <w:t xml:space="preserve"> </w:t>
      </w:r>
      <w:r w:rsidRPr="00C25666">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C25666">
        <w:rPr>
          <w:i/>
          <w:iCs/>
        </w:rPr>
        <w:t>See FCC Announces Closure of FCC Headquarters Open Window and Change in Hand-Delivery Policy</w:t>
      </w:r>
      <w:r w:rsidRPr="00C25666">
        <w:t>, Public Notice, DA 20-304 (Mar</w:t>
      </w:r>
      <w:r w:rsidR="007E5E3C">
        <w:t>.</w:t>
      </w:r>
      <w:r w:rsidRPr="00C25666">
        <w:t xml:space="preserve"> 19, 2020)</w:t>
      </w:r>
      <w:r w:rsidR="0032223B">
        <w:t xml:space="preserve">, </w:t>
      </w:r>
      <w:hyperlink r:id="rId1" w:history="1">
        <w:r w:rsidRPr="00C25666" w:rsidR="0032223B">
          <w:rPr>
            <w:rStyle w:val="Hyperlink"/>
          </w:rPr>
          <w:t>https://www.fcc.gov/document/fcc-closes-headquarters-open-window-and-changes-hand-delivery-policy</w:t>
        </w:r>
      </w:hyperlink>
      <w:r w:rsidR="0032223B">
        <w:t>.</w:t>
      </w:r>
    </w:p>
  </w:footnote>
  <w:footnote w:id="19">
    <w:p w:rsidR="00765087" w:rsidRPr="00C25666" w:rsidP="00765087" w14:paraId="2F36959B" w14:textId="77777777">
      <w:pPr>
        <w:pStyle w:val="FootnoteText"/>
      </w:pPr>
      <w:r w:rsidRPr="00C25666">
        <w:rPr>
          <w:rStyle w:val="FootnoteReference"/>
        </w:rPr>
        <w:footnoteRef/>
      </w:r>
      <w:r w:rsidRPr="00C25666">
        <w:t xml:space="preserve"> </w:t>
      </w:r>
      <w:r w:rsidRPr="00C25666">
        <w:rPr>
          <w:i/>
        </w:rPr>
        <w:t>See</w:t>
      </w:r>
      <w:r w:rsidRPr="00C25666">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844" w14:paraId="2DC7B2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0BCD2DDE" w14:textId="3FEB7667">
    <w:pPr>
      <w:tabs>
        <w:tab w:val="center" w:pos="4680"/>
        <w:tab w:val="right" w:pos="9360"/>
      </w:tabs>
    </w:pPr>
    <w:r>
      <w:rPr>
        <w:b/>
      </w:rPr>
      <w:tab/>
    </w:r>
    <w:r>
      <w:rPr>
        <w:b/>
      </w:rPr>
      <w:t>Federal Communications Commission</w:t>
    </w:r>
    <w:r>
      <w:rPr>
        <w:b/>
      </w:rPr>
      <w:tab/>
    </w:r>
    <w:r w:rsidR="00642F07">
      <w:rPr>
        <w:b/>
      </w:rPr>
      <w:t>DA 21-</w:t>
    </w:r>
    <w:r w:rsidR="00021844">
      <w:rPr>
        <w:b/>
      </w:rPr>
      <w:t>1200</w:t>
    </w:r>
  </w:p>
  <w:p w:rsidR="003427EE" w14:paraId="59656295" w14:textId="76E75F08">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3427EE" w14:paraId="2183CC2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63E2F071" w14:textId="600C0F88">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B1"/>
    <w:rsid w:val="00002AED"/>
    <w:rsid w:val="000068AC"/>
    <w:rsid w:val="00021844"/>
    <w:rsid w:val="00021F2D"/>
    <w:rsid w:val="000221A6"/>
    <w:rsid w:val="000359D3"/>
    <w:rsid w:val="00050B3D"/>
    <w:rsid w:val="00057D92"/>
    <w:rsid w:val="00063DB4"/>
    <w:rsid w:val="00063F33"/>
    <w:rsid w:val="00077C5E"/>
    <w:rsid w:val="00082B7E"/>
    <w:rsid w:val="00093B1F"/>
    <w:rsid w:val="000A550B"/>
    <w:rsid w:val="000B3FCF"/>
    <w:rsid w:val="000C3073"/>
    <w:rsid w:val="000C4521"/>
    <w:rsid w:val="000C5A17"/>
    <w:rsid w:val="000D0D16"/>
    <w:rsid w:val="000D1873"/>
    <w:rsid w:val="000E20B3"/>
    <w:rsid w:val="000F12DD"/>
    <w:rsid w:val="000F25C2"/>
    <w:rsid w:val="0010111A"/>
    <w:rsid w:val="00105130"/>
    <w:rsid w:val="0011311D"/>
    <w:rsid w:val="00114A40"/>
    <w:rsid w:val="00117FA9"/>
    <w:rsid w:val="0013161F"/>
    <w:rsid w:val="00131791"/>
    <w:rsid w:val="00133048"/>
    <w:rsid w:val="00133F3F"/>
    <w:rsid w:val="00157F7E"/>
    <w:rsid w:val="00160E88"/>
    <w:rsid w:val="00160F38"/>
    <w:rsid w:val="001719AE"/>
    <w:rsid w:val="00175606"/>
    <w:rsid w:val="001809DA"/>
    <w:rsid w:val="00181216"/>
    <w:rsid w:val="001A1406"/>
    <w:rsid w:val="001A53E7"/>
    <w:rsid w:val="001A717B"/>
    <w:rsid w:val="001E45D1"/>
    <w:rsid w:val="001F184B"/>
    <w:rsid w:val="001F2976"/>
    <w:rsid w:val="001F57A7"/>
    <w:rsid w:val="00205820"/>
    <w:rsid w:val="002119AB"/>
    <w:rsid w:val="00211BD9"/>
    <w:rsid w:val="00213529"/>
    <w:rsid w:val="002167E2"/>
    <w:rsid w:val="00221CCF"/>
    <w:rsid w:val="00224355"/>
    <w:rsid w:val="00233340"/>
    <w:rsid w:val="00240D5B"/>
    <w:rsid w:val="00242F96"/>
    <w:rsid w:val="002431C2"/>
    <w:rsid w:val="002610D8"/>
    <w:rsid w:val="002613FB"/>
    <w:rsid w:val="002624BC"/>
    <w:rsid w:val="00264793"/>
    <w:rsid w:val="00277C00"/>
    <w:rsid w:val="0028611F"/>
    <w:rsid w:val="002B0946"/>
    <w:rsid w:val="002B4105"/>
    <w:rsid w:val="002B620D"/>
    <w:rsid w:val="002B6DF9"/>
    <w:rsid w:val="002B6F00"/>
    <w:rsid w:val="002D7CE0"/>
    <w:rsid w:val="002F722D"/>
    <w:rsid w:val="00302AFF"/>
    <w:rsid w:val="00311300"/>
    <w:rsid w:val="0032223B"/>
    <w:rsid w:val="00322771"/>
    <w:rsid w:val="00330088"/>
    <w:rsid w:val="0033216E"/>
    <w:rsid w:val="003332B2"/>
    <w:rsid w:val="003361AF"/>
    <w:rsid w:val="0033667C"/>
    <w:rsid w:val="00336A58"/>
    <w:rsid w:val="00336D05"/>
    <w:rsid w:val="003427EE"/>
    <w:rsid w:val="00355CC5"/>
    <w:rsid w:val="003731D1"/>
    <w:rsid w:val="003766F4"/>
    <w:rsid w:val="00377FCB"/>
    <w:rsid w:val="00395733"/>
    <w:rsid w:val="003A259E"/>
    <w:rsid w:val="003A39C7"/>
    <w:rsid w:val="003B78E0"/>
    <w:rsid w:val="003C2797"/>
    <w:rsid w:val="003C6F9F"/>
    <w:rsid w:val="003D2379"/>
    <w:rsid w:val="003D397C"/>
    <w:rsid w:val="003D4C39"/>
    <w:rsid w:val="003E21F3"/>
    <w:rsid w:val="003E7435"/>
    <w:rsid w:val="003F267A"/>
    <w:rsid w:val="00403C02"/>
    <w:rsid w:val="0040758E"/>
    <w:rsid w:val="00412261"/>
    <w:rsid w:val="00412BB9"/>
    <w:rsid w:val="00422E8E"/>
    <w:rsid w:val="00423B31"/>
    <w:rsid w:val="00423DFB"/>
    <w:rsid w:val="00426EBE"/>
    <w:rsid w:val="00427BCE"/>
    <w:rsid w:val="00437FD0"/>
    <w:rsid w:val="004447AB"/>
    <w:rsid w:val="00445427"/>
    <w:rsid w:val="00450D07"/>
    <w:rsid w:val="00455B8C"/>
    <w:rsid w:val="004652B8"/>
    <w:rsid w:val="00471A03"/>
    <w:rsid w:val="00476E46"/>
    <w:rsid w:val="004910C1"/>
    <w:rsid w:val="00496500"/>
    <w:rsid w:val="004A0072"/>
    <w:rsid w:val="004A53D3"/>
    <w:rsid w:val="004B50A6"/>
    <w:rsid w:val="004C359E"/>
    <w:rsid w:val="004C3CEC"/>
    <w:rsid w:val="004C72DE"/>
    <w:rsid w:val="004D7912"/>
    <w:rsid w:val="004E0FC0"/>
    <w:rsid w:val="004E27F3"/>
    <w:rsid w:val="004F2088"/>
    <w:rsid w:val="004F6886"/>
    <w:rsid w:val="005073D6"/>
    <w:rsid w:val="00524685"/>
    <w:rsid w:val="0053224C"/>
    <w:rsid w:val="00545FB1"/>
    <w:rsid w:val="00547DFF"/>
    <w:rsid w:val="0055013C"/>
    <w:rsid w:val="0055270A"/>
    <w:rsid w:val="00574F59"/>
    <w:rsid w:val="00575369"/>
    <w:rsid w:val="00583F2A"/>
    <w:rsid w:val="00585139"/>
    <w:rsid w:val="005A4690"/>
    <w:rsid w:val="005A5B78"/>
    <w:rsid w:val="005B73BB"/>
    <w:rsid w:val="005C5A7B"/>
    <w:rsid w:val="005C6924"/>
    <w:rsid w:val="005D3A63"/>
    <w:rsid w:val="005E47D6"/>
    <w:rsid w:val="005E50CF"/>
    <w:rsid w:val="005E68BA"/>
    <w:rsid w:val="00601C78"/>
    <w:rsid w:val="006062AF"/>
    <w:rsid w:val="00621896"/>
    <w:rsid w:val="00640071"/>
    <w:rsid w:val="00642F07"/>
    <w:rsid w:val="00647B26"/>
    <w:rsid w:val="006564F3"/>
    <w:rsid w:val="006608EF"/>
    <w:rsid w:val="00661DE0"/>
    <w:rsid w:val="006730BB"/>
    <w:rsid w:val="00673EE4"/>
    <w:rsid w:val="00687223"/>
    <w:rsid w:val="00690080"/>
    <w:rsid w:val="00690766"/>
    <w:rsid w:val="006B0E7F"/>
    <w:rsid w:val="006B7F06"/>
    <w:rsid w:val="006E1655"/>
    <w:rsid w:val="006F34A3"/>
    <w:rsid w:val="006F586C"/>
    <w:rsid w:val="006F76D7"/>
    <w:rsid w:val="0070186C"/>
    <w:rsid w:val="00706EA6"/>
    <w:rsid w:val="007159BA"/>
    <w:rsid w:val="007270E0"/>
    <w:rsid w:val="00731812"/>
    <w:rsid w:val="00736A2D"/>
    <w:rsid w:val="00740DC6"/>
    <w:rsid w:val="00745007"/>
    <w:rsid w:val="00745015"/>
    <w:rsid w:val="00746198"/>
    <w:rsid w:val="00752296"/>
    <w:rsid w:val="0075291B"/>
    <w:rsid w:val="00765087"/>
    <w:rsid w:val="00772D60"/>
    <w:rsid w:val="007776FA"/>
    <w:rsid w:val="00787327"/>
    <w:rsid w:val="00795CCB"/>
    <w:rsid w:val="00797B7D"/>
    <w:rsid w:val="007A0CD6"/>
    <w:rsid w:val="007B22B7"/>
    <w:rsid w:val="007D08EE"/>
    <w:rsid w:val="007D24AC"/>
    <w:rsid w:val="007D5885"/>
    <w:rsid w:val="007E5E3C"/>
    <w:rsid w:val="008054EB"/>
    <w:rsid w:val="00813EB4"/>
    <w:rsid w:val="008217ED"/>
    <w:rsid w:val="00824C7E"/>
    <w:rsid w:val="00831301"/>
    <w:rsid w:val="0083396F"/>
    <w:rsid w:val="00841595"/>
    <w:rsid w:val="0084642B"/>
    <w:rsid w:val="00852491"/>
    <w:rsid w:val="008742F3"/>
    <w:rsid w:val="00882C1A"/>
    <w:rsid w:val="00894179"/>
    <w:rsid w:val="008A1DCB"/>
    <w:rsid w:val="008A2DE4"/>
    <w:rsid w:val="008B05ED"/>
    <w:rsid w:val="008B3A43"/>
    <w:rsid w:val="008B5D45"/>
    <w:rsid w:val="008C7901"/>
    <w:rsid w:val="008E4C01"/>
    <w:rsid w:val="008F48B1"/>
    <w:rsid w:val="008F58A0"/>
    <w:rsid w:val="008F7188"/>
    <w:rsid w:val="008F7833"/>
    <w:rsid w:val="009013B1"/>
    <w:rsid w:val="0090342E"/>
    <w:rsid w:val="00913A97"/>
    <w:rsid w:val="00923B90"/>
    <w:rsid w:val="009278D6"/>
    <w:rsid w:val="00945B92"/>
    <w:rsid w:val="00963A71"/>
    <w:rsid w:val="0096461A"/>
    <w:rsid w:val="00973871"/>
    <w:rsid w:val="009753C0"/>
    <w:rsid w:val="00975A34"/>
    <w:rsid w:val="0098705D"/>
    <w:rsid w:val="009B0498"/>
    <w:rsid w:val="009B1CCF"/>
    <w:rsid w:val="009B7432"/>
    <w:rsid w:val="009B7757"/>
    <w:rsid w:val="009E6438"/>
    <w:rsid w:val="009F0D16"/>
    <w:rsid w:val="009F5445"/>
    <w:rsid w:val="00A01C23"/>
    <w:rsid w:val="00A162B3"/>
    <w:rsid w:val="00A176B3"/>
    <w:rsid w:val="00A309E4"/>
    <w:rsid w:val="00A46B65"/>
    <w:rsid w:val="00A56980"/>
    <w:rsid w:val="00A650A6"/>
    <w:rsid w:val="00A81593"/>
    <w:rsid w:val="00AA2082"/>
    <w:rsid w:val="00AA4B86"/>
    <w:rsid w:val="00AB2AA9"/>
    <w:rsid w:val="00AB369C"/>
    <w:rsid w:val="00AC284B"/>
    <w:rsid w:val="00AE31FD"/>
    <w:rsid w:val="00AE5FB5"/>
    <w:rsid w:val="00AE711B"/>
    <w:rsid w:val="00AF127C"/>
    <w:rsid w:val="00AF4D27"/>
    <w:rsid w:val="00B0712D"/>
    <w:rsid w:val="00B21DA2"/>
    <w:rsid w:val="00B35925"/>
    <w:rsid w:val="00B605E2"/>
    <w:rsid w:val="00B66A16"/>
    <w:rsid w:val="00B713DE"/>
    <w:rsid w:val="00B82787"/>
    <w:rsid w:val="00B85050"/>
    <w:rsid w:val="00B91ECD"/>
    <w:rsid w:val="00B92A61"/>
    <w:rsid w:val="00B96773"/>
    <w:rsid w:val="00BA02F0"/>
    <w:rsid w:val="00BA07D2"/>
    <w:rsid w:val="00BA47A3"/>
    <w:rsid w:val="00BA6B00"/>
    <w:rsid w:val="00BA6E0C"/>
    <w:rsid w:val="00BB2081"/>
    <w:rsid w:val="00BC138F"/>
    <w:rsid w:val="00BC29EC"/>
    <w:rsid w:val="00BD18CE"/>
    <w:rsid w:val="00BD1F70"/>
    <w:rsid w:val="00BF5263"/>
    <w:rsid w:val="00C045CC"/>
    <w:rsid w:val="00C0753B"/>
    <w:rsid w:val="00C12B90"/>
    <w:rsid w:val="00C14E50"/>
    <w:rsid w:val="00C21DCB"/>
    <w:rsid w:val="00C224AD"/>
    <w:rsid w:val="00C25666"/>
    <w:rsid w:val="00C25CBF"/>
    <w:rsid w:val="00C264B9"/>
    <w:rsid w:val="00C332AE"/>
    <w:rsid w:val="00C46A78"/>
    <w:rsid w:val="00C56956"/>
    <w:rsid w:val="00C74AA3"/>
    <w:rsid w:val="00C9311E"/>
    <w:rsid w:val="00CA1E3E"/>
    <w:rsid w:val="00CA4FC5"/>
    <w:rsid w:val="00CA77EE"/>
    <w:rsid w:val="00CB0831"/>
    <w:rsid w:val="00CB2908"/>
    <w:rsid w:val="00CC49BE"/>
    <w:rsid w:val="00CD24BD"/>
    <w:rsid w:val="00CD6237"/>
    <w:rsid w:val="00CE34E7"/>
    <w:rsid w:val="00CE3801"/>
    <w:rsid w:val="00CF12FC"/>
    <w:rsid w:val="00CF191B"/>
    <w:rsid w:val="00CF568C"/>
    <w:rsid w:val="00D04F13"/>
    <w:rsid w:val="00D17873"/>
    <w:rsid w:val="00D265A8"/>
    <w:rsid w:val="00D330D2"/>
    <w:rsid w:val="00D4505F"/>
    <w:rsid w:val="00D5466D"/>
    <w:rsid w:val="00D564E6"/>
    <w:rsid w:val="00D63710"/>
    <w:rsid w:val="00D71AA6"/>
    <w:rsid w:val="00D76661"/>
    <w:rsid w:val="00D9045F"/>
    <w:rsid w:val="00D94991"/>
    <w:rsid w:val="00DB2ED8"/>
    <w:rsid w:val="00DC64CE"/>
    <w:rsid w:val="00DD046A"/>
    <w:rsid w:val="00DD6B9A"/>
    <w:rsid w:val="00DD729C"/>
    <w:rsid w:val="00DE5F88"/>
    <w:rsid w:val="00DF26AA"/>
    <w:rsid w:val="00DF35EA"/>
    <w:rsid w:val="00E07EE6"/>
    <w:rsid w:val="00E13923"/>
    <w:rsid w:val="00E16938"/>
    <w:rsid w:val="00E21636"/>
    <w:rsid w:val="00E256C3"/>
    <w:rsid w:val="00E31835"/>
    <w:rsid w:val="00E33362"/>
    <w:rsid w:val="00E360E3"/>
    <w:rsid w:val="00E505F1"/>
    <w:rsid w:val="00E64D34"/>
    <w:rsid w:val="00E653FA"/>
    <w:rsid w:val="00E77B3A"/>
    <w:rsid w:val="00E848E1"/>
    <w:rsid w:val="00EA75C4"/>
    <w:rsid w:val="00EB017C"/>
    <w:rsid w:val="00EB1719"/>
    <w:rsid w:val="00EB5F81"/>
    <w:rsid w:val="00EC66CA"/>
    <w:rsid w:val="00EC68F6"/>
    <w:rsid w:val="00ED27C8"/>
    <w:rsid w:val="00ED6AFB"/>
    <w:rsid w:val="00EE3F68"/>
    <w:rsid w:val="00EE48FB"/>
    <w:rsid w:val="00EF1D2F"/>
    <w:rsid w:val="00EF7753"/>
    <w:rsid w:val="00F0235E"/>
    <w:rsid w:val="00F074DB"/>
    <w:rsid w:val="00F07A90"/>
    <w:rsid w:val="00F263BC"/>
    <w:rsid w:val="00F27AFA"/>
    <w:rsid w:val="00F308B0"/>
    <w:rsid w:val="00F51537"/>
    <w:rsid w:val="00F77FBE"/>
    <w:rsid w:val="00FA0543"/>
    <w:rsid w:val="00FA0B54"/>
    <w:rsid w:val="00FA2012"/>
    <w:rsid w:val="00FB5541"/>
    <w:rsid w:val="00FB72CA"/>
    <w:rsid w:val="00FC3223"/>
    <w:rsid w:val="00FE604C"/>
    <w:rsid w:val="00FF15E3"/>
    <w:rsid w:val="00FF2E72"/>
    <w:rsid w:val="036645CD"/>
    <w:rsid w:val="09998091"/>
    <w:rsid w:val="12783616"/>
    <w:rsid w:val="12A500C7"/>
    <w:rsid w:val="12E9F7B6"/>
    <w:rsid w:val="167DF15C"/>
    <w:rsid w:val="192B0CC8"/>
    <w:rsid w:val="205F4D55"/>
    <w:rsid w:val="29B66B7F"/>
    <w:rsid w:val="2B5F0246"/>
    <w:rsid w:val="2C0D36D2"/>
    <w:rsid w:val="2D9EEE9E"/>
    <w:rsid w:val="2E6618B6"/>
    <w:rsid w:val="31CD14DA"/>
    <w:rsid w:val="326BD3FC"/>
    <w:rsid w:val="3349FB62"/>
    <w:rsid w:val="35CA4C1D"/>
    <w:rsid w:val="377BB80B"/>
    <w:rsid w:val="38B4A3C3"/>
    <w:rsid w:val="3A4983B8"/>
    <w:rsid w:val="3CC219BE"/>
    <w:rsid w:val="4032E9FE"/>
    <w:rsid w:val="42DE1ED4"/>
    <w:rsid w:val="43F65A4B"/>
    <w:rsid w:val="4582836C"/>
    <w:rsid w:val="462792CA"/>
    <w:rsid w:val="47D6D2C4"/>
    <w:rsid w:val="490EC25D"/>
    <w:rsid w:val="4BF91806"/>
    <w:rsid w:val="4C68F01D"/>
    <w:rsid w:val="4F37DE02"/>
    <w:rsid w:val="50F104A5"/>
    <w:rsid w:val="513EB268"/>
    <w:rsid w:val="517D894B"/>
    <w:rsid w:val="52965623"/>
    <w:rsid w:val="5C06B9CA"/>
    <w:rsid w:val="5D60A740"/>
    <w:rsid w:val="67E1A0C9"/>
    <w:rsid w:val="68D59592"/>
    <w:rsid w:val="6B35FCAF"/>
    <w:rsid w:val="72183269"/>
    <w:rsid w:val="7370D243"/>
    <w:rsid w:val="75E86C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E6B7F2"/>
  <w15:chartTrackingRefBased/>
  <w15:docId w15:val="{4FA3FA1A-ABED-4B91-922F-8A119A5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Appel note de bas de p,FR,Footnote Reference/,Footnote Reference1,Style 12,Style 124,Style 13,Style 17,Style 3,Style 4,Style 6,Style 7,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787327"/>
  </w:style>
  <w:style w:type="paragraph" w:styleId="ListParagraph">
    <w:name w:val="List Paragraph"/>
    <w:basedOn w:val="Normal"/>
    <w:uiPriority w:val="34"/>
    <w:qFormat/>
    <w:rsid w:val="00A01C23"/>
    <w:pPr>
      <w:ind w:left="720"/>
      <w:contextualSpacing/>
    </w:pPr>
  </w:style>
  <w:style w:type="character" w:styleId="CommentReference">
    <w:name w:val="annotation reference"/>
    <w:basedOn w:val="DefaultParagraphFont"/>
    <w:uiPriority w:val="99"/>
    <w:semiHidden/>
    <w:unhideWhenUsed/>
    <w:rsid w:val="00093B1F"/>
    <w:rPr>
      <w:sz w:val="16"/>
      <w:szCs w:val="16"/>
    </w:rPr>
  </w:style>
  <w:style w:type="paragraph" w:styleId="CommentText">
    <w:name w:val="annotation text"/>
    <w:basedOn w:val="Normal"/>
    <w:link w:val="CommentTextChar"/>
    <w:uiPriority w:val="99"/>
    <w:semiHidden/>
    <w:unhideWhenUsed/>
    <w:rsid w:val="00093B1F"/>
    <w:rPr>
      <w:sz w:val="20"/>
    </w:rPr>
  </w:style>
  <w:style w:type="character" w:customStyle="1" w:styleId="CommentTextChar">
    <w:name w:val="Comment Text Char"/>
    <w:basedOn w:val="DefaultParagraphFont"/>
    <w:link w:val="CommentText"/>
    <w:uiPriority w:val="99"/>
    <w:semiHidden/>
    <w:rsid w:val="00093B1F"/>
    <w:rPr>
      <w:snapToGrid w:val="0"/>
      <w:kern w:val="28"/>
    </w:rPr>
  </w:style>
  <w:style w:type="paragraph" w:styleId="CommentSubject">
    <w:name w:val="annotation subject"/>
    <w:basedOn w:val="CommentText"/>
    <w:next w:val="CommentText"/>
    <w:link w:val="CommentSubjectChar"/>
    <w:uiPriority w:val="99"/>
    <w:semiHidden/>
    <w:unhideWhenUsed/>
    <w:rsid w:val="00093B1F"/>
    <w:rPr>
      <w:b/>
      <w:bCs/>
    </w:rPr>
  </w:style>
  <w:style w:type="character" w:customStyle="1" w:styleId="CommentSubjectChar">
    <w:name w:val="Comment Subject Char"/>
    <w:basedOn w:val="CommentTextChar"/>
    <w:link w:val="CommentSubject"/>
    <w:uiPriority w:val="99"/>
    <w:semiHidden/>
    <w:rsid w:val="00093B1F"/>
    <w:rPr>
      <w:b/>
      <w:bCs/>
      <w:snapToGrid w:val="0"/>
      <w:kern w:val="28"/>
    </w:rPr>
  </w:style>
  <w:style w:type="paragraph" w:styleId="Revision">
    <w:name w:val="Revision"/>
    <w:hidden/>
    <w:uiPriority w:val="99"/>
    <w:semiHidden/>
    <w:rsid w:val="00B9677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