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55656" w14:paraId="17B4B0F0" w14:textId="77777777">
      <w:pPr>
        <w:pStyle w:val="Header"/>
        <w:tabs>
          <w:tab w:val="clear" w:pos="4320"/>
          <w:tab w:val="clear" w:pos="8640"/>
        </w:tabs>
        <w:sectPr>
          <w:footerReference w:type="even" r:id="rId5"/>
          <w:footerReference w:type="default" r:id="rId6"/>
          <w:headerReference w:type="first" r:id="rId7"/>
          <w:pgSz w:w="12240" w:h="15840" w:code="1"/>
          <w:pgMar w:top="720" w:right="720" w:bottom="1440" w:left="720" w:header="720" w:footer="1440" w:gutter="0"/>
          <w:cols w:space="720"/>
          <w:titlePg/>
        </w:sectPr>
      </w:pPr>
      <w:r>
        <w:t xml:space="preserve"> </w:t>
      </w:r>
      <w:r>
        <w:t xml:space="preserve">  </w:t>
      </w:r>
      <w:r w:rsidR="00DE7953">
        <w:t xml:space="preserve"> </w:t>
      </w:r>
    </w:p>
    <w:p w:rsidR="00155656" w:rsidP="003846F8" w14:paraId="09F4AEBF" w14:textId="7AEFBDA4">
      <w:pPr>
        <w:ind w:left="7920"/>
        <w:jc w:val="center"/>
        <w:rPr>
          <w:b/>
          <w:szCs w:val="22"/>
        </w:rPr>
      </w:pPr>
      <w:r>
        <w:rPr>
          <w:b/>
          <w:szCs w:val="22"/>
        </w:rPr>
        <w:t xml:space="preserve">DA </w:t>
      </w:r>
      <w:r w:rsidR="00632B5A">
        <w:rPr>
          <w:b/>
          <w:szCs w:val="22"/>
        </w:rPr>
        <w:t>2</w:t>
      </w:r>
      <w:r w:rsidR="009D61E2">
        <w:rPr>
          <w:b/>
          <w:szCs w:val="22"/>
        </w:rPr>
        <w:t>1</w:t>
      </w:r>
      <w:r w:rsidR="001F342B">
        <w:rPr>
          <w:b/>
          <w:szCs w:val="22"/>
        </w:rPr>
        <w:t>-</w:t>
      </w:r>
      <w:r w:rsidR="007552B5">
        <w:rPr>
          <w:b/>
          <w:szCs w:val="22"/>
        </w:rPr>
        <w:t>1204</w:t>
      </w:r>
    </w:p>
    <w:p w:rsidR="00155656" w14:paraId="0AE09AC6" w14:textId="77777777">
      <w:pPr>
        <w:spacing w:before="60"/>
        <w:jc w:val="right"/>
        <w:rPr>
          <w:b/>
          <w:szCs w:val="22"/>
        </w:rPr>
      </w:pPr>
      <w:r>
        <w:rPr>
          <w:b/>
          <w:szCs w:val="22"/>
        </w:rPr>
        <w:t xml:space="preserve">  </w:t>
      </w:r>
      <w:r w:rsidR="009D61E2">
        <w:rPr>
          <w:b/>
          <w:szCs w:val="22"/>
        </w:rPr>
        <w:t xml:space="preserve">September </w:t>
      </w:r>
      <w:r w:rsidR="008F053B">
        <w:rPr>
          <w:b/>
          <w:szCs w:val="22"/>
        </w:rPr>
        <w:t>24</w:t>
      </w:r>
      <w:r w:rsidR="00377E84">
        <w:rPr>
          <w:b/>
          <w:szCs w:val="22"/>
        </w:rPr>
        <w:t>, 20</w:t>
      </w:r>
      <w:r w:rsidR="00632B5A">
        <w:rPr>
          <w:b/>
          <w:szCs w:val="22"/>
        </w:rPr>
        <w:t>2</w:t>
      </w:r>
      <w:r w:rsidR="009D61E2">
        <w:rPr>
          <w:b/>
          <w:szCs w:val="22"/>
        </w:rPr>
        <w:t>1</w:t>
      </w:r>
    </w:p>
    <w:p w:rsidR="00155656" w14:paraId="659E590C" w14:textId="77777777">
      <w:pPr>
        <w:tabs>
          <w:tab w:val="left" w:pos="5900"/>
        </w:tabs>
        <w:rPr>
          <w:szCs w:val="22"/>
        </w:rPr>
      </w:pPr>
      <w:r>
        <w:rPr>
          <w:szCs w:val="22"/>
        </w:rPr>
        <w:tab/>
      </w:r>
    </w:p>
    <w:p w:rsidR="00B621D8" w14:paraId="06CB0744" w14:textId="77777777">
      <w:pPr>
        <w:jc w:val="center"/>
        <w:rPr>
          <w:b/>
          <w:bCs/>
          <w:caps/>
        </w:rPr>
      </w:pPr>
      <w:bookmarkStart w:id="1" w:name="_Hlk502044717"/>
      <w:r>
        <w:rPr>
          <w:b/>
          <w:bCs/>
        </w:rPr>
        <w:t>APPLICATION</w:t>
      </w:r>
      <w:r>
        <w:rPr>
          <w:b/>
          <w:bCs/>
        </w:rPr>
        <w:t>S</w:t>
      </w:r>
      <w:r>
        <w:rPr>
          <w:b/>
          <w:bCs/>
        </w:rPr>
        <w:t xml:space="preserve"> FILED </w:t>
      </w:r>
      <w:r w:rsidRPr="00C44B97">
        <w:rPr>
          <w:b/>
          <w:bCs/>
          <w:caps/>
        </w:rPr>
        <w:t xml:space="preserve">FOR THE </w:t>
      </w:r>
      <w:r w:rsidRPr="00C44B97" w:rsidR="003F3DED">
        <w:rPr>
          <w:b/>
          <w:bCs/>
          <w:caps/>
        </w:rPr>
        <w:t xml:space="preserve">TRANSFER OF CONTROL </w:t>
      </w:r>
      <w:r w:rsidRPr="00C44B97" w:rsidR="008C0706">
        <w:rPr>
          <w:b/>
          <w:bCs/>
          <w:caps/>
        </w:rPr>
        <w:t xml:space="preserve">OF </w:t>
      </w:r>
    </w:p>
    <w:p w:rsidR="00B621D8" w14:paraId="35E27061" w14:textId="77777777">
      <w:pPr>
        <w:jc w:val="center"/>
        <w:rPr>
          <w:b/>
          <w:bCs/>
          <w:caps/>
        </w:rPr>
      </w:pPr>
      <w:r w:rsidRPr="00C44B97">
        <w:rPr>
          <w:b/>
          <w:bCs/>
          <w:caps/>
        </w:rPr>
        <w:t xml:space="preserve">Global Crossing Americas Solutions, LLC, </w:t>
      </w:r>
    </w:p>
    <w:p w:rsidR="00B621D8" w14:paraId="4AFE0750" w14:textId="77777777">
      <w:pPr>
        <w:jc w:val="center"/>
        <w:rPr>
          <w:b/>
          <w:bCs/>
          <w:caps/>
        </w:rPr>
      </w:pPr>
      <w:r w:rsidRPr="00C44B97">
        <w:rPr>
          <w:b/>
          <w:bCs/>
          <w:caps/>
        </w:rPr>
        <w:t>CenturyLink Latin America</w:t>
      </w:r>
      <w:r>
        <w:rPr>
          <w:b/>
          <w:bCs/>
          <w:caps/>
        </w:rPr>
        <w:t>N</w:t>
      </w:r>
      <w:r w:rsidRPr="00C44B97">
        <w:rPr>
          <w:b/>
          <w:bCs/>
          <w:caps/>
        </w:rPr>
        <w:t xml:space="preserve"> Solutions, LLC, and </w:t>
      </w:r>
    </w:p>
    <w:p w:rsidR="005548B9" w14:paraId="0E6B6C3F" w14:textId="77777777">
      <w:pPr>
        <w:jc w:val="center"/>
        <w:rPr>
          <w:b/>
          <w:bCs/>
        </w:rPr>
      </w:pPr>
      <w:r w:rsidRPr="00C44B97">
        <w:rPr>
          <w:b/>
          <w:bCs/>
          <w:caps/>
        </w:rPr>
        <w:t>Level 3 Communications St. Croix, Inc.</w:t>
      </w:r>
      <w:r w:rsidRPr="00C44B97">
        <w:rPr>
          <w:b/>
          <w:bCs/>
        </w:rPr>
        <w:t xml:space="preserve"> </w:t>
      </w:r>
      <w:r w:rsidR="003F3DED">
        <w:rPr>
          <w:b/>
          <w:bCs/>
        </w:rPr>
        <w:t xml:space="preserve">TO </w:t>
      </w:r>
      <w:bookmarkEnd w:id="1"/>
      <w:r w:rsidR="009D61E2">
        <w:rPr>
          <w:b/>
          <w:bCs/>
        </w:rPr>
        <w:t>PATAGONIA HOLDCO LLC</w:t>
      </w:r>
      <w:r>
        <w:rPr>
          <w:b/>
          <w:bCs/>
        </w:rPr>
        <w:t xml:space="preserve">, </w:t>
      </w:r>
    </w:p>
    <w:p w:rsidR="005548B9" w14:paraId="4A245ABE" w14:textId="77777777">
      <w:pPr>
        <w:jc w:val="center"/>
        <w:rPr>
          <w:b/>
          <w:bCs/>
        </w:rPr>
      </w:pPr>
      <w:r>
        <w:rPr>
          <w:b/>
          <w:bCs/>
        </w:rPr>
        <w:t xml:space="preserve">AND FOR GRANT OF INTERNATIONAL SECTION 214 AUTHORITY TO </w:t>
      </w:r>
    </w:p>
    <w:p w:rsidR="00155656" w14:paraId="6FBA0B27" w14:textId="77777777">
      <w:pPr>
        <w:jc w:val="center"/>
        <w:rPr>
          <w:b/>
          <w:bCs/>
        </w:rPr>
      </w:pPr>
      <w:r>
        <w:rPr>
          <w:b/>
          <w:bCs/>
        </w:rPr>
        <w:t>CENTURYLINK LATIN AMERICAN SOLUTIONS, LLC</w:t>
      </w:r>
    </w:p>
    <w:p w:rsidR="00155656" w14:paraId="4F4AD918" w14:textId="77777777">
      <w:pPr>
        <w:jc w:val="center"/>
        <w:rPr>
          <w:b/>
          <w:bCs/>
        </w:rPr>
      </w:pPr>
    </w:p>
    <w:p w:rsidR="00155656" w14:paraId="0577465D" w14:textId="77777777">
      <w:pPr>
        <w:jc w:val="center"/>
        <w:rPr>
          <w:b/>
          <w:szCs w:val="22"/>
        </w:rPr>
      </w:pPr>
      <w:r>
        <w:rPr>
          <w:b/>
          <w:szCs w:val="22"/>
        </w:rPr>
        <w:t>PLEADING CYCLE ESTABLISHED</w:t>
      </w:r>
    </w:p>
    <w:p w:rsidR="00155656" w14:paraId="4BD30CB1" w14:textId="77777777">
      <w:pPr>
        <w:jc w:val="center"/>
        <w:rPr>
          <w:b/>
          <w:szCs w:val="22"/>
        </w:rPr>
      </w:pPr>
    </w:p>
    <w:p w:rsidR="00155656" w14:paraId="7A9AB0E6" w14:textId="77777777">
      <w:pPr>
        <w:jc w:val="center"/>
        <w:rPr>
          <w:b/>
          <w:szCs w:val="22"/>
        </w:rPr>
      </w:pPr>
      <w:r>
        <w:rPr>
          <w:b/>
          <w:szCs w:val="22"/>
        </w:rPr>
        <w:t xml:space="preserve">WC Docket No. </w:t>
      </w:r>
      <w:r w:rsidR="00632B5A">
        <w:rPr>
          <w:b/>
          <w:szCs w:val="22"/>
        </w:rPr>
        <w:t>2</w:t>
      </w:r>
      <w:r w:rsidR="00AD2BD5">
        <w:rPr>
          <w:b/>
          <w:szCs w:val="22"/>
        </w:rPr>
        <w:t>1</w:t>
      </w:r>
      <w:r>
        <w:rPr>
          <w:b/>
          <w:szCs w:val="22"/>
        </w:rPr>
        <w:t>-</w:t>
      </w:r>
      <w:r w:rsidR="00AD2BD5">
        <w:rPr>
          <w:b/>
          <w:szCs w:val="22"/>
        </w:rPr>
        <w:t>340</w:t>
      </w:r>
    </w:p>
    <w:p w:rsidR="00155656" w14:paraId="1B815627" w14:textId="77777777">
      <w:pPr>
        <w:jc w:val="center"/>
        <w:rPr>
          <w:szCs w:val="22"/>
        </w:rPr>
      </w:pPr>
    </w:p>
    <w:p w:rsidR="00155656" w14:paraId="4BD2CD8A" w14:textId="77777777">
      <w:pPr>
        <w:pStyle w:val="NoSpacing"/>
        <w:rPr>
          <w:b/>
          <w:szCs w:val="22"/>
        </w:rPr>
      </w:pPr>
      <w:r>
        <w:rPr>
          <w:b/>
          <w:szCs w:val="22"/>
        </w:rPr>
        <w:t xml:space="preserve">Comments Due: </w:t>
      </w:r>
      <w:r w:rsidR="00377E84">
        <w:rPr>
          <w:b/>
          <w:szCs w:val="22"/>
        </w:rPr>
        <w:t xml:space="preserve"> </w:t>
      </w:r>
      <w:r w:rsidR="00B621D8">
        <w:rPr>
          <w:b/>
          <w:szCs w:val="22"/>
        </w:rPr>
        <w:t>October</w:t>
      </w:r>
      <w:r w:rsidR="002111D2">
        <w:rPr>
          <w:b/>
          <w:szCs w:val="22"/>
        </w:rPr>
        <w:t xml:space="preserve"> </w:t>
      </w:r>
      <w:r w:rsidR="008F053B">
        <w:rPr>
          <w:b/>
          <w:szCs w:val="22"/>
        </w:rPr>
        <w:t>8</w:t>
      </w:r>
      <w:r w:rsidR="00B621D8">
        <w:rPr>
          <w:b/>
          <w:szCs w:val="22"/>
        </w:rPr>
        <w:t>,</w:t>
      </w:r>
      <w:r w:rsidR="00FB3A4D">
        <w:rPr>
          <w:b/>
          <w:szCs w:val="22"/>
        </w:rPr>
        <w:t xml:space="preserve"> </w:t>
      </w:r>
      <w:r w:rsidR="00377E84">
        <w:rPr>
          <w:b/>
          <w:szCs w:val="22"/>
        </w:rPr>
        <w:t>20</w:t>
      </w:r>
      <w:r w:rsidR="00632B5A">
        <w:rPr>
          <w:b/>
          <w:szCs w:val="22"/>
        </w:rPr>
        <w:t>2</w:t>
      </w:r>
      <w:r w:rsidR="002111D2">
        <w:rPr>
          <w:b/>
          <w:szCs w:val="22"/>
        </w:rPr>
        <w:t>1</w:t>
      </w:r>
    </w:p>
    <w:p w:rsidR="00155656" w14:paraId="712409E3" w14:textId="77777777">
      <w:pPr>
        <w:pStyle w:val="NoSpacing"/>
        <w:rPr>
          <w:b/>
          <w:szCs w:val="22"/>
        </w:rPr>
      </w:pPr>
      <w:r>
        <w:rPr>
          <w:b/>
          <w:szCs w:val="22"/>
        </w:rPr>
        <w:t>Reply Comments</w:t>
      </w:r>
      <w:r w:rsidR="00A735BF">
        <w:rPr>
          <w:b/>
          <w:szCs w:val="22"/>
        </w:rPr>
        <w:t xml:space="preserve"> Due:  </w:t>
      </w:r>
      <w:r w:rsidR="002111D2">
        <w:rPr>
          <w:b/>
          <w:szCs w:val="22"/>
        </w:rPr>
        <w:t xml:space="preserve">October </w:t>
      </w:r>
      <w:r w:rsidR="008F053B">
        <w:rPr>
          <w:b/>
          <w:szCs w:val="22"/>
        </w:rPr>
        <w:t>15</w:t>
      </w:r>
      <w:r w:rsidR="00FB3A4D">
        <w:rPr>
          <w:b/>
          <w:szCs w:val="22"/>
        </w:rPr>
        <w:t xml:space="preserve">, </w:t>
      </w:r>
      <w:r w:rsidR="00E11D09">
        <w:rPr>
          <w:b/>
          <w:szCs w:val="22"/>
        </w:rPr>
        <w:t>20</w:t>
      </w:r>
      <w:r w:rsidR="00632B5A">
        <w:rPr>
          <w:b/>
          <w:szCs w:val="22"/>
        </w:rPr>
        <w:t>2</w:t>
      </w:r>
      <w:r w:rsidR="0042388D">
        <w:rPr>
          <w:b/>
          <w:szCs w:val="22"/>
        </w:rPr>
        <w:t>1</w:t>
      </w:r>
    </w:p>
    <w:p w:rsidR="00E92D22" w:rsidP="00DD19D5" w14:paraId="0E9C32BE" w14:textId="77777777">
      <w:pPr>
        <w:autoSpaceDE w:val="0"/>
        <w:autoSpaceDN w:val="0"/>
        <w:adjustRightInd w:val="0"/>
        <w:rPr>
          <w:rFonts w:ascii="TimesNewRomanPSMT" w:hAnsi="TimesNewRomanPSMT" w:cs="TimesNewRomanPSMT"/>
          <w:szCs w:val="22"/>
        </w:rPr>
      </w:pPr>
    </w:p>
    <w:p w:rsidR="008F1556" w:rsidP="007E0E62" w14:paraId="19535E72" w14:textId="77777777">
      <w:pPr>
        <w:autoSpaceDE w:val="0"/>
        <w:autoSpaceDN w:val="0"/>
        <w:adjustRightInd w:val="0"/>
        <w:ind w:firstLine="720"/>
        <w:rPr>
          <w:szCs w:val="22"/>
        </w:rPr>
      </w:pPr>
      <w:r w:rsidRPr="00F1402A">
        <w:rPr>
          <w:szCs w:val="22"/>
        </w:rPr>
        <w:t xml:space="preserve">By this Public Notice, the Wireline Competition Bureau </w:t>
      </w:r>
      <w:r w:rsidRPr="00F1402A" w:rsidR="000D3DBB">
        <w:rPr>
          <w:szCs w:val="22"/>
        </w:rPr>
        <w:t>and International Bureau</w:t>
      </w:r>
      <w:r w:rsidRPr="00F1402A" w:rsidR="00961B70">
        <w:rPr>
          <w:szCs w:val="22"/>
        </w:rPr>
        <w:t xml:space="preserve"> </w:t>
      </w:r>
      <w:r w:rsidRPr="00F1402A" w:rsidR="000D3DBB">
        <w:rPr>
          <w:szCs w:val="22"/>
        </w:rPr>
        <w:t>(</w:t>
      </w:r>
      <w:r w:rsidRPr="00F1402A" w:rsidR="00262311">
        <w:rPr>
          <w:szCs w:val="22"/>
        </w:rPr>
        <w:t xml:space="preserve">together, </w:t>
      </w:r>
      <w:r w:rsidRPr="00F1402A" w:rsidR="000D3DBB">
        <w:rPr>
          <w:szCs w:val="22"/>
        </w:rPr>
        <w:t xml:space="preserve">Bureaus) </w:t>
      </w:r>
      <w:r w:rsidRPr="00F1402A">
        <w:rPr>
          <w:szCs w:val="22"/>
        </w:rPr>
        <w:t>seek comment from interested parties on application</w:t>
      </w:r>
      <w:r w:rsidR="00B56191">
        <w:rPr>
          <w:szCs w:val="22"/>
        </w:rPr>
        <w:t>s</w:t>
      </w:r>
      <w:r w:rsidRPr="00F1402A">
        <w:rPr>
          <w:szCs w:val="22"/>
        </w:rPr>
        <w:t xml:space="preserve"> filed by </w:t>
      </w:r>
      <w:r w:rsidRPr="00F1402A" w:rsidR="00EE5855">
        <w:rPr>
          <w:szCs w:val="22"/>
        </w:rPr>
        <w:t>Lumen Technologies, Inc. (Lumen), Global Crossing Americas Solutions, LLC (GCAS), CenturyLink Latin America</w:t>
      </w:r>
      <w:r w:rsidR="00B621D8">
        <w:rPr>
          <w:szCs w:val="22"/>
        </w:rPr>
        <w:t>n</w:t>
      </w:r>
      <w:r w:rsidRPr="00F1402A" w:rsidR="00EE5855">
        <w:rPr>
          <w:szCs w:val="22"/>
        </w:rPr>
        <w:t xml:space="preserve"> Solutions, LLC (CLAS), Level 3 Communications St. Croix, Inc. (Level 3 St. Croix)</w:t>
      </w:r>
      <w:r w:rsidRPr="00F1402A" w:rsidR="003F7476">
        <w:rPr>
          <w:szCs w:val="22"/>
        </w:rPr>
        <w:t xml:space="preserve"> (GCAS, CLAS, and Level 3 St. Croix, collectively, the Lumen LatAm Entities)</w:t>
      </w:r>
      <w:r w:rsidRPr="00F1402A" w:rsidR="00EE5855">
        <w:rPr>
          <w:szCs w:val="22"/>
        </w:rPr>
        <w:t>, and Patagonia Holdco LLC (Patagonia Holdco) (Lumen, the LatAm Entities, and Patagonia Holdco, collectively, Applicants)</w:t>
      </w:r>
      <w:r w:rsidRPr="00F1402A">
        <w:rPr>
          <w:szCs w:val="22"/>
        </w:rPr>
        <w:t>, pursuant to section</w:t>
      </w:r>
      <w:r w:rsidRPr="00F1402A" w:rsidR="00B31201">
        <w:rPr>
          <w:szCs w:val="22"/>
        </w:rPr>
        <w:t>s</w:t>
      </w:r>
      <w:r w:rsidRPr="00F1402A">
        <w:rPr>
          <w:szCs w:val="22"/>
        </w:rPr>
        <w:t xml:space="preserve"> 214</w:t>
      </w:r>
      <w:r w:rsidRPr="00F1402A" w:rsidR="00B31201">
        <w:rPr>
          <w:szCs w:val="22"/>
        </w:rPr>
        <w:t xml:space="preserve"> of the Communications Act of 1934, as amended (Act),</w:t>
      </w:r>
      <w:r>
        <w:rPr>
          <w:rStyle w:val="FootnoteReference"/>
          <w:szCs w:val="22"/>
        </w:rPr>
        <w:footnoteReference w:id="3"/>
      </w:r>
      <w:r w:rsidRPr="00F1402A" w:rsidR="00B31201">
        <w:rPr>
          <w:szCs w:val="22"/>
        </w:rPr>
        <w:t xml:space="preserve"> the Cable Landing License Act of 1921,</w:t>
      </w:r>
      <w:r>
        <w:rPr>
          <w:rStyle w:val="FootnoteReference"/>
          <w:szCs w:val="22"/>
        </w:rPr>
        <w:footnoteReference w:id="4"/>
      </w:r>
      <w:r w:rsidRPr="00F1402A" w:rsidR="00B31201">
        <w:rPr>
          <w:szCs w:val="22"/>
        </w:rPr>
        <w:t xml:space="preserve"> </w:t>
      </w:r>
      <w:r w:rsidRPr="00F1402A">
        <w:rPr>
          <w:szCs w:val="22"/>
        </w:rPr>
        <w:t xml:space="preserve">and sections </w:t>
      </w:r>
      <w:r w:rsidRPr="00AE5902" w:rsidR="00C44B97">
        <w:rPr>
          <w:szCs w:val="22"/>
        </w:rPr>
        <w:t>1.767</w:t>
      </w:r>
      <w:r w:rsidRPr="00F1402A" w:rsidR="00C44B97">
        <w:rPr>
          <w:szCs w:val="22"/>
        </w:rPr>
        <w:t xml:space="preserve">, </w:t>
      </w:r>
      <w:r w:rsidRPr="00F1402A">
        <w:rPr>
          <w:szCs w:val="22"/>
        </w:rPr>
        <w:t>63.03-04</w:t>
      </w:r>
      <w:r w:rsidRPr="00F1402A" w:rsidR="008C0706">
        <w:rPr>
          <w:szCs w:val="22"/>
        </w:rPr>
        <w:t>, 63.18, and 63.24</w:t>
      </w:r>
      <w:r w:rsidRPr="00F1402A">
        <w:rPr>
          <w:szCs w:val="22"/>
        </w:rPr>
        <w:t xml:space="preserve"> of the Commission’s rules</w:t>
      </w:r>
      <w:r w:rsidR="00B621D8">
        <w:rPr>
          <w:szCs w:val="22"/>
        </w:rPr>
        <w:t>,</w:t>
      </w:r>
      <w:r>
        <w:rPr>
          <w:rStyle w:val="FootnoteReference"/>
          <w:szCs w:val="22"/>
        </w:rPr>
        <w:footnoteReference w:id="5"/>
      </w:r>
      <w:r w:rsidRPr="00F1402A">
        <w:rPr>
          <w:szCs w:val="22"/>
        </w:rPr>
        <w:t xml:space="preserve"> requesting </w:t>
      </w:r>
      <w:r w:rsidRPr="00F1402A" w:rsidR="0042388D">
        <w:rPr>
          <w:szCs w:val="22"/>
        </w:rPr>
        <w:t xml:space="preserve">approval to transfer control of the </w:t>
      </w:r>
      <w:r w:rsidRPr="00F1402A" w:rsidR="00C81567">
        <w:rPr>
          <w:szCs w:val="22"/>
        </w:rPr>
        <w:t xml:space="preserve">Lumen </w:t>
      </w:r>
      <w:r w:rsidRPr="00F1402A" w:rsidR="00EE5855">
        <w:rPr>
          <w:szCs w:val="22"/>
        </w:rPr>
        <w:t>LatAm Entities</w:t>
      </w:r>
      <w:r w:rsidRPr="00F1402A" w:rsidR="0042388D">
        <w:rPr>
          <w:szCs w:val="22"/>
        </w:rPr>
        <w:t xml:space="preserve"> from </w:t>
      </w:r>
      <w:r w:rsidRPr="00F1402A" w:rsidR="00EE5855">
        <w:rPr>
          <w:szCs w:val="22"/>
        </w:rPr>
        <w:t>Lumen</w:t>
      </w:r>
      <w:r w:rsidRPr="00F1402A" w:rsidR="00957749">
        <w:rPr>
          <w:szCs w:val="22"/>
        </w:rPr>
        <w:t xml:space="preserve"> </w:t>
      </w:r>
      <w:r w:rsidRPr="00F1402A" w:rsidR="0042388D">
        <w:rPr>
          <w:szCs w:val="22"/>
        </w:rPr>
        <w:t xml:space="preserve">to </w:t>
      </w:r>
      <w:r w:rsidRPr="00F1402A" w:rsidR="00EE5855">
        <w:rPr>
          <w:szCs w:val="22"/>
        </w:rPr>
        <w:t>Patagonia Holdco</w:t>
      </w:r>
      <w:r w:rsidRPr="00F1402A" w:rsidR="00D4304A">
        <w:rPr>
          <w:szCs w:val="22"/>
        </w:rPr>
        <w:t>.</w:t>
      </w:r>
      <w:r>
        <w:rPr>
          <w:rStyle w:val="FootnoteReference"/>
          <w:szCs w:val="22"/>
        </w:rPr>
        <w:footnoteReference w:id="6"/>
      </w:r>
      <w:r w:rsidR="0064530E">
        <w:rPr>
          <w:szCs w:val="22"/>
        </w:rPr>
        <w:t xml:space="preserve">  </w:t>
      </w:r>
      <w:r w:rsidRPr="00B621D8" w:rsidR="00B621D8">
        <w:rPr>
          <w:szCs w:val="22"/>
        </w:rPr>
        <w:t xml:space="preserve">In addition to seeking approval for the </w:t>
      </w:r>
      <w:r w:rsidRPr="00B621D8" w:rsidR="00B621D8">
        <w:rPr>
          <w:szCs w:val="22"/>
        </w:rPr>
        <w:t>proposed transfer of control of the Lumen LatAm Entities, Patagonia Holdco also</w:t>
      </w:r>
      <w:r w:rsidR="007E0E62">
        <w:rPr>
          <w:szCs w:val="22"/>
        </w:rPr>
        <w:t xml:space="preserve"> </w:t>
      </w:r>
      <w:r w:rsidRPr="00B621D8" w:rsidR="00B621D8">
        <w:rPr>
          <w:szCs w:val="22"/>
        </w:rPr>
        <w:t xml:space="preserve">requests, pursuant to section 63.18 of the Commission’s </w:t>
      </w:r>
      <w:r w:rsidR="00753E37">
        <w:rPr>
          <w:szCs w:val="22"/>
        </w:rPr>
        <w:t>r</w:t>
      </w:r>
      <w:r w:rsidRPr="00B621D8" w:rsidR="00B621D8">
        <w:rPr>
          <w:szCs w:val="22"/>
        </w:rPr>
        <w:t>ules,</w:t>
      </w:r>
      <w:r>
        <w:rPr>
          <w:rStyle w:val="FootnoteReference"/>
          <w:szCs w:val="22"/>
        </w:rPr>
        <w:footnoteReference w:id="7"/>
      </w:r>
      <w:r w:rsidRPr="00B621D8" w:rsidR="00B621D8">
        <w:rPr>
          <w:szCs w:val="22"/>
        </w:rPr>
        <w:t xml:space="preserve"> section 214 authority for CLAS</w:t>
      </w:r>
      <w:r w:rsidR="007E0E62">
        <w:rPr>
          <w:szCs w:val="22"/>
        </w:rPr>
        <w:t xml:space="preserve"> </w:t>
      </w:r>
      <w:r w:rsidRPr="00B621D8" w:rsidR="00B621D8">
        <w:rPr>
          <w:szCs w:val="22"/>
        </w:rPr>
        <w:t>to provide international telecommunications services upon consummation of the proposed</w:t>
      </w:r>
      <w:r w:rsidR="007E0E62">
        <w:rPr>
          <w:szCs w:val="22"/>
        </w:rPr>
        <w:t xml:space="preserve"> </w:t>
      </w:r>
      <w:r w:rsidRPr="00B621D8" w:rsidR="00B621D8">
        <w:rPr>
          <w:szCs w:val="22"/>
        </w:rPr>
        <w:t>transaction.</w:t>
      </w:r>
      <w:r>
        <w:rPr>
          <w:rStyle w:val="FootnoteReference"/>
          <w:szCs w:val="22"/>
        </w:rPr>
        <w:footnoteReference w:id="8"/>
      </w:r>
    </w:p>
    <w:p w:rsidR="000B3CC1" w:rsidRPr="00B621D8" w:rsidP="007E0E62" w14:paraId="2E5AF077" w14:textId="77777777">
      <w:pPr>
        <w:autoSpaceDE w:val="0"/>
        <w:autoSpaceDN w:val="0"/>
        <w:adjustRightInd w:val="0"/>
        <w:ind w:firstLine="720"/>
        <w:rPr>
          <w:szCs w:val="22"/>
        </w:rPr>
      </w:pPr>
    </w:p>
    <w:p w:rsidR="00036E68" w:rsidRPr="00F1402A" w:rsidP="00F1402A" w14:paraId="71C7CFC8" w14:textId="77777777">
      <w:pPr>
        <w:autoSpaceDE w:val="0"/>
        <w:autoSpaceDN w:val="0"/>
        <w:adjustRightInd w:val="0"/>
        <w:spacing w:after="120"/>
        <w:ind w:firstLine="720"/>
        <w:rPr>
          <w:szCs w:val="22"/>
        </w:rPr>
      </w:pPr>
      <w:r w:rsidRPr="00F1402A">
        <w:rPr>
          <w:szCs w:val="22"/>
        </w:rPr>
        <w:t>Lumen</w:t>
      </w:r>
      <w:r w:rsidRPr="00F1402A" w:rsidR="00366D09">
        <w:rPr>
          <w:szCs w:val="22"/>
        </w:rPr>
        <w:t>,</w:t>
      </w:r>
      <w:r w:rsidRPr="00F1402A" w:rsidR="008F1556">
        <w:rPr>
          <w:szCs w:val="22"/>
        </w:rPr>
        <w:t xml:space="preserve"> a </w:t>
      </w:r>
      <w:r w:rsidR="00ED54C9">
        <w:rPr>
          <w:szCs w:val="22"/>
        </w:rPr>
        <w:t xml:space="preserve">publicly-traded </w:t>
      </w:r>
      <w:r w:rsidRPr="00F1402A" w:rsidR="008F1556">
        <w:rPr>
          <w:szCs w:val="22"/>
        </w:rPr>
        <w:t xml:space="preserve">Delaware </w:t>
      </w:r>
      <w:r w:rsidR="00ED54C9">
        <w:rPr>
          <w:szCs w:val="22"/>
        </w:rPr>
        <w:t>corporation</w:t>
      </w:r>
      <w:r w:rsidRPr="00F1402A" w:rsidR="00366D09">
        <w:rPr>
          <w:szCs w:val="22"/>
        </w:rPr>
        <w:t>,</w:t>
      </w:r>
      <w:r w:rsidRPr="00F1402A" w:rsidR="00E15FE2">
        <w:rPr>
          <w:szCs w:val="22"/>
        </w:rPr>
        <w:t xml:space="preserve"> </w:t>
      </w:r>
      <w:r w:rsidR="00ED54C9">
        <w:rPr>
          <w:szCs w:val="22"/>
        </w:rPr>
        <w:t xml:space="preserve">provides telecommunications services, broadband, and other services in all 50 states and the District of Columbia </w:t>
      </w:r>
      <w:r w:rsidR="00ED6591">
        <w:rPr>
          <w:szCs w:val="22"/>
        </w:rPr>
        <w:t>through its various operating subsidiaries.</w:t>
      </w:r>
      <w:r>
        <w:rPr>
          <w:rStyle w:val="FootnoteReference"/>
          <w:szCs w:val="22"/>
        </w:rPr>
        <w:footnoteReference w:id="9"/>
      </w:r>
      <w:r w:rsidR="00ED6591">
        <w:rPr>
          <w:szCs w:val="22"/>
        </w:rPr>
        <w:t xml:space="preserve">  Lumen ind</w:t>
      </w:r>
      <w:r w:rsidRPr="00F1402A" w:rsidR="00E15FE2">
        <w:rPr>
          <w:szCs w:val="22"/>
        </w:rPr>
        <w:t>irectly wholly-owns the Lumen LatAm Entities.</w:t>
      </w:r>
      <w:r>
        <w:rPr>
          <w:rStyle w:val="FootnoteReference"/>
          <w:szCs w:val="22"/>
        </w:rPr>
        <w:footnoteReference w:id="10"/>
      </w:r>
      <w:r w:rsidRPr="00F1402A" w:rsidR="00E15FE2">
        <w:rPr>
          <w:szCs w:val="22"/>
        </w:rPr>
        <w:t xml:space="preserve">  </w:t>
      </w:r>
      <w:r w:rsidR="00ED54C9">
        <w:rPr>
          <w:szCs w:val="22"/>
        </w:rPr>
        <w:t>The Lumen LatAm Entities provide competitive enterprise and wholesale telecommunications services in the United States and the U.S. territories in the Caribbean.</w:t>
      </w:r>
      <w:r>
        <w:rPr>
          <w:rStyle w:val="FootnoteReference"/>
          <w:szCs w:val="22"/>
        </w:rPr>
        <w:footnoteReference w:id="11"/>
      </w:r>
      <w:r w:rsidR="00ED54C9">
        <w:rPr>
          <w:szCs w:val="22"/>
        </w:rPr>
        <w:t xml:space="preserve">  </w:t>
      </w:r>
      <w:r w:rsidRPr="00F1402A" w:rsidR="00E15FE2">
        <w:rPr>
          <w:szCs w:val="22"/>
        </w:rPr>
        <w:t xml:space="preserve">GCAS, </w:t>
      </w:r>
      <w:r w:rsidRPr="00F1402A" w:rsidR="006A2B69">
        <w:rPr>
          <w:szCs w:val="22"/>
        </w:rPr>
        <w:t>a Delaware limited liability company, holds a Commission authorization for the Americas-II submarine cable system</w:t>
      </w:r>
      <w:r>
        <w:rPr>
          <w:rStyle w:val="FootnoteReference"/>
          <w:szCs w:val="22"/>
        </w:rPr>
        <w:footnoteReference w:id="12"/>
      </w:r>
      <w:r w:rsidRPr="00F1402A" w:rsidR="006A2B69">
        <w:rPr>
          <w:szCs w:val="22"/>
        </w:rPr>
        <w:t xml:space="preserve"> and provides domestic and international telecommunications services.</w:t>
      </w:r>
      <w:r>
        <w:rPr>
          <w:rStyle w:val="FootnoteReference"/>
          <w:szCs w:val="22"/>
        </w:rPr>
        <w:footnoteReference w:id="13"/>
      </w:r>
      <w:r w:rsidRPr="00F1402A" w:rsidR="006A2B69">
        <w:rPr>
          <w:szCs w:val="22"/>
        </w:rPr>
        <w:t xml:space="preserve"> </w:t>
      </w:r>
      <w:r w:rsidRPr="00F1402A" w:rsidR="00005E99">
        <w:rPr>
          <w:szCs w:val="22"/>
        </w:rPr>
        <w:t xml:space="preserve"> </w:t>
      </w:r>
      <w:r w:rsidRPr="00F1402A" w:rsidR="006A2B69">
        <w:rPr>
          <w:szCs w:val="22"/>
        </w:rPr>
        <w:t>A</w:t>
      </w:r>
      <w:r w:rsidRPr="00F1402A" w:rsidR="00005E99">
        <w:rPr>
          <w:szCs w:val="22"/>
        </w:rPr>
        <w:t xml:space="preserve">pplicants state </w:t>
      </w:r>
      <w:r w:rsidRPr="00F1402A" w:rsidR="006A2B69">
        <w:rPr>
          <w:szCs w:val="22"/>
        </w:rPr>
        <w:t>t</w:t>
      </w:r>
      <w:r w:rsidRPr="00F1402A" w:rsidR="00005E99">
        <w:rPr>
          <w:szCs w:val="22"/>
        </w:rPr>
        <w:t>hat, at</w:t>
      </w:r>
      <w:r w:rsidRPr="00F1402A" w:rsidR="006A2B69">
        <w:rPr>
          <w:szCs w:val="22"/>
        </w:rPr>
        <w:t xml:space="preserve"> closing, GCAS will also hold the submarine cable landing licenses for the Mid-Atlantic Crossing, Pan American Crossing, and South American Crossing submarine cable systems</w:t>
      </w:r>
      <w:r w:rsidR="005548B9">
        <w:rPr>
          <w:szCs w:val="22"/>
        </w:rPr>
        <w:t xml:space="preserve"> (collectively, LatAm Cable Licenses)</w:t>
      </w:r>
      <w:r w:rsidRPr="00F1402A" w:rsidR="006A2B69">
        <w:rPr>
          <w:szCs w:val="22"/>
        </w:rPr>
        <w:t>, which are currently held by another Lumen subsidiary, Global Crossing</w:t>
      </w:r>
      <w:r w:rsidRPr="00F1402A" w:rsidR="00080013">
        <w:rPr>
          <w:szCs w:val="22"/>
        </w:rPr>
        <w:t xml:space="preserve"> </w:t>
      </w:r>
      <w:r w:rsidRPr="00F1402A" w:rsidR="006A2B69">
        <w:rPr>
          <w:szCs w:val="22"/>
        </w:rPr>
        <w:t>Telecommunications, Inc. (</w:t>
      </w:r>
      <w:r w:rsidRPr="006E43BD" w:rsidR="006A2B69">
        <w:rPr>
          <w:szCs w:val="22"/>
        </w:rPr>
        <w:t>GCTI</w:t>
      </w:r>
      <w:r w:rsidRPr="00F1402A" w:rsidR="006A2B69">
        <w:rPr>
          <w:szCs w:val="22"/>
        </w:rPr>
        <w:t>).</w:t>
      </w:r>
      <w:r>
        <w:rPr>
          <w:rStyle w:val="FootnoteReference"/>
          <w:szCs w:val="22"/>
        </w:rPr>
        <w:footnoteReference w:id="14"/>
      </w:r>
      <w:r w:rsidRPr="00F1402A" w:rsidR="00080013">
        <w:rPr>
          <w:szCs w:val="22"/>
        </w:rPr>
        <w:t xml:space="preserve">  CLAS, a Delaware limited liability company, provides domestic telecommunications services and currently provides international telecommunications services </w:t>
      </w:r>
      <w:r w:rsidR="00192550">
        <w:rPr>
          <w:szCs w:val="22"/>
        </w:rPr>
        <w:t xml:space="preserve">under </w:t>
      </w:r>
      <w:r w:rsidRPr="00F1402A" w:rsidR="00080013">
        <w:rPr>
          <w:szCs w:val="22"/>
        </w:rPr>
        <w:t xml:space="preserve">the international </w:t>
      </w:r>
      <w:r w:rsidR="00ED54C9">
        <w:rPr>
          <w:szCs w:val="22"/>
        </w:rPr>
        <w:t>s</w:t>
      </w:r>
      <w:r w:rsidRPr="00F1402A" w:rsidR="00080013">
        <w:rPr>
          <w:szCs w:val="22"/>
        </w:rPr>
        <w:t>ection 214 authorization</w:t>
      </w:r>
      <w:r w:rsidRPr="00F1402A" w:rsidR="00005E99">
        <w:rPr>
          <w:szCs w:val="22"/>
        </w:rPr>
        <w:t xml:space="preserve"> </w:t>
      </w:r>
      <w:r w:rsidRPr="00F1402A" w:rsidR="00080013">
        <w:rPr>
          <w:szCs w:val="22"/>
        </w:rPr>
        <w:t xml:space="preserve">held by its direct parent, </w:t>
      </w:r>
      <w:bookmarkStart w:id="3" w:name="_Hlk80877441"/>
      <w:r w:rsidRPr="00F1402A" w:rsidR="00080013">
        <w:rPr>
          <w:szCs w:val="22"/>
        </w:rPr>
        <w:t>Level 3 Communications, LLC</w:t>
      </w:r>
      <w:bookmarkEnd w:id="3"/>
      <w:r w:rsidRPr="00F1402A" w:rsidR="00080013">
        <w:rPr>
          <w:szCs w:val="22"/>
        </w:rPr>
        <w:t>.</w:t>
      </w:r>
      <w:r>
        <w:rPr>
          <w:rStyle w:val="FootnoteReference"/>
          <w:szCs w:val="22"/>
        </w:rPr>
        <w:footnoteReference w:id="15"/>
      </w:r>
      <w:r w:rsidRPr="00F1402A" w:rsidR="00005E99">
        <w:rPr>
          <w:szCs w:val="22"/>
        </w:rPr>
        <w:t xml:space="preserve">  Level 3 St. Croix is a corporation formed under the laws of the U.S. Virgin Islands and provides domestic telecommunications services.</w:t>
      </w:r>
      <w:r>
        <w:rPr>
          <w:rStyle w:val="FootnoteReference"/>
          <w:szCs w:val="22"/>
        </w:rPr>
        <w:footnoteReference w:id="16"/>
      </w:r>
      <w:r w:rsidRPr="00F1402A" w:rsidR="00E15FE2">
        <w:rPr>
          <w:szCs w:val="22"/>
        </w:rPr>
        <w:t xml:space="preserve"> </w:t>
      </w:r>
    </w:p>
    <w:p w:rsidR="003F122A" w:rsidRPr="003F122A" w:rsidP="003F122A" w14:paraId="197B2199" w14:textId="77777777">
      <w:pPr>
        <w:autoSpaceDE w:val="0"/>
        <w:autoSpaceDN w:val="0"/>
        <w:adjustRightInd w:val="0"/>
        <w:spacing w:after="120"/>
        <w:ind w:firstLine="720"/>
        <w:rPr>
          <w:sz w:val="24"/>
          <w:szCs w:val="24"/>
        </w:rPr>
      </w:pPr>
      <w:r w:rsidRPr="00F1402A">
        <w:rPr>
          <w:szCs w:val="22"/>
        </w:rPr>
        <w:t>Patagonia Holdco, a Delaware limited liability company</w:t>
      </w:r>
      <w:r w:rsidRPr="00F1402A" w:rsidR="00595142">
        <w:rPr>
          <w:szCs w:val="22"/>
        </w:rPr>
        <w:t xml:space="preserve">, </w:t>
      </w:r>
      <w:r w:rsidRPr="00F1402A">
        <w:rPr>
          <w:szCs w:val="22"/>
        </w:rPr>
        <w:t xml:space="preserve">was formed </w:t>
      </w:r>
      <w:r w:rsidRPr="00F1402A" w:rsidR="00595142">
        <w:rPr>
          <w:szCs w:val="22"/>
        </w:rPr>
        <w:t>for the purpose of acquiring the Lumen LatAm</w:t>
      </w:r>
      <w:r w:rsidRPr="00F1402A" w:rsidR="00981D18">
        <w:rPr>
          <w:szCs w:val="22"/>
        </w:rPr>
        <w:t xml:space="preserve"> Entities</w:t>
      </w:r>
      <w:r w:rsidR="00C12F15">
        <w:rPr>
          <w:szCs w:val="22"/>
        </w:rPr>
        <w:t xml:space="preserve"> and does not, itself, provide telecommunications services</w:t>
      </w:r>
      <w:r w:rsidRPr="00F1402A" w:rsidR="00981D18">
        <w:rPr>
          <w:szCs w:val="22"/>
        </w:rPr>
        <w:t>.</w:t>
      </w:r>
      <w:r>
        <w:rPr>
          <w:rStyle w:val="FootnoteReference"/>
          <w:szCs w:val="22"/>
        </w:rPr>
        <w:footnoteReference w:id="17"/>
      </w:r>
      <w:r w:rsidRPr="00F1402A" w:rsidR="00981D18">
        <w:rPr>
          <w:szCs w:val="22"/>
        </w:rPr>
        <w:t xml:space="preserve"> </w:t>
      </w:r>
      <w:r w:rsidRPr="00F1402A" w:rsidR="00595142">
        <w:rPr>
          <w:szCs w:val="22"/>
        </w:rPr>
        <w:t xml:space="preserve"> </w:t>
      </w:r>
      <w:r w:rsidRPr="00F1402A" w:rsidR="00D90DD8">
        <w:rPr>
          <w:szCs w:val="22"/>
        </w:rPr>
        <w:t xml:space="preserve">Following the </w:t>
      </w:r>
      <w:r w:rsidRPr="00F1402A" w:rsidR="00D90DD8">
        <w:rPr>
          <w:szCs w:val="22"/>
        </w:rPr>
        <w:t xml:space="preserve">consummation of the proposed transaction, Patagonia Holdco </w:t>
      </w:r>
      <w:r w:rsidRPr="00F1402A" w:rsidR="002F7128">
        <w:rPr>
          <w:szCs w:val="22"/>
        </w:rPr>
        <w:t>will be</w:t>
      </w:r>
      <w:r w:rsidRPr="00F1402A" w:rsidR="00D90DD8">
        <w:rPr>
          <w:szCs w:val="22"/>
        </w:rPr>
        <w:t xml:space="preserve"> indirectly wholly-owned by Stonepeak Patagonia Holdings LLC (</w:t>
      </w:r>
      <w:r w:rsidRPr="006E43BD" w:rsidR="00D90DD8">
        <w:rPr>
          <w:szCs w:val="22"/>
        </w:rPr>
        <w:t>SP Holdings</w:t>
      </w:r>
      <w:r w:rsidRPr="00F1402A" w:rsidR="00D90DD8">
        <w:rPr>
          <w:szCs w:val="22"/>
        </w:rPr>
        <w:t xml:space="preserve">), a Delaware limited liability company, which, in turn, will be owned by Stonepeak Patagonia Intermediate Holdings </w:t>
      </w:r>
      <w:r w:rsidRPr="00F1402A" w:rsidR="00CF4A4B">
        <w:rPr>
          <w:szCs w:val="22"/>
        </w:rPr>
        <w:t xml:space="preserve">LP </w:t>
      </w:r>
      <w:r w:rsidRPr="00F1402A" w:rsidR="00D90DD8">
        <w:rPr>
          <w:szCs w:val="22"/>
        </w:rPr>
        <w:t>(</w:t>
      </w:r>
      <w:r w:rsidRPr="006E43BD" w:rsidR="00D90DD8">
        <w:rPr>
          <w:szCs w:val="22"/>
        </w:rPr>
        <w:t>SP Intermediate Holdings</w:t>
      </w:r>
      <w:r w:rsidRPr="00F1402A" w:rsidR="00D90DD8">
        <w:rPr>
          <w:szCs w:val="22"/>
        </w:rPr>
        <w:t>)</w:t>
      </w:r>
      <w:r w:rsidR="00A715F4">
        <w:rPr>
          <w:szCs w:val="22"/>
        </w:rPr>
        <w:t xml:space="preserve">, </w:t>
      </w:r>
      <w:r w:rsidRPr="00F1402A" w:rsidR="00D90DD8">
        <w:rPr>
          <w:szCs w:val="22"/>
        </w:rPr>
        <w:t xml:space="preserve">a Delaware limited partnership holding </w:t>
      </w:r>
      <w:r w:rsidR="008F053B">
        <w:rPr>
          <w:szCs w:val="22"/>
        </w:rPr>
        <w:t xml:space="preserve">a </w:t>
      </w:r>
      <w:r w:rsidRPr="00F1402A" w:rsidR="00D90DD8">
        <w:rPr>
          <w:szCs w:val="22"/>
        </w:rPr>
        <w:t xml:space="preserve">70% equity and </w:t>
      </w:r>
      <w:r w:rsidR="00ED54C9">
        <w:rPr>
          <w:szCs w:val="22"/>
        </w:rPr>
        <w:t xml:space="preserve">70% </w:t>
      </w:r>
      <w:r w:rsidRPr="00F1402A" w:rsidR="00D90DD8">
        <w:rPr>
          <w:szCs w:val="22"/>
        </w:rPr>
        <w:t xml:space="preserve">voting </w:t>
      </w:r>
      <w:r w:rsidR="00A715F4">
        <w:rPr>
          <w:szCs w:val="22"/>
        </w:rPr>
        <w:t xml:space="preserve">interest in </w:t>
      </w:r>
      <w:r w:rsidRPr="00F1402A" w:rsidR="00D90DD8">
        <w:rPr>
          <w:szCs w:val="22"/>
        </w:rPr>
        <w:t>SP</w:t>
      </w:r>
      <w:r w:rsidRPr="00F1402A" w:rsidR="0089719A">
        <w:rPr>
          <w:szCs w:val="22"/>
        </w:rPr>
        <w:t xml:space="preserve"> </w:t>
      </w:r>
      <w:r w:rsidRPr="00F1402A" w:rsidR="00D90DD8">
        <w:rPr>
          <w:szCs w:val="22"/>
        </w:rPr>
        <w:t>Holdings</w:t>
      </w:r>
      <w:r w:rsidR="00A715F4">
        <w:rPr>
          <w:szCs w:val="22"/>
        </w:rPr>
        <w:t xml:space="preserve">, </w:t>
      </w:r>
      <w:r w:rsidRPr="00F1402A" w:rsidR="00D90DD8">
        <w:rPr>
          <w:szCs w:val="22"/>
        </w:rPr>
        <w:t>and AustralianSuper Investment Fund No. 2 (</w:t>
      </w:r>
      <w:r w:rsidRPr="006E43BD" w:rsidR="00D90DD8">
        <w:rPr>
          <w:szCs w:val="22"/>
        </w:rPr>
        <w:t>AusSuper Fund No. 2)</w:t>
      </w:r>
      <w:r w:rsidR="00A715F4">
        <w:rPr>
          <w:szCs w:val="22"/>
        </w:rPr>
        <w:t xml:space="preserve">, </w:t>
      </w:r>
      <w:r w:rsidRPr="006E43BD" w:rsidR="00D90DD8">
        <w:rPr>
          <w:szCs w:val="22"/>
        </w:rPr>
        <w:t xml:space="preserve">an Australian Trust holding </w:t>
      </w:r>
      <w:r w:rsidR="00A715F4">
        <w:rPr>
          <w:szCs w:val="22"/>
        </w:rPr>
        <w:t xml:space="preserve">an approximate </w:t>
      </w:r>
      <w:r w:rsidRPr="006E43BD" w:rsidR="00D90DD8">
        <w:rPr>
          <w:szCs w:val="22"/>
        </w:rPr>
        <w:t xml:space="preserve">30% </w:t>
      </w:r>
      <w:r w:rsidR="00A715F4">
        <w:rPr>
          <w:szCs w:val="22"/>
        </w:rPr>
        <w:t>equity and 30% voting interest in</w:t>
      </w:r>
      <w:r w:rsidRPr="006E43BD" w:rsidR="00D90DD8">
        <w:rPr>
          <w:szCs w:val="22"/>
        </w:rPr>
        <w:t xml:space="preserve"> SP Holdings.</w:t>
      </w:r>
      <w:r>
        <w:rPr>
          <w:rStyle w:val="FootnoteReference"/>
          <w:szCs w:val="22"/>
        </w:rPr>
        <w:footnoteReference w:id="18"/>
      </w:r>
      <w:r w:rsidRPr="006E43BD" w:rsidR="0035797E">
        <w:rPr>
          <w:szCs w:val="22"/>
        </w:rPr>
        <w:t xml:space="preserve">  </w:t>
      </w:r>
      <w:r w:rsidRPr="006E43BD" w:rsidR="00EC224D">
        <w:rPr>
          <w:szCs w:val="22"/>
        </w:rPr>
        <w:t>Applicants state that the sole limited partner of SP Intermediate Holdings is Stonepeak Patagonia Upper Holdings LP (SP Upper Holdings),</w:t>
      </w:r>
      <w:r>
        <w:rPr>
          <w:rStyle w:val="FootnoteReference"/>
          <w:szCs w:val="22"/>
        </w:rPr>
        <w:footnoteReference w:id="19"/>
      </w:r>
      <w:r w:rsidRPr="00F1402A" w:rsidR="00EC224D">
        <w:rPr>
          <w:szCs w:val="22"/>
        </w:rPr>
        <w:t xml:space="preserve"> a Delaware limited partnership, and that </w:t>
      </w:r>
      <w:r w:rsidRPr="00F1402A" w:rsidR="0035797E">
        <w:rPr>
          <w:szCs w:val="22"/>
        </w:rPr>
        <w:t>the limited partners of SP Upper</w:t>
      </w:r>
      <w:r w:rsidRPr="00F1402A" w:rsidR="00EC224D">
        <w:rPr>
          <w:szCs w:val="22"/>
        </w:rPr>
        <w:t xml:space="preserve"> </w:t>
      </w:r>
      <w:r w:rsidRPr="00F1402A" w:rsidR="0035797E">
        <w:rPr>
          <w:szCs w:val="22"/>
        </w:rPr>
        <w:t xml:space="preserve">Holdings will be investment funds affiliated with </w:t>
      </w:r>
      <w:r w:rsidRPr="00F1402A" w:rsidR="0064206B">
        <w:rPr>
          <w:szCs w:val="22"/>
        </w:rPr>
        <w:t xml:space="preserve">U.S.-based private equity funds managed by </w:t>
      </w:r>
      <w:r w:rsidRPr="00F1402A" w:rsidR="0035797E">
        <w:rPr>
          <w:szCs w:val="22"/>
        </w:rPr>
        <w:t>Stonepeak Partners LP (d/b/a Stonepeak</w:t>
      </w:r>
      <w:r w:rsidRPr="00F1402A" w:rsidR="00CF4A4B">
        <w:rPr>
          <w:szCs w:val="22"/>
        </w:rPr>
        <w:t xml:space="preserve"> </w:t>
      </w:r>
      <w:r w:rsidRPr="00F1402A" w:rsidR="0035797E">
        <w:rPr>
          <w:szCs w:val="22"/>
        </w:rPr>
        <w:t>Infrastructure Partners (</w:t>
      </w:r>
      <w:r w:rsidR="0084546C">
        <w:rPr>
          <w:szCs w:val="22"/>
        </w:rPr>
        <w:t>Stonepeak</w:t>
      </w:r>
      <w:r w:rsidRPr="00F1402A" w:rsidR="0035797E">
        <w:rPr>
          <w:szCs w:val="22"/>
        </w:rPr>
        <w:t>))</w:t>
      </w:r>
      <w:r w:rsidRPr="00F1402A" w:rsidR="00E04E96">
        <w:rPr>
          <w:szCs w:val="22"/>
        </w:rPr>
        <w:t>, a Delaware limited liability company</w:t>
      </w:r>
      <w:r w:rsidRPr="00F1402A" w:rsidR="0035797E">
        <w:rPr>
          <w:szCs w:val="22"/>
        </w:rPr>
        <w:t>.</w:t>
      </w:r>
      <w:r>
        <w:rPr>
          <w:rStyle w:val="FootnoteReference"/>
          <w:szCs w:val="22"/>
        </w:rPr>
        <w:footnoteReference w:id="20"/>
      </w:r>
      <w:r w:rsidRPr="00F1402A" w:rsidR="001B2DB7">
        <w:rPr>
          <w:szCs w:val="22"/>
        </w:rPr>
        <w:t xml:space="preserve"> </w:t>
      </w:r>
      <w:r w:rsidR="009A4C41">
        <w:rPr>
          <w:szCs w:val="22"/>
        </w:rPr>
        <w:t xml:space="preserve"> </w:t>
      </w:r>
      <w:r w:rsidRPr="00106450" w:rsidR="00106450">
        <w:rPr>
          <w:szCs w:val="22"/>
        </w:rPr>
        <w:t>S</w:t>
      </w:r>
      <w:r w:rsidR="0084546C">
        <w:rPr>
          <w:szCs w:val="22"/>
        </w:rPr>
        <w:t>tonepeak</w:t>
      </w:r>
      <w:r w:rsidR="008B6816">
        <w:rPr>
          <w:szCs w:val="22"/>
        </w:rPr>
        <w:t xml:space="preserve"> is affiliated with E</w:t>
      </w:r>
      <w:r w:rsidR="00C708AC">
        <w:rPr>
          <w:szCs w:val="22"/>
        </w:rPr>
        <w:t>x</w:t>
      </w:r>
      <w:r w:rsidRPr="00106450" w:rsidR="00106450">
        <w:rPr>
          <w:szCs w:val="22"/>
        </w:rPr>
        <w:t>te</w:t>
      </w:r>
      <w:r w:rsidR="00C708AC">
        <w:rPr>
          <w:szCs w:val="22"/>
        </w:rPr>
        <w:t>N</w:t>
      </w:r>
      <w:r w:rsidRPr="00106450" w:rsidR="00106450">
        <w:rPr>
          <w:szCs w:val="22"/>
        </w:rPr>
        <w:t>et Systems, Inc (ESI) and its subsidiaries</w:t>
      </w:r>
      <w:r w:rsidR="008B6816">
        <w:rPr>
          <w:szCs w:val="22"/>
        </w:rPr>
        <w:t>,</w:t>
      </w:r>
      <w:r>
        <w:rPr>
          <w:szCs w:val="22"/>
          <w:vertAlign w:val="superscript"/>
        </w:rPr>
        <w:footnoteReference w:id="21"/>
      </w:r>
      <w:r w:rsidRPr="00106450" w:rsidR="00106450">
        <w:rPr>
          <w:szCs w:val="22"/>
        </w:rPr>
        <w:t xml:space="preserve"> </w:t>
      </w:r>
      <w:r w:rsidR="008B6816">
        <w:rPr>
          <w:szCs w:val="22"/>
        </w:rPr>
        <w:t xml:space="preserve">a provider of telecommunications services in multiple states, </w:t>
      </w:r>
      <w:r w:rsidRPr="00106450" w:rsidR="00106450">
        <w:rPr>
          <w:szCs w:val="22"/>
        </w:rPr>
        <w:t>and Radiate Holdings, L.P. (Radiate) and its subsidiaries,</w:t>
      </w:r>
      <w:r>
        <w:rPr>
          <w:szCs w:val="22"/>
          <w:vertAlign w:val="superscript"/>
        </w:rPr>
        <w:footnoteReference w:id="22"/>
      </w:r>
      <w:r w:rsidRPr="00106450" w:rsidR="00106450">
        <w:rPr>
          <w:szCs w:val="22"/>
        </w:rPr>
        <w:t xml:space="preserve"> </w:t>
      </w:r>
      <w:r w:rsidR="008B6816">
        <w:rPr>
          <w:szCs w:val="22"/>
        </w:rPr>
        <w:t xml:space="preserve">a provider of telecommunications, cable, and broadband services in </w:t>
      </w:r>
      <w:r w:rsidRPr="003F122A" w:rsidR="008B6816">
        <w:rPr>
          <w:szCs w:val="22"/>
        </w:rPr>
        <w:t>multiple states</w:t>
      </w:r>
      <w:r w:rsidRPr="003F122A" w:rsidR="00106450">
        <w:rPr>
          <w:szCs w:val="22"/>
        </w:rPr>
        <w:t>.</w:t>
      </w:r>
      <w:r>
        <w:rPr>
          <w:rStyle w:val="FootnoteReference"/>
          <w:szCs w:val="22"/>
        </w:rPr>
        <w:footnoteReference w:id="23"/>
      </w:r>
      <w:r w:rsidRPr="003F122A" w:rsidR="00106450">
        <w:rPr>
          <w:szCs w:val="22"/>
        </w:rPr>
        <w:t xml:space="preserve">  </w:t>
      </w:r>
      <w:r w:rsidRPr="003F122A" w:rsidR="00836D2C">
        <w:rPr>
          <w:szCs w:val="22"/>
        </w:rPr>
        <w:t>S</w:t>
      </w:r>
      <w:r w:rsidRPr="003F122A" w:rsidR="0084546C">
        <w:rPr>
          <w:szCs w:val="22"/>
        </w:rPr>
        <w:t>tonepeak</w:t>
      </w:r>
      <w:r w:rsidRPr="003F122A" w:rsidR="00836D2C">
        <w:rPr>
          <w:szCs w:val="22"/>
        </w:rPr>
        <w:t xml:space="preserve"> is indirectly held and controlled by Michael Dorrell, a U.S. and Australia</w:t>
      </w:r>
      <w:r w:rsidRPr="003F122A" w:rsidR="006C3C05">
        <w:rPr>
          <w:szCs w:val="22"/>
        </w:rPr>
        <w:t>n</w:t>
      </w:r>
      <w:r w:rsidRPr="003F122A" w:rsidR="00836D2C">
        <w:rPr>
          <w:szCs w:val="22"/>
        </w:rPr>
        <w:t xml:space="preserve"> citizen.</w:t>
      </w:r>
      <w:r>
        <w:rPr>
          <w:rStyle w:val="FootnoteReference"/>
          <w:szCs w:val="22"/>
        </w:rPr>
        <w:footnoteReference w:id="24"/>
      </w:r>
      <w:r w:rsidRPr="003F122A">
        <w:rPr>
          <w:szCs w:val="22"/>
        </w:rPr>
        <w:t xml:space="preserve">  Applicants state that other than the interest holders identified, no other entity or individual will, upon consummation of the proposed transaction, hold a 10% or greater direct or indirect equity or voting interest in Patagonia Holdco or the Lumen LatAm Entities.</w:t>
      </w:r>
      <w:r>
        <w:rPr>
          <w:rStyle w:val="FootnoteReference"/>
          <w:szCs w:val="22"/>
        </w:rPr>
        <w:footnoteReference w:id="25"/>
      </w:r>
    </w:p>
    <w:p w:rsidR="00ED6591" w:rsidRPr="0009742E" w:rsidP="0009742E" w14:paraId="23C49A77" w14:textId="77777777">
      <w:pPr>
        <w:autoSpaceDE w:val="0"/>
        <w:autoSpaceDN w:val="0"/>
        <w:adjustRightInd w:val="0"/>
        <w:spacing w:after="120"/>
        <w:ind w:firstLine="720"/>
        <w:rPr>
          <w:bCs/>
          <w:snapToGrid w:val="0"/>
          <w:kern w:val="28"/>
          <w:szCs w:val="22"/>
        </w:rPr>
      </w:pPr>
      <w:r>
        <w:rPr>
          <w:szCs w:val="22"/>
        </w:rPr>
        <w:t xml:space="preserve">Pursuant to the terms of </w:t>
      </w:r>
      <w:r w:rsidR="00E27881">
        <w:rPr>
          <w:szCs w:val="22"/>
        </w:rPr>
        <w:t xml:space="preserve">the </w:t>
      </w:r>
      <w:r>
        <w:rPr>
          <w:szCs w:val="22"/>
        </w:rPr>
        <w:t xml:space="preserve">proposed transaction, </w:t>
      </w:r>
      <w:r w:rsidRPr="0093050D">
        <w:rPr>
          <w:szCs w:val="22"/>
        </w:rPr>
        <w:t xml:space="preserve">Patagonia Holdco will </w:t>
      </w:r>
      <w:r w:rsidR="009A4C41">
        <w:rPr>
          <w:szCs w:val="22"/>
        </w:rPr>
        <w:t xml:space="preserve">directly or indirectly </w:t>
      </w:r>
      <w:r w:rsidRPr="0093050D">
        <w:rPr>
          <w:szCs w:val="22"/>
        </w:rPr>
        <w:t>acquire</w:t>
      </w:r>
      <w:r w:rsidR="009A4C41">
        <w:rPr>
          <w:szCs w:val="22"/>
        </w:rPr>
        <w:t xml:space="preserve"> all</w:t>
      </w:r>
      <w:r w:rsidRPr="0093050D">
        <w:rPr>
          <w:szCs w:val="22"/>
        </w:rPr>
        <w:t xml:space="preserve"> of the equity</w:t>
      </w:r>
      <w:r>
        <w:rPr>
          <w:szCs w:val="22"/>
        </w:rPr>
        <w:t xml:space="preserve"> </w:t>
      </w:r>
      <w:r w:rsidRPr="0093050D">
        <w:rPr>
          <w:szCs w:val="22"/>
        </w:rPr>
        <w:t xml:space="preserve">interests of the Lumen LatAm Entities, resulting in the transfer of control of </w:t>
      </w:r>
      <w:r w:rsidR="00A42F92">
        <w:rPr>
          <w:szCs w:val="22"/>
        </w:rPr>
        <w:t xml:space="preserve">GCAS, </w:t>
      </w:r>
      <w:r w:rsidRPr="0009742E" w:rsidR="00A42F92">
        <w:rPr>
          <w:szCs w:val="22"/>
        </w:rPr>
        <w:t xml:space="preserve">CLAS, and Level 3 St. Croix </w:t>
      </w:r>
      <w:r w:rsidRPr="0009742E">
        <w:rPr>
          <w:szCs w:val="22"/>
        </w:rPr>
        <w:t>to Patagonia Holdco.</w:t>
      </w:r>
      <w:bookmarkStart w:id="4" w:name="_Hlk509226778"/>
      <w:r>
        <w:rPr>
          <w:rStyle w:val="FootnoteReference"/>
          <w:szCs w:val="22"/>
        </w:rPr>
        <w:footnoteReference w:id="26"/>
      </w:r>
      <w:r w:rsidRPr="0009742E" w:rsidR="00D03CD9">
        <w:rPr>
          <w:szCs w:val="22"/>
        </w:rPr>
        <w:t xml:space="preserve">  </w:t>
      </w:r>
      <w:r w:rsidRPr="0009742E">
        <w:rPr>
          <w:szCs w:val="22"/>
        </w:rPr>
        <w:t xml:space="preserve">According to Applicants, prior to consummation of the proposed transaction, the LatAm Cable Licenses will be assigned </w:t>
      </w:r>
      <w:r w:rsidR="007F73A9">
        <w:rPr>
          <w:szCs w:val="22"/>
        </w:rPr>
        <w:t xml:space="preserve">from GTCI </w:t>
      </w:r>
      <w:r w:rsidRPr="0009742E">
        <w:rPr>
          <w:szCs w:val="22"/>
        </w:rPr>
        <w:t xml:space="preserve">to GCAS on a </w:t>
      </w:r>
      <w:r w:rsidRPr="0009742E">
        <w:rPr>
          <w:i/>
          <w:iCs/>
          <w:szCs w:val="22"/>
        </w:rPr>
        <w:t xml:space="preserve">pro forma </w:t>
      </w:r>
      <w:r w:rsidRPr="0009742E">
        <w:rPr>
          <w:szCs w:val="22"/>
        </w:rPr>
        <w:t>basis, along with the related submarine cable</w:t>
      </w:r>
      <w:r w:rsidR="0009742E">
        <w:rPr>
          <w:szCs w:val="22"/>
        </w:rPr>
        <w:t xml:space="preserve"> </w:t>
      </w:r>
      <w:r w:rsidRPr="0009742E">
        <w:rPr>
          <w:szCs w:val="22"/>
        </w:rPr>
        <w:t>infrastructure for each of those systems.</w:t>
      </w:r>
      <w:r>
        <w:rPr>
          <w:rStyle w:val="FootnoteReference"/>
          <w:szCs w:val="22"/>
        </w:rPr>
        <w:footnoteReference w:id="27"/>
      </w:r>
      <w:r w:rsidRPr="0009742E">
        <w:rPr>
          <w:szCs w:val="22"/>
        </w:rPr>
        <w:t xml:space="preserve">  </w:t>
      </w:r>
      <w:r w:rsidR="007F73A9">
        <w:rPr>
          <w:szCs w:val="22"/>
        </w:rPr>
        <w:t xml:space="preserve">Consequently, Applicants </w:t>
      </w:r>
      <w:r w:rsidRPr="0009742E">
        <w:rPr>
          <w:szCs w:val="22"/>
        </w:rPr>
        <w:t xml:space="preserve"> seek consent to</w:t>
      </w:r>
      <w:r w:rsidR="0009742E">
        <w:rPr>
          <w:szCs w:val="22"/>
        </w:rPr>
        <w:t xml:space="preserve"> </w:t>
      </w:r>
      <w:r w:rsidRPr="0009742E">
        <w:rPr>
          <w:szCs w:val="22"/>
        </w:rPr>
        <w:t xml:space="preserve">the transfer of control of GCAS as the holder of each of the </w:t>
      </w:r>
      <w:r w:rsidR="007F73A9">
        <w:rPr>
          <w:szCs w:val="22"/>
        </w:rPr>
        <w:t>LatAm Cable L</w:t>
      </w:r>
      <w:r w:rsidRPr="0009742E">
        <w:rPr>
          <w:szCs w:val="22"/>
        </w:rPr>
        <w:t>icenses</w:t>
      </w:r>
      <w:r w:rsidR="000E15D5">
        <w:rPr>
          <w:szCs w:val="22"/>
        </w:rPr>
        <w:t xml:space="preserve"> as well as a licensee on the Americas-II cable</w:t>
      </w:r>
      <w:r w:rsidRPr="0009742E">
        <w:rPr>
          <w:szCs w:val="22"/>
        </w:rPr>
        <w:t>.</w:t>
      </w:r>
      <w:r>
        <w:rPr>
          <w:rStyle w:val="FootnoteReference"/>
          <w:szCs w:val="22"/>
        </w:rPr>
        <w:footnoteReference w:id="28"/>
      </w:r>
      <w:r w:rsidRPr="0009742E">
        <w:rPr>
          <w:szCs w:val="22"/>
        </w:rPr>
        <w:t xml:space="preserve">  </w:t>
      </w:r>
      <w:r w:rsidRPr="0009742E">
        <w:rPr>
          <w:bCs/>
          <w:snapToGrid w:val="0"/>
          <w:kern w:val="28"/>
          <w:szCs w:val="22"/>
        </w:rPr>
        <w:t xml:space="preserve"> </w:t>
      </w:r>
    </w:p>
    <w:p w:rsidR="00E22AA6" w:rsidRPr="0009742E" w:rsidP="00ED6591" w14:paraId="48667D54" w14:textId="77777777">
      <w:pPr>
        <w:autoSpaceDE w:val="0"/>
        <w:autoSpaceDN w:val="0"/>
        <w:adjustRightInd w:val="0"/>
        <w:spacing w:after="120"/>
        <w:ind w:firstLine="720"/>
        <w:rPr>
          <w:bCs/>
          <w:snapToGrid w:val="0"/>
          <w:kern w:val="28"/>
          <w:szCs w:val="22"/>
        </w:rPr>
      </w:pPr>
      <w:r w:rsidRPr="0009742E">
        <w:rPr>
          <w:bCs/>
          <w:snapToGrid w:val="0"/>
          <w:kern w:val="28"/>
          <w:szCs w:val="22"/>
        </w:rPr>
        <w:t>Applicants</w:t>
      </w:r>
      <w:r w:rsidRPr="0009742E" w:rsidR="0021054B">
        <w:rPr>
          <w:bCs/>
          <w:snapToGrid w:val="0"/>
          <w:kern w:val="28"/>
          <w:szCs w:val="22"/>
        </w:rPr>
        <w:t xml:space="preserve"> </w:t>
      </w:r>
      <w:r w:rsidRPr="0009742E">
        <w:rPr>
          <w:bCs/>
          <w:snapToGrid w:val="0"/>
          <w:kern w:val="28"/>
          <w:szCs w:val="22"/>
        </w:rPr>
        <w:t xml:space="preserve">assert that a grant of the </w:t>
      </w:r>
      <w:r w:rsidRPr="0009742E" w:rsidR="009305C8">
        <w:rPr>
          <w:bCs/>
          <w:snapToGrid w:val="0"/>
          <w:kern w:val="28"/>
          <w:szCs w:val="22"/>
        </w:rPr>
        <w:t>a</w:t>
      </w:r>
      <w:r w:rsidRPr="0009742E">
        <w:rPr>
          <w:bCs/>
          <w:snapToGrid w:val="0"/>
          <w:kern w:val="28"/>
          <w:szCs w:val="22"/>
        </w:rPr>
        <w:t>pplication</w:t>
      </w:r>
      <w:r w:rsidRPr="0009742E" w:rsidR="009305C8">
        <w:rPr>
          <w:bCs/>
          <w:snapToGrid w:val="0"/>
          <w:kern w:val="28"/>
          <w:szCs w:val="22"/>
        </w:rPr>
        <w:t>s</w:t>
      </w:r>
      <w:r w:rsidRPr="0009742E">
        <w:rPr>
          <w:bCs/>
          <w:snapToGrid w:val="0"/>
          <w:kern w:val="28"/>
          <w:szCs w:val="22"/>
        </w:rPr>
        <w:t xml:space="preserve"> would serve the public interest, convenience, and necessity.</w:t>
      </w:r>
      <w:r>
        <w:rPr>
          <w:rStyle w:val="FootnoteReference"/>
          <w:bCs/>
          <w:snapToGrid w:val="0"/>
          <w:kern w:val="28"/>
          <w:szCs w:val="22"/>
        </w:rPr>
        <w:footnoteReference w:id="29"/>
      </w:r>
      <w:r w:rsidRPr="0009742E">
        <w:rPr>
          <w:bCs/>
          <w:snapToGrid w:val="0"/>
          <w:kern w:val="28"/>
          <w:szCs w:val="22"/>
        </w:rPr>
        <w:t xml:space="preserve"> </w:t>
      </w:r>
      <w:bookmarkEnd w:id="4"/>
      <w:r w:rsidRPr="0009742E" w:rsidR="00142F2C">
        <w:rPr>
          <w:bCs/>
          <w:snapToGrid w:val="0"/>
          <w:kern w:val="28"/>
          <w:szCs w:val="22"/>
        </w:rPr>
        <w:t xml:space="preserve"> They </w:t>
      </w:r>
      <w:r w:rsidRPr="0009742E" w:rsidR="009225E3">
        <w:rPr>
          <w:bCs/>
          <w:snapToGrid w:val="0"/>
          <w:kern w:val="28"/>
          <w:szCs w:val="22"/>
        </w:rPr>
        <w:t>state that</w:t>
      </w:r>
      <w:r w:rsidRPr="0009742E" w:rsidR="00142F2C">
        <w:rPr>
          <w:bCs/>
          <w:snapToGrid w:val="0"/>
          <w:kern w:val="28"/>
          <w:szCs w:val="22"/>
        </w:rPr>
        <w:t xml:space="preserve"> </w:t>
      </w:r>
      <w:r w:rsidRPr="0009742E" w:rsidR="0084546C">
        <w:rPr>
          <w:bCs/>
          <w:snapToGrid w:val="0"/>
          <w:kern w:val="28"/>
          <w:szCs w:val="22"/>
        </w:rPr>
        <w:t>Stonepeak</w:t>
      </w:r>
      <w:r w:rsidRPr="0009742E" w:rsidR="00142F2C">
        <w:rPr>
          <w:bCs/>
          <w:snapToGrid w:val="0"/>
          <w:kern w:val="28"/>
          <w:szCs w:val="22"/>
        </w:rPr>
        <w:t xml:space="preserve">’s investment will </w:t>
      </w:r>
      <w:r w:rsidRPr="0009742E" w:rsidR="005C0DEF">
        <w:rPr>
          <w:bCs/>
          <w:snapToGrid w:val="0"/>
          <w:kern w:val="28"/>
          <w:szCs w:val="22"/>
        </w:rPr>
        <w:t>provide</w:t>
      </w:r>
      <w:r w:rsidRPr="0009742E" w:rsidR="009225E3">
        <w:rPr>
          <w:bCs/>
          <w:snapToGrid w:val="0"/>
          <w:kern w:val="28"/>
          <w:szCs w:val="22"/>
        </w:rPr>
        <w:t xml:space="preserve"> the </w:t>
      </w:r>
      <w:r w:rsidRPr="0009742E" w:rsidR="0084546C">
        <w:rPr>
          <w:bCs/>
          <w:snapToGrid w:val="0"/>
          <w:kern w:val="28"/>
          <w:szCs w:val="22"/>
        </w:rPr>
        <w:t>Lumen LatAm Entities</w:t>
      </w:r>
      <w:r w:rsidRPr="0009742E" w:rsidR="009225E3">
        <w:rPr>
          <w:bCs/>
          <w:snapToGrid w:val="0"/>
          <w:kern w:val="28"/>
          <w:szCs w:val="22"/>
        </w:rPr>
        <w:t xml:space="preserve"> </w:t>
      </w:r>
      <w:r w:rsidRPr="0009742E" w:rsidR="005C0DEF">
        <w:rPr>
          <w:bCs/>
          <w:snapToGrid w:val="0"/>
          <w:kern w:val="28"/>
          <w:szCs w:val="22"/>
        </w:rPr>
        <w:t xml:space="preserve">access to additional financial resources </w:t>
      </w:r>
      <w:r w:rsidRPr="0009742E" w:rsidR="009225E3">
        <w:rPr>
          <w:bCs/>
          <w:snapToGrid w:val="0"/>
          <w:kern w:val="28"/>
          <w:szCs w:val="22"/>
        </w:rPr>
        <w:t xml:space="preserve">to </w:t>
      </w:r>
      <w:r w:rsidRPr="0009742E" w:rsidR="005C0DEF">
        <w:rPr>
          <w:bCs/>
          <w:snapToGrid w:val="0"/>
          <w:kern w:val="28"/>
          <w:szCs w:val="22"/>
        </w:rPr>
        <w:t>focus on fu</w:t>
      </w:r>
      <w:r w:rsidRPr="0009742E" w:rsidR="00C708AC">
        <w:rPr>
          <w:bCs/>
          <w:snapToGrid w:val="0"/>
          <w:kern w:val="28"/>
          <w:szCs w:val="22"/>
        </w:rPr>
        <w:t>r</w:t>
      </w:r>
      <w:r w:rsidRPr="0009742E" w:rsidR="005C0DEF">
        <w:rPr>
          <w:bCs/>
          <w:snapToGrid w:val="0"/>
          <w:kern w:val="28"/>
          <w:szCs w:val="22"/>
        </w:rPr>
        <w:t xml:space="preserve">ther developing and improving </w:t>
      </w:r>
      <w:r w:rsidRPr="0009742E" w:rsidR="009305C8">
        <w:rPr>
          <w:bCs/>
          <w:snapToGrid w:val="0"/>
          <w:kern w:val="28"/>
          <w:szCs w:val="22"/>
        </w:rPr>
        <w:t>their</w:t>
      </w:r>
      <w:r w:rsidRPr="0009742E" w:rsidR="005C0DEF">
        <w:rPr>
          <w:bCs/>
          <w:snapToGrid w:val="0"/>
          <w:kern w:val="28"/>
          <w:szCs w:val="22"/>
        </w:rPr>
        <w:t xml:space="preserve"> </w:t>
      </w:r>
      <w:r w:rsidRPr="0009742E" w:rsidR="009225E3">
        <w:rPr>
          <w:bCs/>
          <w:snapToGrid w:val="0"/>
          <w:kern w:val="28"/>
          <w:szCs w:val="22"/>
        </w:rPr>
        <w:t>network and services while continuing to serve existing customers under the same rates, terms, and conditions.</w:t>
      </w:r>
      <w:r>
        <w:rPr>
          <w:rStyle w:val="FootnoteReference"/>
          <w:bCs/>
          <w:snapToGrid w:val="0"/>
          <w:kern w:val="28"/>
          <w:szCs w:val="22"/>
        </w:rPr>
        <w:footnoteReference w:id="30"/>
      </w:r>
      <w:r w:rsidRPr="0009742E" w:rsidR="009225E3">
        <w:rPr>
          <w:bCs/>
          <w:snapToGrid w:val="0"/>
          <w:kern w:val="28"/>
          <w:szCs w:val="22"/>
        </w:rPr>
        <w:t xml:space="preserve">  According to </w:t>
      </w:r>
      <w:r w:rsidR="007E0E62">
        <w:rPr>
          <w:bCs/>
          <w:snapToGrid w:val="0"/>
          <w:kern w:val="28"/>
          <w:szCs w:val="22"/>
        </w:rPr>
        <w:t xml:space="preserve">the </w:t>
      </w:r>
      <w:r w:rsidRPr="0009742E" w:rsidR="009225E3">
        <w:rPr>
          <w:bCs/>
          <w:snapToGrid w:val="0"/>
          <w:kern w:val="28"/>
          <w:szCs w:val="22"/>
        </w:rPr>
        <w:t>Applicants, the proposed transaction will not adversely affect telecommunications competition in any domestic or U.S. international market.</w:t>
      </w:r>
      <w:r>
        <w:rPr>
          <w:rStyle w:val="FootnoteReference"/>
          <w:bCs/>
          <w:snapToGrid w:val="0"/>
          <w:kern w:val="28"/>
          <w:szCs w:val="22"/>
        </w:rPr>
        <w:footnoteReference w:id="31"/>
      </w:r>
    </w:p>
    <w:p w:rsidR="003F122A" w:rsidRPr="00904C8C" w:rsidP="00904C8C" w14:paraId="1EE2DEE7" w14:textId="77777777">
      <w:pPr>
        <w:autoSpaceDE w:val="0"/>
        <w:autoSpaceDN w:val="0"/>
        <w:adjustRightInd w:val="0"/>
        <w:spacing w:after="120"/>
        <w:ind w:firstLine="720"/>
        <w:rPr>
          <w:snapToGrid w:val="0"/>
          <w:kern w:val="28"/>
          <w:szCs w:val="22"/>
        </w:rPr>
      </w:pPr>
      <w:r w:rsidRPr="00904C8C">
        <w:rPr>
          <w:snapToGrid w:val="0"/>
          <w:kern w:val="28"/>
          <w:szCs w:val="22"/>
          <w:u w:val="single"/>
        </w:rPr>
        <w:t>Referral to Executive Branch Agencies</w:t>
      </w:r>
      <w:r w:rsidRPr="00904C8C">
        <w:rPr>
          <w:snapToGrid w:val="0"/>
          <w:kern w:val="28"/>
          <w:szCs w:val="22"/>
        </w:rPr>
        <w:t xml:space="preserve">.  Through this Public Notice, pursuant to Commission practice, the </w:t>
      </w:r>
      <w:r>
        <w:rPr>
          <w:snapToGrid w:val="0"/>
          <w:kern w:val="28"/>
          <w:szCs w:val="22"/>
        </w:rPr>
        <w:t>a</w:t>
      </w:r>
      <w:r w:rsidRPr="00904C8C">
        <w:rPr>
          <w:snapToGrid w:val="0"/>
          <w:kern w:val="28"/>
          <w:szCs w:val="22"/>
        </w:rPr>
        <w:t xml:space="preserve">pplications set out in Attachment A are being referred to the relevant Executive Branch agencies for their views on any national security, law enforcement, foreign policy, or trade policy concerns related to the foreign ownership of the </w:t>
      </w:r>
      <w:r>
        <w:rPr>
          <w:snapToGrid w:val="0"/>
          <w:kern w:val="28"/>
          <w:szCs w:val="22"/>
        </w:rPr>
        <w:t>Applicants.</w:t>
      </w:r>
      <w:r>
        <w:rPr>
          <w:snapToGrid w:val="0"/>
          <w:kern w:val="28"/>
          <w:szCs w:val="22"/>
          <w:vertAlign w:val="superscript"/>
        </w:rPr>
        <w:footnoteReference w:id="32"/>
      </w:r>
    </w:p>
    <w:p w:rsidR="00162632" w:rsidRPr="0009742E" w:rsidP="00BA4541" w14:paraId="008E002A" w14:textId="77777777">
      <w:pPr>
        <w:autoSpaceDE w:val="0"/>
        <w:autoSpaceDN w:val="0"/>
        <w:adjustRightInd w:val="0"/>
        <w:spacing w:after="120"/>
        <w:rPr>
          <w:bCs/>
          <w:snapToGrid w:val="0"/>
          <w:kern w:val="28"/>
          <w:szCs w:val="22"/>
        </w:rPr>
      </w:pPr>
      <w:r w:rsidRPr="0009742E">
        <w:rPr>
          <w:b/>
          <w:bCs/>
          <w:snapToGrid w:val="0"/>
          <w:kern w:val="28"/>
          <w:szCs w:val="22"/>
          <w:u w:val="single"/>
        </w:rPr>
        <w:t>GENERAL INFORMATION</w:t>
      </w:r>
    </w:p>
    <w:p w:rsidR="00162632" w:rsidRPr="00162632" w:rsidP="00BA4541" w14:paraId="62A9003B" w14:textId="77777777">
      <w:pPr>
        <w:autoSpaceDE w:val="0"/>
        <w:autoSpaceDN w:val="0"/>
        <w:adjustRightInd w:val="0"/>
        <w:spacing w:after="120"/>
        <w:ind w:firstLine="720"/>
        <w:rPr>
          <w:bCs/>
          <w:snapToGrid w:val="0"/>
          <w:kern w:val="28"/>
          <w:szCs w:val="22"/>
        </w:rPr>
      </w:pPr>
      <w:r w:rsidRPr="00162632">
        <w:rPr>
          <w:bCs/>
          <w:snapToGrid w:val="0"/>
          <w:kern w:val="28"/>
          <w:szCs w:val="22"/>
        </w:rPr>
        <w:t>The application</w:t>
      </w:r>
      <w:r w:rsidR="009305C8">
        <w:rPr>
          <w:bCs/>
          <w:snapToGrid w:val="0"/>
          <w:kern w:val="28"/>
          <w:szCs w:val="22"/>
        </w:rPr>
        <w:t>s</w:t>
      </w:r>
      <w:r w:rsidRPr="00162632">
        <w:rPr>
          <w:bCs/>
          <w:snapToGrid w:val="0"/>
          <w:kern w:val="28"/>
          <w:szCs w:val="22"/>
        </w:rPr>
        <w:t xml:space="preserve"> identified herein ha</w:t>
      </w:r>
      <w:r w:rsidR="009305C8">
        <w:rPr>
          <w:bCs/>
          <w:snapToGrid w:val="0"/>
          <w:kern w:val="28"/>
          <w:szCs w:val="22"/>
        </w:rPr>
        <w:t>ve</w:t>
      </w:r>
      <w:r w:rsidRPr="00162632">
        <w:rPr>
          <w:bCs/>
          <w:snapToGrid w:val="0"/>
          <w:kern w:val="28"/>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162632" w:rsidP="00BA4541" w14:paraId="087AC163" w14:textId="77777777">
      <w:pPr>
        <w:autoSpaceDE w:val="0"/>
        <w:autoSpaceDN w:val="0"/>
        <w:adjustRightInd w:val="0"/>
        <w:spacing w:after="120"/>
        <w:ind w:firstLine="720"/>
        <w:rPr>
          <w:bCs/>
          <w:snapToGrid w:val="0"/>
          <w:kern w:val="28"/>
          <w:szCs w:val="22"/>
        </w:rPr>
      </w:pPr>
      <w:r w:rsidRPr="00162632">
        <w:rPr>
          <w:bCs/>
          <w:snapToGrid w:val="0"/>
          <w:kern w:val="28"/>
          <w:szCs w:val="22"/>
        </w:rPr>
        <w:t xml:space="preserve">Interested parties may file comments </w:t>
      </w:r>
      <w:r w:rsidRPr="00162632">
        <w:rPr>
          <w:b/>
          <w:bCs/>
          <w:snapToGrid w:val="0"/>
          <w:kern w:val="28"/>
          <w:szCs w:val="22"/>
        </w:rPr>
        <w:t xml:space="preserve">on or before </w:t>
      </w:r>
      <w:r w:rsidR="009150A6">
        <w:rPr>
          <w:b/>
          <w:bCs/>
          <w:snapToGrid w:val="0"/>
          <w:kern w:val="28"/>
          <w:szCs w:val="22"/>
        </w:rPr>
        <w:t xml:space="preserve">October </w:t>
      </w:r>
      <w:r w:rsidR="008F053B">
        <w:rPr>
          <w:b/>
          <w:bCs/>
          <w:snapToGrid w:val="0"/>
          <w:kern w:val="28"/>
          <w:szCs w:val="22"/>
        </w:rPr>
        <w:t>8</w:t>
      </w:r>
      <w:r w:rsidRPr="00162632">
        <w:rPr>
          <w:b/>
          <w:bCs/>
          <w:snapToGrid w:val="0"/>
          <w:kern w:val="28"/>
          <w:szCs w:val="22"/>
        </w:rPr>
        <w:t>, 2021</w:t>
      </w:r>
      <w:r w:rsidRPr="00162632">
        <w:rPr>
          <w:bCs/>
          <w:snapToGrid w:val="0"/>
          <w:kern w:val="28"/>
          <w:szCs w:val="22"/>
        </w:rPr>
        <w:t xml:space="preserve">, and reply comments </w:t>
      </w:r>
      <w:r w:rsidRPr="00162632">
        <w:rPr>
          <w:b/>
          <w:bCs/>
          <w:snapToGrid w:val="0"/>
          <w:kern w:val="28"/>
          <w:szCs w:val="22"/>
        </w:rPr>
        <w:t xml:space="preserve">on or before </w:t>
      </w:r>
      <w:r>
        <w:rPr>
          <w:b/>
          <w:bCs/>
          <w:snapToGrid w:val="0"/>
          <w:kern w:val="28"/>
          <w:szCs w:val="22"/>
        </w:rPr>
        <w:t xml:space="preserve">October </w:t>
      </w:r>
      <w:r w:rsidR="008F053B">
        <w:rPr>
          <w:b/>
          <w:bCs/>
          <w:snapToGrid w:val="0"/>
          <w:kern w:val="28"/>
          <w:szCs w:val="22"/>
        </w:rPr>
        <w:t>15</w:t>
      </w:r>
      <w:r w:rsidRPr="00162632">
        <w:rPr>
          <w:b/>
          <w:bCs/>
          <w:snapToGrid w:val="0"/>
          <w:kern w:val="28"/>
          <w:szCs w:val="22"/>
        </w:rPr>
        <w:t>, 2021</w:t>
      </w:r>
      <w:r w:rsidRPr="00162632">
        <w:rPr>
          <w:bCs/>
          <w:snapToGrid w:val="0"/>
          <w:kern w:val="28"/>
          <w:szCs w:val="22"/>
        </w:rPr>
        <w:t>.  Comments may be filed in both the docket and the international file using the Commission’s Electronic Comment Filing System (ECFS) and the International Bureau Filing System (IBFS) or by paper.</w:t>
      </w:r>
    </w:p>
    <w:p w:rsidR="00162632" w:rsidP="00162632" w14:paraId="6859ABC2" w14:textId="77777777">
      <w:pPr>
        <w:numPr>
          <w:ilvl w:val="0"/>
          <w:numId w:val="22"/>
        </w:numPr>
        <w:autoSpaceDE w:val="0"/>
        <w:autoSpaceDN w:val="0"/>
        <w:adjustRightInd w:val="0"/>
        <w:spacing w:after="120"/>
        <w:rPr>
          <w:bCs/>
          <w:snapToGrid w:val="0"/>
          <w:kern w:val="28"/>
          <w:szCs w:val="22"/>
        </w:rPr>
      </w:pPr>
      <w:r w:rsidRPr="00162632">
        <w:rPr>
          <w:bCs/>
          <w:snapToGrid w:val="0"/>
          <w:kern w:val="28"/>
          <w:szCs w:val="22"/>
        </w:rPr>
        <w:t>Electronic Filers:  Comments may be filed electronically by accessing ECFS at </w:t>
      </w:r>
      <w:hyperlink r:id="rId8" w:history="1">
        <w:r w:rsidRPr="00162632">
          <w:rPr>
            <w:rStyle w:val="Hyperlink"/>
            <w:bCs/>
            <w:snapToGrid w:val="0"/>
            <w:kern w:val="28"/>
            <w:szCs w:val="22"/>
          </w:rPr>
          <w:t>http://apps.fcc.gov/ecfs/</w:t>
        </w:r>
      </w:hyperlink>
      <w:r w:rsidRPr="00162632">
        <w:rPr>
          <w:bCs/>
          <w:snapToGrid w:val="0"/>
          <w:kern w:val="28"/>
          <w:szCs w:val="22"/>
          <w:u w:val="single"/>
        </w:rPr>
        <w:t xml:space="preserve"> and IBFS at </w:t>
      </w:r>
      <w:hyperlink r:id="rId9" w:history="1">
        <w:r w:rsidRPr="00162632">
          <w:rPr>
            <w:rStyle w:val="Hyperlink"/>
            <w:bCs/>
            <w:snapToGrid w:val="0"/>
            <w:kern w:val="28"/>
            <w:szCs w:val="22"/>
          </w:rPr>
          <w:t>http://licensing.fcc.gov/myibfs/</w:t>
        </w:r>
      </w:hyperlink>
      <w:r w:rsidRPr="00162632">
        <w:rPr>
          <w:bCs/>
          <w:snapToGrid w:val="0"/>
          <w:kern w:val="28"/>
          <w:szCs w:val="22"/>
        </w:rPr>
        <w:t>.</w:t>
      </w:r>
    </w:p>
    <w:p w:rsidR="00162632" w:rsidRPr="00162632" w:rsidP="00162632" w14:paraId="531F258A" w14:textId="77777777">
      <w:pPr>
        <w:numPr>
          <w:ilvl w:val="0"/>
          <w:numId w:val="22"/>
        </w:numPr>
        <w:autoSpaceDE w:val="0"/>
        <w:autoSpaceDN w:val="0"/>
        <w:adjustRightInd w:val="0"/>
        <w:spacing w:after="120"/>
        <w:rPr>
          <w:bCs/>
          <w:snapToGrid w:val="0"/>
          <w:kern w:val="28"/>
          <w:szCs w:val="22"/>
        </w:rPr>
      </w:pPr>
      <w:r w:rsidRPr="00162632">
        <w:rPr>
          <w:bCs/>
          <w:i/>
          <w:iCs/>
          <w:snapToGrid w:val="0"/>
          <w:kern w:val="28"/>
          <w:szCs w:val="22"/>
        </w:rPr>
        <w:t>Paper Filers</w:t>
      </w:r>
      <w:r w:rsidRPr="00162632">
        <w:rPr>
          <w:bCs/>
          <w:snapToGrid w:val="0"/>
          <w:kern w:val="28"/>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62632" w:rsidP="00162632" w14:paraId="6CF006D5" w14:textId="77777777">
      <w:pPr>
        <w:numPr>
          <w:ilvl w:val="1"/>
          <w:numId w:val="22"/>
        </w:numPr>
        <w:autoSpaceDE w:val="0"/>
        <w:autoSpaceDN w:val="0"/>
        <w:adjustRightInd w:val="0"/>
        <w:spacing w:after="120"/>
        <w:rPr>
          <w:bCs/>
          <w:snapToGrid w:val="0"/>
          <w:kern w:val="28"/>
          <w:szCs w:val="22"/>
        </w:rPr>
      </w:pPr>
      <w:r w:rsidRPr="00162632">
        <w:rPr>
          <w:bCs/>
          <w:snapToGrid w:val="0"/>
          <w:kern w:val="28"/>
          <w:szCs w:val="22"/>
        </w:rPr>
        <w:t>Filings can be sent by commercial overnight courier or by first-class or overnight U.S. Postal Service mail.</w:t>
      </w:r>
      <w:r>
        <w:rPr>
          <w:bCs/>
          <w:snapToGrid w:val="0"/>
          <w:kern w:val="28"/>
          <w:szCs w:val="22"/>
          <w:vertAlign w:val="superscript"/>
        </w:rPr>
        <w:footnoteReference w:id="33"/>
      </w:r>
      <w:r w:rsidRPr="00162632">
        <w:rPr>
          <w:bCs/>
          <w:snapToGrid w:val="0"/>
          <w:kern w:val="28"/>
          <w:szCs w:val="22"/>
        </w:rPr>
        <w:t xml:space="preserve">  All filings must be addressed to the Commission’s Secretary, Office of the Secretary, Federal Communications Commission.</w:t>
      </w:r>
    </w:p>
    <w:p w:rsidR="00162632" w:rsidRPr="00162632" w:rsidP="00162632" w14:paraId="4F430234" w14:textId="77777777">
      <w:pPr>
        <w:numPr>
          <w:ilvl w:val="1"/>
          <w:numId w:val="22"/>
        </w:numPr>
        <w:autoSpaceDE w:val="0"/>
        <w:autoSpaceDN w:val="0"/>
        <w:adjustRightInd w:val="0"/>
        <w:spacing w:after="120"/>
        <w:rPr>
          <w:bCs/>
          <w:snapToGrid w:val="0"/>
          <w:kern w:val="28"/>
          <w:szCs w:val="22"/>
        </w:rPr>
      </w:pPr>
      <w:r w:rsidRPr="00162632">
        <w:rPr>
          <w:bCs/>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162632" w:rsidRPr="00162632" w:rsidP="00162632" w14:paraId="58B86339" w14:textId="77777777">
      <w:pPr>
        <w:autoSpaceDE w:val="0"/>
        <w:autoSpaceDN w:val="0"/>
        <w:adjustRightInd w:val="0"/>
        <w:spacing w:after="120"/>
        <w:ind w:firstLine="720"/>
        <w:rPr>
          <w:bCs/>
          <w:snapToGrid w:val="0"/>
          <w:kern w:val="28"/>
          <w:szCs w:val="22"/>
        </w:rPr>
      </w:pPr>
      <w:r w:rsidRPr="00162632">
        <w:rPr>
          <w:bCs/>
          <w:snapToGrid w:val="0"/>
          <w:kern w:val="28"/>
          <w:szCs w:val="22"/>
        </w:rPr>
        <w:t>People with Disabilities:  We ask that requests for accommodations be made as soon as possible in order to allow the agency to satisfy such requests whenever possible.  Send an email to </w:t>
      </w:r>
      <w:hyperlink r:id="rId10" w:tgtFrame="_blank" w:history="1">
        <w:r w:rsidRPr="00162632">
          <w:rPr>
            <w:rStyle w:val="Hyperlink"/>
            <w:bCs/>
            <w:snapToGrid w:val="0"/>
            <w:kern w:val="28"/>
            <w:szCs w:val="22"/>
          </w:rPr>
          <w:t>fcc504@fcc.gov</w:t>
        </w:r>
      </w:hyperlink>
      <w:r w:rsidRPr="00162632">
        <w:rPr>
          <w:bCs/>
          <w:snapToGrid w:val="0"/>
          <w:kern w:val="28"/>
          <w:szCs w:val="22"/>
        </w:rPr>
        <w:t> or call the Consumer and Governmental Affairs Bureau at (202) 418-0530.</w:t>
      </w:r>
    </w:p>
    <w:p w:rsidR="00162632" w:rsidP="00162632" w14:paraId="34C375D9" w14:textId="77777777">
      <w:pPr>
        <w:autoSpaceDE w:val="0"/>
        <w:autoSpaceDN w:val="0"/>
        <w:adjustRightInd w:val="0"/>
        <w:spacing w:after="120"/>
        <w:ind w:left="720" w:firstLine="720"/>
        <w:rPr>
          <w:b/>
          <w:bCs/>
          <w:snapToGrid w:val="0"/>
          <w:kern w:val="28"/>
          <w:szCs w:val="22"/>
        </w:rPr>
      </w:pPr>
      <w:r w:rsidRPr="00162632">
        <w:rPr>
          <w:b/>
          <w:bCs/>
          <w:snapToGrid w:val="0"/>
          <w:kern w:val="28"/>
          <w:szCs w:val="22"/>
        </w:rPr>
        <w:t>In addition, e-mail one copy of each pleading to each of the following:</w:t>
      </w:r>
    </w:p>
    <w:p w:rsidR="000200DF" w:rsidP="000200DF" w14:paraId="498CCE23" w14:textId="77777777">
      <w:pPr>
        <w:numPr>
          <w:ilvl w:val="0"/>
          <w:numId w:val="23"/>
        </w:numPr>
        <w:autoSpaceDE w:val="0"/>
        <w:autoSpaceDN w:val="0"/>
        <w:adjustRightInd w:val="0"/>
        <w:spacing w:after="120"/>
        <w:rPr>
          <w:bCs/>
          <w:snapToGrid w:val="0"/>
          <w:kern w:val="28"/>
          <w:szCs w:val="22"/>
        </w:rPr>
      </w:pPr>
      <w:r>
        <w:rPr>
          <w:bCs/>
          <w:snapToGrid w:val="0"/>
          <w:kern w:val="28"/>
          <w:szCs w:val="22"/>
        </w:rPr>
        <w:t>Gregory Kwan</w:t>
      </w:r>
      <w:r w:rsidRPr="00162632">
        <w:rPr>
          <w:bCs/>
          <w:snapToGrid w:val="0"/>
          <w:kern w:val="28"/>
          <w:szCs w:val="22"/>
        </w:rPr>
        <w:t xml:space="preserve">, Wireline Competition Bureau, </w:t>
      </w:r>
      <w:hyperlink r:id="rId11" w:history="1">
        <w:r w:rsidRPr="00E5333A">
          <w:rPr>
            <w:rStyle w:val="Hyperlink"/>
            <w:bCs/>
            <w:snapToGrid w:val="0"/>
            <w:kern w:val="28"/>
            <w:szCs w:val="22"/>
          </w:rPr>
          <w:t>gregory.kwan</w:t>
        </w:r>
        <w:r w:rsidRPr="00162632">
          <w:rPr>
            <w:rStyle w:val="Hyperlink"/>
            <w:bCs/>
            <w:snapToGrid w:val="0"/>
            <w:kern w:val="28"/>
            <w:szCs w:val="22"/>
          </w:rPr>
          <w:t>@fcc.gov</w:t>
        </w:r>
      </w:hyperlink>
      <w:r w:rsidRPr="00162632">
        <w:rPr>
          <w:bCs/>
          <w:snapToGrid w:val="0"/>
          <w:kern w:val="28"/>
          <w:szCs w:val="22"/>
        </w:rPr>
        <w:t>;</w:t>
      </w:r>
    </w:p>
    <w:p w:rsidR="00B1062C" w:rsidP="000200DF" w14:paraId="39CCF96B" w14:textId="77777777">
      <w:pPr>
        <w:numPr>
          <w:ilvl w:val="0"/>
          <w:numId w:val="23"/>
        </w:numPr>
        <w:autoSpaceDE w:val="0"/>
        <w:autoSpaceDN w:val="0"/>
        <w:adjustRightInd w:val="0"/>
        <w:spacing w:after="120"/>
        <w:rPr>
          <w:bCs/>
          <w:snapToGrid w:val="0"/>
          <w:kern w:val="28"/>
          <w:szCs w:val="22"/>
        </w:rPr>
      </w:pPr>
      <w:r w:rsidRPr="00162632">
        <w:rPr>
          <w:bCs/>
          <w:snapToGrid w:val="0"/>
          <w:kern w:val="28"/>
          <w:szCs w:val="22"/>
        </w:rPr>
        <w:t xml:space="preserve">David Krech, Policy Division, International Bureau, </w:t>
      </w:r>
      <w:hyperlink r:id="rId12" w:history="1">
        <w:r w:rsidRPr="00652798">
          <w:rPr>
            <w:rStyle w:val="Hyperlink"/>
            <w:bCs/>
            <w:snapToGrid w:val="0"/>
            <w:kern w:val="28"/>
            <w:szCs w:val="22"/>
          </w:rPr>
          <w:t>david.krech@fcc.gov</w:t>
        </w:r>
      </w:hyperlink>
      <w:r w:rsidRPr="00162632">
        <w:rPr>
          <w:bCs/>
          <w:snapToGrid w:val="0"/>
          <w:kern w:val="28"/>
          <w:szCs w:val="22"/>
        </w:rPr>
        <w:t xml:space="preserve">; </w:t>
      </w:r>
      <w:r w:rsidR="003F122A">
        <w:rPr>
          <w:bCs/>
          <w:snapToGrid w:val="0"/>
          <w:kern w:val="28"/>
          <w:szCs w:val="22"/>
        </w:rPr>
        <w:t>and</w:t>
      </w:r>
    </w:p>
    <w:p w:rsidR="00162632" w:rsidRPr="00162632" w:rsidP="000200DF" w14:paraId="07895C82" w14:textId="77777777">
      <w:pPr>
        <w:numPr>
          <w:ilvl w:val="0"/>
          <w:numId w:val="23"/>
        </w:numPr>
        <w:autoSpaceDE w:val="0"/>
        <w:autoSpaceDN w:val="0"/>
        <w:adjustRightInd w:val="0"/>
        <w:spacing w:after="120"/>
        <w:rPr>
          <w:bCs/>
          <w:snapToGrid w:val="0"/>
          <w:kern w:val="28"/>
          <w:szCs w:val="22"/>
        </w:rPr>
      </w:pPr>
      <w:r w:rsidRPr="00162632">
        <w:rPr>
          <w:bCs/>
          <w:snapToGrid w:val="0"/>
          <w:kern w:val="28"/>
          <w:szCs w:val="22"/>
        </w:rPr>
        <w:t xml:space="preserve">Jim Bird, Office of General Counsel, </w:t>
      </w:r>
      <w:hyperlink r:id="rId13" w:history="1">
        <w:r w:rsidRPr="00162632">
          <w:rPr>
            <w:rStyle w:val="Hyperlink"/>
            <w:bCs/>
            <w:snapToGrid w:val="0"/>
            <w:kern w:val="28"/>
            <w:szCs w:val="22"/>
          </w:rPr>
          <w:t>jim.bird@fcc.gov</w:t>
        </w:r>
      </w:hyperlink>
    </w:p>
    <w:p w:rsidR="00162632" w:rsidRPr="00162632" w:rsidP="000200DF" w14:paraId="3BAEAA83" w14:textId="77777777">
      <w:pPr>
        <w:autoSpaceDE w:val="0"/>
        <w:autoSpaceDN w:val="0"/>
        <w:adjustRightInd w:val="0"/>
        <w:spacing w:after="120"/>
        <w:ind w:firstLine="720"/>
        <w:rPr>
          <w:bCs/>
          <w:snapToGrid w:val="0"/>
          <w:kern w:val="28"/>
          <w:szCs w:val="22"/>
        </w:rPr>
      </w:pPr>
      <w:r w:rsidRPr="00162632">
        <w:rPr>
          <w:bCs/>
          <w:snapToGrid w:val="0"/>
          <w:kern w:val="28"/>
          <w:szCs w:val="22"/>
        </w:rPr>
        <w:t xml:space="preserve">The proceeding in this Notice shall be treated as a “permit-but-disclose” proceeding in accordance with the Commission’s </w:t>
      </w:r>
      <w:r w:rsidRPr="00162632">
        <w:rPr>
          <w:bCs/>
          <w:i/>
          <w:snapToGrid w:val="0"/>
          <w:kern w:val="28"/>
          <w:szCs w:val="22"/>
        </w:rPr>
        <w:t>ex parte</w:t>
      </w:r>
      <w:r w:rsidRPr="00162632">
        <w:rPr>
          <w:bCs/>
          <w:snapToGrid w:val="0"/>
          <w:kern w:val="28"/>
          <w:szCs w:val="22"/>
        </w:rPr>
        <w:t xml:space="preserve"> rules.  Persons making </w:t>
      </w:r>
      <w:r w:rsidRPr="00162632">
        <w:rPr>
          <w:bCs/>
          <w:i/>
          <w:snapToGrid w:val="0"/>
          <w:kern w:val="28"/>
          <w:szCs w:val="22"/>
        </w:rPr>
        <w:t>ex parte</w:t>
      </w:r>
      <w:r w:rsidRPr="00162632">
        <w:rPr>
          <w:bCs/>
          <w:snapToGrid w:val="0"/>
          <w:kern w:val="28"/>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162632">
        <w:rPr>
          <w:bCs/>
          <w:i/>
          <w:snapToGrid w:val="0"/>
          <w:kern w:val="28"/>
          <w:szCs w:val="22"/>
        </w:rPr>
        <w:t>ex parte</w:t>
      </w:r>
      <w:r w:rsidRPr="00162632">
        <w:rPr>
          <w:bCs/>
          <w:snapToGrid w:val="0"/>
          <w:kern w:val="28"/>
          <w:szCs w:val="22"/>
        </w:rPr>
        <w:t xml:space="preserve"> presentations are reminded that memoranda summarizing the presentation must (1) list all persons attending or otherwise participating in the meeting at which the </w:t>
      </w:r>
      <w:r w:rsidRPr="00162632">
        <w:rPr>
          <w:bCs/>
          <w:i/>
          <w:snapToGrid w:val="0"/>
          <w:kern w:val="28"/>
          <w:szCs w:val="22"/>
        </w:rPr>
        <w:t>ex parte</w:t>
      </w:r>
      <w:r w:rsidRPr="00162632">
        <w:rPr>
          <w:bCs/>
          <w:snapToGrid w:val="0"/>
          <w:kern w:val="28"/>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62632">
        <w:rPr>
          <w:bCs/>
          <w:i/>
          <w:snapToGrid w:val="0"/>
          <w:kern w:val="28"/>
          <w:szCs w:val="22"/>
        </w:rPr>
        <w:t>ex parte</w:t>
      </w:r>
      <w:r w:rsidRPr="00162632">
        <w:rPr>
          <w:bCs/>
          <w:snapToGrid w:val="0"/>
          <w:kern w:val="28"/>
          <w:szCs w:val="22"/>
        </w:rPr>
        <w:t xml:space="preserve"> meetings are deemed to be written </w:t>
      </w:r>
      <w:r w:rsidRPr="00162632">
        <w:rPr>
          <w:bCs/>
          <w:i/>
          <w:snapToGrid w:val="0"/>
          <w:kern w:val="28"/>
          <w:szCs w:val="22"/>
        </w:rPr>
        <w:t>ex parte</w:t>
      </w:r>
      <w:r w:rsidRPr="00162632">
        <w:rPr>
          <w:bCs/>
          <w:snapToGrid w:val="0"/>
          <w:kern w:val="28"/>
          <w:szCs w:val="22"/>
        </w:rPr>
        <w:t xml:space="preserve"> presentations and must be filed consistent with rule 1.1206(b), </w:t>
      </w:r>
      <w:r w:rsidRPr="00162632">
        <w:rPr>
          <w:bCs/>
          <w:snapToGrid w:val="0"/>
          <w:kern w:val="28"/>
          <w:szCs w:val="22"/>
        </w:rPr>
        <w:t xml:space="preserve">47 CFR § 1.1206(b).  Participants in this proceeding should familiarize themselves with the Commission’s </w:t>
      </w:r>
      <w:r w:rsidRPr="00162632">
        <w:rPr>
          <w:bCs/>
          <w:i/>
          <w:snapToGrid w:val="0"/>
          <w:kern w:val="28"/>
          <w:szCs w:val="22"/>
        </w:rPr>
        <w:t>ex parte</w:t>
      </w:r>
      <w:r w:rsidRPr="00162632">
        <w:rPr>
          <w:bCs/>
          <w:snapToGrid w:val="0"/>
          <w:kern w:val="28"/>
          <w:szCs w:val="22"/>
        </w:rPr>
        <w:t xml:space="preserve"> rules.</w:t>
      </w:r>
    </w:p>
    <w:p w:rsidR="00162632" w:rsidRPr="00162632" w:rsidP="00162632" w14:paraId="36D041C7" w14:textId="77777777">
      <w:pPr>
        <w:autoSpaceDE w:val="0"/>
        <w:autoSpaceDN w:val="0"/>
        <w:adjustRightInd w:val="0"/>
        <w:spacing w:after="120"/>
        <w:ind w:firstLine="720"/>
        <w:rPr>
          <w:bCs/>
          <w:snapToGrid w:val="0"/>
          <w:kern w:val="28"/>
          <w:szCs w:val="22"/>
        </w:rPr>
      </w:pPr>
      <w:r w:rsidRPr="00162632">
        <w:rPr>
          <w:bCs/>
          <w:snapToGrid w:val="0"/>
          <w:kern w:val="28"/>
          <w:szCs w:val="22"/>
        </w:rPr>
        <w:t>To allow the Commission to consider fully all substantive issues regarding the application</w:t>
      </w:r>
      <w:r w:rsidR="009148C7">
        <w:rPr>
          <w:bCs/>
          <w:snapToGrid w:val="0"/>
          <w:kern w:val="28"/>
          <w:szCs w:val="22"/>
        </w:rPr>
        <w:t>s</w:t>
      </w:r>
      <w:r w:rsidRPr="00162632">
        <w:rPr>
          <w:bCs/>
          <w:snapToGrid w:val="0"/>
          <w:kern w:val="28"/>
          <w:szCs w:val="22"/>
        </w:rPr>
        <w:t xml:space="preserve"> in as timely and efficient a manner as possible, petitioners and commenters should raise all issues in their initial filings.  New issues may not be raised in responses or replies.</w:t>
      </w:r>
      <w:r>
        <w:rPr>
          <w:bCs/>
          <w:snapToGrid w:val="0"/>
          <w:kern w:val="28"/>
          <w:szCs w:val="22"/>
          <w:vertAlign w:val="superscript"/>
        </w:rPr>
        <w:footnoteReference w:id="34"/>
      </w:r>
      <w:r w:rsidRPr="00162632">
        <w:rPr>
          <w:bCs/>
          <w:snapToGrid w:val="0"/>
          <w:kern w:val="28"/>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73733" w:rsidP="003F122A" w14:paraId="6E782F21" w14:textId="77777777">
      <w:pPr>
        <w:autoSpaceDE w:val="0"/>
        <w:autoSpaceDN w:val="0"/>
        <w:adjustRightInd w:val="0"/>
        <w:spacing w:after="120"/>
        <w:ind w:firstLine="720"/>
        <w:rPr>
          <w:bCs/>
          <w:snapToGrid w:val="0"/>
          <w:kern w:val="28"/>
          <w:szCs w:val="22"/>
        </w:rPr>
      </w:pPr>
      <w:r w:rsidRPr="00162632">
        <w:rPr>
          <w:bCs/>
          <w:snapToGrid w:val="0"/>
          <w:kern w:val="28"/>
          <w:szCs w:val="22"/>
        </w:rPr>
        <w:t xml:space="preserve">For further information, please contact </w:t>
      </w:r>
      <w:r>
        <w:rPr>
          <w:bCs/>
          <w:snapToGrid w:val="0"/>
          <w:kern w:val="28"/>
          <w:szCs w:val="22"/>
        </w:rPr>
        <w:t>Gregory Kwan</w:t>
      </w:r>
      <w:r w:rsidR="00B1062C">
        <w:rPr>
          <w:bCs/>
          <w:snapToGrid w:val="0"/>
          <w:kern w:val="28"/>
          <w:szCs w:val="22"/>
        </w:rPr>
        <w:t xml:space="preserve">, </w:t>
      </w:r>
      <w:r w:rsidRPr="00162632">
        <w:rPr>
          <w:bCs/>
          <w:snapToGrid w:val="0"/>
          <w:kern w:val="28"/>
          <w:szCs w:val="22"/>
        </w:rPr>
        <w:t>(202) 418-</w:t>
      </w:r>
      <w:r>
        <w:rPr>
          <w:bCs/>
          <w:snapToGrid w:val="0"/>
          <w:kern w:val="28"/>
          <w:szCs w:val="22"/>
        </w:rPr>
        <w:t>1191</w:t>
      </w:r>
      <w:r w:rsidRPr="00162632">
        <w:rPr>
          <w:bCs/>
          <w:snapToGrid w:val="0"/>
          <w:kern w:val="28"/>
          <w:szCs w:val="22"/>
        </w:rPr>
        <w:t xml:space="preserve">, Wireline Competition Bureau, </w:t>
      </w:r>
      <w:r>
        <w:rPr>
          <w:bCs/>
          <w:snapToGrid w:val="0"/>
          <w:kern w:val="28"/>
          <w:szCs w:val="22"/>
        </w:rPr>
        <w:t xml:space="preserve">or </w:t>
      </w:r>
      <w:r w:rsidR="00B1062C">
        <w:rPr>
          <w:bCs/>
          <w:snapToGrid w:val="0"/>
          <w:kern w:val="28"/>
          <w:szCs w:val="22"/>
        </w:rPr>
        <w:t>D</w:t>
      </w:r>
      <w:r w:rsidRPr="00162632">
        <w:rPr>
          <w:bCs/>
          <w:snapToGrid w:val="0"/>
          <w:kern w:val="28"/>
          <w:szCs w:val="22"/>
        </w:rPr>
        <w:t>avid Krech, International Bureau, (202) 418-7443.</w:t>
      </w:r>
    </w:p>
    <w:p w:rsidR="00455B79" w:rsidRPr="00585942" w:rsidP="00B73733" w14:paraId="13B4FBE7" w14:textId="77777777">
      <w:pPr>
        <w:autoSpaceDE w:val="0"/>
        <w:autoSpaceDN w:val="0"/>
        <w:adjustRightInd w:val="0"/>
        <w:spacing w:after="120"/>
        <w:ind w:firstLine="720"/>
        <w:jc w:val="center"/>
        <w:rPr>
          <w:b/>
          <w:color w:val="000000"/>
          <w:szCs w:val="22"/>
          <w:u w:val="single"/>
        </w:rPr>
      </w:pPr>
      <w:r>
        <w:rPr>
          <w:bCs/>
          <w:snapToGrid w:val="0"/>
          <w:kern w:val="28"/>
          <w:szCs w:val="22"/>
        </w:rPr>
        <w:br w:type="page"/>
      </w:r>
      <w:r w:rsidRPr="00585942">
        <w:rPr>
          <w:b/>
          <w:color w:val="000000"/>
          <w:szCs w:val="22"/>
          <w:u w:val="single"/>
        </w:rPr>
        <w:t>ATTACHMENT A</w:t>
      </w:r>
    </w:p>
    <w:p w:rsidR="00455B79" w:rsidRPr="00585942" w:rsidP="00455B79" w14:paraId="21308A96" w14:textId="77777777">
      <w:pPr>
        <w:rPr>
          <w:b/>
          <w:color w:val="000000"/>
          <w:szCs w:val="22"/>
        </w:rPr>
      </w:pPr>
    </w:p>
    <w:p w:rsidR="00455B79" w:rsidRPr="0022664E" w:rsidP="00455B79" w14:paraId="5E4162C6" w14:textId="77777777">
      <w:pPr>
        <w:rPr>
          <w:color w:val="000000"/>
          <w:szCs w:val="22"/>
        </w:rPr>
      </w:pPr>
      <w:r w:rsidRPr="00585942">
        <w:rPr>
          <w:b/>
          <w:color w:val="000000"/>
          <w:szCs w:val="22"/>
        </w:rPr>
        <w:t>SECTION 214 AUTHORIZATIONS</w:t>
      </w:r>
    </w:p>
    <w:p w:rsidR="00455B79" w:rsidRPr="0022664E" w:rsidP="00455B79" w14:paraId="0D772E4F" w14:textId="77777777">
      <w:pPr>
        <w:rPr>
          <w:color w:val="000000"/>
          <w:szCs w:val="22"/>
        </w:rPr>
      </w:pPr>
    </w:p>
    <w:p w:rsidR="00455B79" w:rsidRPr="00585942" w:rsidP="00455B79" w14:paraId="30384126" w14:textId="77777777">
      <w:pPr>
        <w:rPr>
          <w:b/>
          <w:color w:val="000000"/>
          <w:szCs w:val="22"/>
        </w:rPr>
      </w:pPr>
      <w:r w:rsidRPr="00585942">
        <w:rPr>
          <w:b/>
          <w:color w:val="000000"/>
          <w:szCs w:val="22"/>
        </w:rPr>
        <w:t>A.</w:t>
      </w:r>
      <w:r w:rsidRPr="00585942">
        <w:rPr>
          <w:b/>
          <w:color w:val="000000"/>
          <w:szCs w:val="22"/>
        </w:rPr>
        <w:tab/>
        <w:t>International</w:t>
      </w:r>
    </w:p>
    <w:p w:rsidR="00455B79" w:rsidRPr="0022664E" w:rsidP="00455B79" w14:paraId="79282E56" w14:textId="77777777">
      <w:pPr>
        <w:rPr>
          <w:color w:val="000000"/>
          <w:szCs w:val="22"/>
        </w:rPr>
      </w:pPr>
    </w:p>
    <w:p w:rsidR="00CD4F70" w:rsidRPr="003F2D8E" w:rsidP="00CD4F70" w14:paraId="158689CA" w14:textId="77777777">
      <w:pPr>
        <w:rPr>
          <w:bCs/>
          <w:color w:val="000000"/>
          <w:szCs w:val="22"/>
        </w:rPr>
      </w:pPr>
      <w:bookmarkStart w:id="5" w:name="_Hlk1664737"/>
      <w:r>
        <w:rPr>
          <w:bCs/>
          <w:color w:val="000000"/>
          <w:szCs w:val="22"/>
        </w:rPr>
        <w:t xml:space="preserve">The application for </w:t>
      </w:r>
      <w:r w:rsidRPr="00F1402A">
        <w:rPr>
          <w:szCs w:val="22"/>
        </w:rPr>
        <w:t>CenturyLink Latin America</w:t>
      </w:r>
      <w:r>
        <w:rPr>
          <w:szCs w:val="22"/>
        </w:rPr>
        <w:t>n</w:t>
      </w:r>
      <w:r w:rsidRPr="00F1402A">
        <w:rPr>
          <w:szCs w:val="22"/>
        </w:rPr>
        <w:t xml:space="preserve"> Solutions, LLC</w:t>
      </w:r>
      <w:r>
        <w:rPr>
          <w:szCs w:val="22"/>
        </w:rPr>
        <w:t xml:space="preserve"> for </w:t>
      </w:r>
      <w:r w:rsidRPr="00CD4F70">
        <w:rPr>
          <w:szCs w:val="22"/>
        </w:rPr>
        <w:t>authority to provide facilities-based service in accordance with section 63.18(e)(1) of the Commission's rules, and resale service in</w:t>
      </w:r>
      <w:r>
        <w:rPr>
          <w:szCs w:val="22"/>
        </w:rPr>
        <w:t xml:space="preserve"> </w:t>
      </w:r>
      <w:r w:rsidRPr="00CD4F70">
        <w:rPr>
          <w:szCs w:val="22"/>
        </w:rPr>
        <w:t>accordance with section 63.18(e)(2) of the Commission's rules, 47 CFR § 63.18(e)(1), (2)</w:t>
      </w:r>
      <w:r w:rsidR="009A54C7">
        <w:rPr>
          <w:szCs w:val="22"/>
        </w:rPr>
        <w:t>,</w:t>
      </w:r>
      <w:r>
        <w:rPr>
          <w:szCs w:val="22"/>
        </w:rPr>
        <w:t xml:space="preserve"> has been assigned file number ITC-214-20210824-00125</w:t>
      </w:r>
      <w:r w:rsidRPr="00CD4F70">
        <w:rPr>
          <w:szCs w:val="22"/>
        </w:rPr>
        <w:t>.</w:t>
      </w:r>
    </w:p>
    <w:p w:rsidR="00CD4F70" w:rsidP="00455B79" w14:paraId="6560B743" w14:textId="77777777">
      <w:pPr>
        <w:rPr>
          <w:color w:val="000000"/>
          <w:szCs w:val="22"/>
        </w:rPr>
      </w:pPr>
    </w:p>
    <w:p w:rsidR="00CD4F70" w:rsidP="00455B79" w14:paraId="4A637DF9" w14:textId="77777777">
      <w:pPr>
        <w:rPr>
          <w:color w:val="000000"/>
          <w:szCs w:val="22"/>
        </w:rPr>
      </w:pPr>
    </w:p>
    <w:p w:rsidR="00455B79" w:rsidRPr="0022664E" w:rsidP="00455B79" w14:paraId="65E4A43A" w14:textId="77777777">
      <w:pPr>
        <w:rPr>
          <w:color w:val="000000"/>
          <w:szCs w:val="22"/>
        </w:rPr>
      </w:pPr>
      <w:r w:rsidRPr="0022664E">
        <w:rPr>
          <w:color w:val="000000"/>
          <w:szCs w:val="22"/>
        </w:rPr>
        <w:t>The applications for consent to the transfer of control of certain international section 214 authorizations have been assigned the file numbers listed below.</w:t>
      </w:r>
    </w:p>
    <w:bookmarkEnd w:id="5"/>
    <w:p w:rsidR="00455B79" w:rsidRPr="0022664E" w:rsidP="00455B79" w14:paraId="0F7D3F0F" w14:textId="77777777">
      <w:pPr>
        <w:rPr>
          <w:color w:val="000000"/>
          <w:szCs w:val="22"/>
        </w:rPr>
      </w:pPr>
    </w:p>
    <w:tbl>
      <w:tblPr>
        <w:tblW w:w="9738" w:type="dxa"/>
        <w:tblLook w:val="01E0"/>
      </w:tblPr>
      <w:tblGrid>
        <w:gridCol w:w="2880"/>
        <w:gridCol w:w="3888"/>
        <w:gridCol w:w="2970"/>
      </w:tblGrid>
      <w:tr w14:paraId="0FE164F1" w14:textId="77777777" w:rsidTr="00695C27">
        <w:tblPrEx>
          <w:tblW w:w="9738" w:type="dxa"/>
          <w:tblLook w:val="01E0"/>
        </w:tblPrEx>
        <w:tc>
          <w:tcPr>
            <w:tcW w:w="2880" w:type="dxa"/>
          </w:tcPr>
          <w:p w:rsidR="00455B79" w:rsidP="00695C27" w14:paraId="52E8CAD6" w14:textId="77777777">
            <w:pPr>
              <w:rPr>
                <w:b/>
                <w:bCs/>
                <w:color w:val="000000"/>
                <w:szCs w:val="22"/>
                <w:u w:val="single"/>
              </w:rPr>
            </w:pPr>
            <w:bookmarkStart w:id="6" w:name="_Hlk1656452"/>
            <w:r w:rsidRPr="00657AD1">
              <w:rPr>
                <w:b/>
                <w:bCs/>
                <w:color w:val="000000"/>
                <w:szCs w:val="22"/>
                <w:u w:val="single"/>
              </w:rPr>
              <w:t>File Number</w:t>
            </w:r>
          </w:p>
          <w:p w:rsidR="006310AF" w:rsidP="00695C27" w14:paraId="47BA49E9" w14:textId="77777777">
            <w:pPr>
              <w:rPr>
                <w:b/>
                <w:bCs/>
                <w:color w:val="000000"/>
                <w:szCs w:val="22"/>
                <w:u w:val="single"/>
              </w:rPr>
            </w:pPr>
          </w:p>
          <w:p w:rsidR="006310AF" w:rsidP="00695C27" w14:paraId="50B24523" w14:textId="77777777">
            <w:r>
              <w:t>ITC-T/C-20210820-00121</w:t>
            </w:r>
          </w:p>
          <w:p w:rsidR="006310AF" w:rsidP="00695C27" w14:paraId="62133338" w14:textId="77777777">
            <w:pPr>
              <w:rPr>
                <w:b/>
                <w:bCs/>
              </w:rPr>
            </w:pPr>
          </w:p>
          <w:p w:rsidR="006310AF" w:rsidP="00695C27" w14:paraId="15A0CD94" w14:textId="77777777">
            <w:pPr>
              <w:rPr>
                <w:b/>
                <w:bCs/>
              </w:rPr>
            </w:pPr>
          </w:p>
          <w:p w:rsidR="006310AF" w:rsidP="00695C27" w14:paraId="54FB5F43" w14:textId="77777777">
            <w:pPr>
              <w:rPr>
                <w:b/>
                <w:bCs/>
              </w:rPr>
            </w:pPr>
          </w:p>
          <w:p w:rsidR="003150E4" w:rsidP="00695C27" w14:paraId="4A826588" w14:textId="77777777"/>
          <w:p w:rsidR="006310AF" w:rsidRPr="00657AD1" w:rsidP="00695C27" w14:paraId="077DE43B" w14:textId="77777777">
            <w:pPr>
              <w:rPr>
                <w:b/>
                <w:bCs/>
                <w:color w:val="000000"/>
                <w:szCs w:val="22"/>
              </w:rPr>
            </w:pPr>
            <w:r>
              <w:t>ITC-T/C-20210824-00124</w:t>
            </w:r>
          </w:p>
        </w:tc>
        <w:tc>
          <w:tcPr>
            <w:tcW w:w="3888" w:type="dxa"/>
          </w:tcPr>
          <w:p w:rsidR="00455B79" w:rsidP="00695C27" w14:paraId="03A96C67" w14:textId="77777777">
            <w:pPr>
              <w:rPr>
                <w:b/>
                <w:bCs/>
                <w:color w:val="000000"/>
                <w:szCs w:val="22"/>
                <w:u w:val="single"/>
              </w:rPr>
            </w:pPr>
            <w:r w:rsidRPr="00657AD1">
              <w:rPr>
                <w:b/>
                <w:bCs/>
                <w:color w:val="000000"/>
                <w:szCs w:val="22"/>
                <w:u w:val="single"/>
              </w:rPr>
              <w:t>Authorization Holder</w:t>
            </w:r>
          </w:p>
          <w:p w:rsidR="006310AF" w:rsidP="00695C27" w14:paraId="15B04B0A" w14:textId="77777777">
            <w:pPr>
              <w:rPr>
                <w:b/>
                <w:bCs/>
                <w:color w:val="000000"/>
                <w:szCs w:val="22"/>
                <w:u w:val="single"/>
              </w:rPr>
            </w:pPr>
          </w:p>
          <w:p w:rsidR="006310AF" w:rsidP="00695C27" w14:paraId="273B8B23" w14:textId="77777777">
            <w:r>
              <w:t xml:space="preserve">Global Crossing Americas Solutions, LLC  </w:t>
            </w:r>
          </w:p>
          <w:p w:rsidR="006310AF" w:rsidP="00695C27" w14:paraId="325582A6" w14:textId="77777777">
            <w:pPr>
              <w:rPr>
                <w:b/>
                <w:bCs/>
              </w:rPr>
            </w:pPr>
          </w:p>
          <w:p w:rsidR="006310AF" w:rsidP="00695C27" w14:paraId="1581F858" w14:textId="77777777">
            <w:pPr>
              <w:rPr>
                <w:b/>
                <w:bCs/>
              </w:rPr>
            </w:pPr>
          </w:p>
          <w:p w:rsidR="003150E4" w:rsidP="00695C27" w14:paraId="3620F9DF" w14:textId="77777777">
            <w:pPr>
              <w:rPr>
                <w:szCs w:val="22"/>
              </w:rPr>
            </w:pPr>
          </w:p>
          <w:p w:rsidR="006310AF" w:rsidRPr="00657AD1" w:rsidP="00695C27" w14:paraId="2A1EB8CE" w14:textId="77777777">
            <w:pPr>
              <w:rPr>
                <w:b/>
                <w:bCs/>
                <w:color w:val="000000"/>
                <w:szCs w:val="22"/>
              </w:rPr>
            </w:pPr>
            <w:r w:rsidRPr="00F1402A">
              <w:rPr>
                <w:szCs w:val="22"/>
              </w:rPr>
              <w:t>CenturyLink Latin America</w:t>
            </w:r>
            <w:r>
              <w:rPr>
                <w:szCs w:val="22"/>
              </w:rPr>
              <w:t>n</w:t>
            </w:r>
            <w:r w:rsidRPr="00F1402A">
              <w:rPr>
                <w:szCs w:val="22"/>
              </w:rPr>
              <w:t xml:space="preserve"> Solutions, LLC</w:t>
            </w:r>
          </w:p>
        </w:tc>
        <w:tc>
          <w:tcPr>
            <w:tcW w:w="2970" w:type="dxa"/>
          </w:tcPr>
          <w:p w:rsidR="00455B79" w:rsidP="00695C27" w14:paraId="77A473AD" w14:textId="77777777">
            <w:pPr>
              <w:rPr>
                <w:b/>
                <w:bCs/>
                <w:color w:val="000000"/>
                <w:szCs w:val="22"/>
                <w:u w:val="single"/>
              </w:rPr>
            </w:pPr>
            <w:r w:rsidRPr="00657AD1">
              <w:rPr>
                <w:b/>
                <w:bCs/>
                <w:color w:val="000000"/>
                <w:szCs w:val="22"/>
                <w:u w:val="single"/>
              </w:rPr>
              <w:t>Authorization Number</w:t>
            </w:r>
          </w:p>
          <w:p w:rsidR="003150E4" w:rsidP="00695C27" w14:paraId="7AF6A091" w14:textId="77777777"/>
          <w:p w:rsidR="003150E4" w:rsidP="00695C27" w14:paraId="627ACA18" w14:textId="77777777">
            <w:r>
              <w:t>ITC-214-19950717-00062</w:t>
            </w:r>
          </w:p>
          <w:p w:rsidR="006310AF" w:rsidP="00695C27" w14:paraId="1BA7D875" w14:textId="77777777">
            <w:hyperlink r:id="rId14" w:history="1">
              <w:r w:rsidRPr="003150E4">
                <w:rPr>
                  <w:rStyle w:val="Hyperlink"/>
                  <w:color w:val="auto"/>
                  <w:u w:val="none"/>
                </w:rPr>
                <w:t>ITC-214-19950831-00047</w:t>
              </w:r>
            </w:hyperlink>
            <w:r w:rsidRPr="003150E4">
              <w:t xml:space="preserve">  </w:t>
            </w:r>
            <w:hyperlink r:id="rId15" w:history="1">
              <w:r w:rsidRPr="003150E4">
                <w:rPr>
                  <w:rStyle w:val="Hyperlink"/>
                  <w:color w:val="auto"/>
                  <w:u w:val="none"/>
                </w:rPr>
                <w:t>ITC-214-19970703-00372</w:t>
              </w:r>
            </w:hyperlink>
            <w:r>
              <w:t xml:space="preserve"> ITC-MOD-20200221-00034</w:t>
            </w:r>
          </w:p>
          <w:p w:rsidR="006310AF" w:rsidP="00695C27" w14:paraId="1127BCE6" w14:textId="77777777">
            <w:pPr>
              <w:rPr>
                <w:b/>
                <w:bCs/>
                <w:u w:val="single"/>
              </w:rPr>
            </w:pPr>
          </w:p>
          <w:p w:rsidR="006310AF" w:rsidRPr="00657AD1" w:rsidP="00695C27" w14:paraId="3C868677" w14:textId="77777777">
            <w:pPr>
              <w:rPr>
                <w:b/>
                <w:bCs/>
                <w:color w:val="000000"/>
                <w:szCs w:val="22"/>
                <w:u w:val="single"/>
              </w:rPr>
            </w:pPr>
            <w:r>
              <w:t>ITC-214-20210824-00125</w:t>
            </w:r>
            <w:r>
              <w:rPr>
                <w:rStyle w:val="FootnoteReference"/>
              </w:rPr>
              <w:footnoteReference w:id="35"/>
            </w:r>
          </w:p>
        </w:tc>
      </w:tr>
      <w:bookmarkEnd w:id="6"/>
    </w:tbl>
    <w:p w:rsidR="004A1990" w:rsidP="00455B79" w14:paraId="54EA1FA1" w14:textId="77777777">
      <w:pPr>
        <w:rPr>
          <w:b/>
          <w:color w:val="000000"/>
          <w:szCs w:val="22"/>
        </w:rPr>
      </w:pPr>
    </w:p>
    <w:p w:rsidR="009305C8" w:rsidP="00455B79" w14:paraId="34CC5887" w14:textId="77777777">
      <w:pPr>
        <w:rPr>
          <w:b/>
          <w:color w:val="000000"/>
          <w:szCs w:val="22"/>
        </w:rPr>
      </w:pPr>
    </w:p>
    <w:p w:rsidR="00455B79" w:rsidRPr="00585942" w:rsidP="00455B79" w14:paraId="1E6D023F" w14:textId="77777777">
      <w:pPr>
        <w:rPr>
          <w:b/>
          <w:color w:val="000000"/>
          <w:szCs w:val="22"/>
        </w:rPr>
      </w:pPr>
      <w:r w:rsidRPr="00585942">
        <w:rPr>
          <w:b/>
          <w:color w:val="000000"/>
          <w:szCs w:val="22"/>
        </w:rPr>
        <w:t>B.</w:t>
      </w:r>
      <w:r w:rsidRPr="00585942">
        <w:rPr>
          <w:b/>
          <w:color w:val="000000"/>
          <w:szCs w:val="22"/>
        </w:rPr>
        <w:tab/>
        <w:t>Domestic</w:t>
      </w:r>
    </w:p>
    <w:p w:rsidR="00455B79" w:rsidRPr="0022664E" w:rsidP="00455B79" w14:paraId="56FBDE23" w14:textId="77777777">
      <w:pPr>
        <w:rPr>
          <w:color w:val="000000"/>
          <w:szCs w:val="22"/>
        </w:rPr>
      </w:pPr>
    </w:p>
    <w:p w:rsidR="00455B79" w:rsidRPr="0022664E" w:rsidP="00455B79" w14:paraId="1785C7D9" w14:textId="77777777">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7" w:name="sp_999_4"/>
      <w:bookmarkStart w:id="8" w:name="SDU_4"/>
      <w:bookmarkStart w:id="9" w:name="citeas((Cite_as:_26_F.C.C.R._13372,_*133"/>
      <w:bookmarkEnd w:id="7"/>
      <w:bookmarkEnd w:id="8"/>
      <w:bookmarkEnd w:id="9"/>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36"/>
      </w:r>
      <w:r w:rsidRPr="00B62EDB">
        <w:rPr>
          <w:color w:val="000000"/>
          <w:szCs w:val="22"/>
        </w:rPr>
        <w:t xml:space="preserve"> </w:t>
      </w:r>
    </w:p>
    <w:tbl>
      <w:tblPr>
        <w:tblW w:w="9744" w:type="dxa"/>
        <w:tblLook w:val="01E0"/>
      </w:tblPr>
      <w:tblGrid>
        <w:gridCol w:w="2882"/>
        <w:gridCol w:w="3890"/>
        <w:gridCol w:w="2972"/>
      </w:tblGrid>
      <w:tr w14:paraId="42D86B63" w14:textId="77777777" w:rsidTr="00695C27">
        <w:tblPrEx>
          <w:tblW w:w="9744" w:type="dxa"/>
          <w:tblLook w:val="01E0"/>
        </w:tblPrEx>
        <w:trPr>
          <w:trHeight w:val="297"/>
        </w:trPr>
        <w:tc>
          <w:tcPr>
            <w:tcW w:w="2882" w:type="dxa"/>
          </w:tcPr>
          <w:p w:rsidR="00455B79" w:rsidRPr="0022664E" w:rsidP="00695C27" w14:paraId="02508F3A" w14:textId="77777777">
            <w:pPr>
              <w:rPr>
                <w:color w:val="000000"/>
                <w:szCs w:val="22"/>
              </w:rPr>
            </w:pPr>
          </w:p>
        </w:tc>
        <w:tc>
          <w:tcPr>
            <w:tcW w:w="3890" w:type="dxa"/>
          </w:tcPr>
          <w:p w:rsidR="00455B79" w:rsidRPr="0022664E" w:rsidP="00695C27" w14:paraId="67934ACE" w14:textId="77777777">
            <w:pPr>
              <w:rPr>
                <w:color w:val="000000"/>
                <w:szCs w:val="22"/>
              </w:rPr>
            </w:pPr>
          </w:p>
        </w:tc>
        <w:tc>
          <w:tcPr>
            <w:tcW w:w="2972" w:type="dxa"/>
          </w:tcPr>
          <w:p w:rsidR="00455B79" w:rsidRPr="0022664E" w:rsidP="00695C27" w14:paraId="18A9BD86" w14:textId="77777777">
            <w:pPr>
              <w:rPr>
                <w:color w:val="000000"/>
                <w:szCs w:val="22"/>
              </w:rPr>
            </w:pPr>
          </w:p>
        </w:tc>
      </w:tr>
    </w:tbl>
    <w:p w:rsidR="008F053B" w:rsidP="00657AD1" w14:paraId="039C872A" w14:textId="77777777">
      <w:pPr>
        <w:rPr>
          <w:b/>
          <w:color w:val="000000"/>
          <w:szCs w:val="22"/>
        </w:rPr>
      </w:pPr>
    </w:p>
    <w:p w:rsidR="008F053B" w:rsidRPr="008F053B" w:rsidP="008F053B" w14:paraId="26FA13B3" w14:textId="77777777">
      <w:pPr>
        <w:rPr>
          <w:szCs w:val="22"/>
        </w:rPr>
      </w:pPr>
    </w:p>
    <w:p w:rsidR="008F053B" w:rsidP="00657AD1" w14:paraId="62D291C4" w14:textId="77777777">
      <w:pPr>
        <w:rPr>
          <w:b/>
          <w:color w:val="000000"/>
          <w:szCs w:val="22"/>
        </w:rPr>
      </w:pPr>
    </w:p>
    <w:p w:rsidR="008F053B" w:rsidP="008F053B" w14:paraId="432F00F1" w14:textId="77777777">
      <w:pPr>
        <w:rPr>
          <w:b/>
          <w:color w:val="000000"/>
          <w:szCs w:val="22"/>
        </w:rPr>
      </w:pPr>
      <w:r w:rsidRPr="008F053B">
        <w:rPr>
          <w:szCs w:val="22"/>
        </w:rPr>
        <w:br w:type="page"/>
      </w:r>
      <w:r w:rsidRPr="00657AD1">
        <w:rPr>
          <w:b/>
          <w:color w:val="000000"/>
          <w:szCs w:val="22"/>
        </w:rPr>
        <w:t>CABLE LANDING LICENSES</w:t>
      </w:r>
    </w:p>
    <w:p w:rsidR="008F053B" w:rsidP="008F053B" w14:paraId="7D43F73D" w14:textId="77777777">
      <w:pPr>
        <w:rPr>
          <w:b/>
          <w:color w:val="000000"/>
          <w:szCs w:val="22"/>
        </w:rPr>
      </w:pPr>
    </w:p>
    <w:p w:rsidR="008F053B" w:rsidRPr="0022664E" w:rsidP="008F053B" w14:paraId="3370C942" w14:textId="77777777">
      <w:pPr>
        <w:rPr>
          <w:color w:val="000000"/>
          <w:szCs w:val="22"/>
        </w:rPr>
      </w:pPr>
      <w:r w:rsidRPr="0022664E">
        <w:rPr>
          <w:color w:val="000000"/>
          <w:szCs w:val="22"/>
        </w:rPr>
        <w:t xml:space="preserve">The application for consent to the transfer of control of certain </w:t>
      </w:r>
      <w:r>
        <w:rPr>
          <w:color w:val="000000"/>
          <w:szCs w:val="22"/>
        </w:rPr>
        <w:t>cable landing licenses has</w:t>
      </w:r>
      <w:r w:rsidRPr="0022664E">
        <w:rPr>
          <w:color w:val="000000"/>
          <w:szCs w:val="22"/>
        </w:rPr>
        <w:t xml:space="preserve"> been assigned the file number listed below.</w:t>
      </w:r>
    </w:p>
    <w:p w:rsidR="00DD57EA" w:rsidRPr="00657AD1" w:rsidP="00657AD1" w14:paraId="08E5CA9D" w14:textId="77777777">
      <w:pPr>
        <w:rPr>
          <w:b/>
          <w:color w:val="000000"/>
          <w:szCs w:val="22"/>
        </w:rPr>
      </w:pPr>
    </w:p>
    <w:p w:rsidR="00657AD1" w:rsidRPr="00657AD1" w:rsidP="00657AD1" w14:paraId="729A9025" w14:textId="77777777">
      <w:pPr>
        <w:rPr>
          <w:b/>
          <w:color w:val="000000"/>
          <w:szCs w:val="22"/>
        </w:rPr>
      </w:pPr>
      <w:r w:rsidRPr="00657AD1">
        <w:rPr>
          <w:b/>
          <w:color w:val="000000"/>
          <w:szCs w:val="22"/>
        </w:rPr>
        <w:tab/>
      </w:r>
    </w:p>
    <w:tbl>
      <w:tblPr>
        <w:tblW w:w="9738" w:type="dxa"/>
        <w:tblLook w:val="01E0"/>
      </w:tblPr>
      <w:tblGrid>
        <w:gridCol w:w="2880"/>
        <w:gridCol w:w="3888"/>
        <w:gridCol w:w="2970"/>
      </w:tblGrid>
      <w:tr w14:paraId="2BD30969" w14:textId="77777777" w:rsidTr="00577636">
        <w:tblPrEx>
          <w:tblW w:w="9738" w:type="dxa"/>
          <w:tblLook w:val="01E0"/>
        </w:tblPrEx>
        <w:tc>
          <w:tcPr>
            <w:tcW w:w="2880" w:type="dxa"/>
          </w:tcPr>
          <w:p w:rsidR="00657AD1" w:rsidP="00657AD1" w14:paraId="2E98D49A" w14:textId="77777777">
            <w:pPr>
              <w:rPr>
                <w:b/>
                <w:color w:val="000000"/>
                <w:szCs w:val="22"/>
                <w:u w:val="single"/>
              </w:rPr>
            </w:pPr>
            <w:r w:rsidRPr="00657AD1">
              <w:rPr>
                <w:b/>
                <w:color w:val="000000"/>
                <w:szCs w:val="22"/>
                <w:u w:val="single"/>
              </w:rPr>
              <w:t>File Number</w:t>
            </w:r>
          </w:p>
          <w:p w:rsidR="006310AF" w:rsidP="00657AD1" w14:paraId="3820E6D8" w14:textId="77777777">
            <w:pPr>
              <w:rPr>
                <w:b/>
                <w:color w:val="000000"/>
                <w:szCs w:val="22"/>
                <w:u w:val="single"/>
              </w:rPr>
            </w:pPr>
          </w:p>
          <w:p w:rsidR="006310AF" w:rsidRPr="00657AD1" w:rsidP="00657AD1" w14:paraId="6144D092" w14:textId="77777777">
            <w:pPr>
              <w:rPr>
                <w:b/>
                <w:color w:val="000000"/>
                <w:szCs w:val="22"/>
              </w:rPr>
            </w:pPr>
            <w:r>
              <w:t>SCL-T/C-20210821-00035</w:t>
            </w:r>
          </w:p>
        </w:tc>
        <w:tc>
          <w:tcPr>
            <w:tcW w:w="3888" w:type="dxa"/>
          </w:tcPr>
          <w:p w:rsidR="00657AD1" w:rsidP="00657AD1" w14:paraId="280264A8" w14:textId="77777777">
            <w:pPr>
              <w:rPr>
                <w:b/>
                <w:color w:val="000000"/>
                <w:szCs w:val="22"/>
                <w:u w:val="single"/>
              </w:rPr>
            </w:pPr>
            <w:r w:rsidRPr="00657AD1">
              <w:rPr>
                <w:b/>
                <w:color w:val="000000"/>
                <w:szCs w:val="22"/>
                <w:u w:val="single"/>
              </w:rPr>
              <w:t>Licensee</w:t>
            </w:r>
          </w:p>
          <w:p w:rsidR="008F1DD8" w:rsidP="00657AD1" w14:paraId="7EDC3EEB" w14:textId="77777777">
            <w:pPr>
              <w:rPr>
                <w:b/>
                <w:color w:val="000000"/>
                <w:szCs w:val="22"/>
                <w:u w:val="single"/>
              </w:rPr>
            </w:pPr>
          </w:p>
          <w:p w:rsidR="008F1DD8" w:rsidP="008F1DD8" w14:paraId="6266BEEC" w14:textId="77777777">
            <w:r>
              <w:t xml:space="preserve">Global Crossing Americas Solutions, LLC  </w:t>
            </w:r>
          </w:p>
          <w:p w:rsidR="008F1DD8" w:rsidRPr="00657AD1" w:rsidP="00657AD1" w14:paraId="1AB73FD3" w14:textId="77777777">
            <w:pPr>
              <w:rPr>
                <w:b/>
                <w:color w:val="000000"/>
                <w:szCs w:val="22"/>
                <w:u w:val="single"/>
              </w:rPr>
            </w:pPr>
          </w:p>
        </w:tc>
        <w:tc>
          <w:tcPr>
            <w:tcW w:w="2970" w:type="dxa"/>
          </w:tcPr>
          <w:p w:rsidR="00657AD1" w:rsidP="00657AD1" w14:paraId="03183E33" w14:textId="77777777">
            <w:pPr>
              <w:rPr>
                <w:b/>
                <w:color w:val="000000"/>
                <w:szCs w:val="22"/>
                <w:u w:val="single"/>
              </w:rPr>
            </w:pPr>
            <w:r w:rsidRPr="00657AD1">
              <w:rPr>
                <w:b/>
                <w:color w:val="000000"/>
                <w:szCs w:val="22"/>
                <w:u w:val="single"/>
              </w:rPr>
              <w:t>License Number</w:t>
            </w:r>
          </w:p>
          <w:p w:rsidR="006310AF" w:rsidP="00657AD1" w14:paraId="5416D503" w14:textId="77777777">
            <w:pPr>
              <w:rPr>
                <w:b/>
                <w:color w:val="000000"/>
                <w:szCs w:val="22"/>
                <w:u w:val="single"/>
              </w:rPr>
            </w:pPr>
          </w:p>
          <w:p w:rsidR="00CE6B91" w:rsidP="00657AD1" w14:paraId="0AF6AD8F" w14:textId="77777777">
            <w:pPr>
              <w:rPr>
                <w:sz w:val="20"/>
              </w:rPr>
            </w:pPr>
            <w:r w:rsidRPr="00BA4541">
              <w:rPr>
                <w:sz w:val="20"/>
              </w:rPr>
              <w:t>SCL-MOD-20020415-00035</w:t>
            </w:r>
            <w:r>
              <w:rPr>
                <w:rStyle w:val="FootnoteReference"/>
                <w:sz w:val="20"/>
              </w:rPr>
              <w:footnoteReference w:id="37"/>
            </w:r>
          </w:p>
          <w:p w:rsidR="006310AF" w:rsidP="00657AD1" w14:paraId="346D0CC9" w14:textId="77777777">
            <w:pPr>
              <w:rPr>
                <w:b/>
                <w:color w:val="000000"/>
                <w:szCs w:val="22"/>
                <w:u w:val="single"/>
              </w:rPr>
            </w:pPr>
            <w:r w:rsidRPr="00BA4541">
              <w:rPr>
                <w:sz w:val="20"/>
              </w:rPr>
              <w:t>SCL-MOD-20110524-00020</w:t>
            </w:r>
            <w:r>
              <w:rPr>
                <w:rStyle w:val="FootnoteReference"/>
                <w:sz w:val="20"/>
              </w:rPr>
              <w:footnoteReference w:id="38"/>
            </w:r>
            <w:r>
              <w:rPr>
                <w:sz w:val="20"/>
              </w:rPr>
              <w:t xml:space="preserve"> </w:t>
            </w:r>
            <w:r w:rsidRPr="00BA4541" w:rsidR="003C0D12">
              <w:rPr>
                <w:sz w:val="20"/>
              </w:rPr>
              <w:t>SCL-MOD-20150129-00002</w:t>
            </w:r>
            <w:r>
              <w:rPr>
                <w:rStyle w:val="FootnoteReference"/>
                <w:sz w:val="20"/>
              </w:rPr>
              <w:footnoteReference w:id="39"/>
            </w:r>
            <w:r w:rsidR="003C0D12">
              <w:rPr>
                <w:sz w:val="20"/>
              </w:rPr>
              <w:t xml:space="preserve"> </w:t>
            </w:r>
            <w:r w:rsidR="00C52925">
              <w:rPr>
                <w:sz w:val="20"/>
              </w:rPr>
              <w:t>SCL-MOD-20191202-00038</w:t>
            </w:r>
            <w:r>
              <w:rPr>
                <w:rStyle w:val="FootnoteReference"/>
                <w:sz w:val="20"/>
              </w:rPr>
              <w:footnoteReference w:id="40"/>
            </w:r>
          </w:p>
          <w:p w:rsidR="006310AF" w:rsidRPr="00657AD1" w:rsidP="00657AD1" w14:paraId="56903995" w14:textId="77777777">
            <w:pPr>
              <w:rPr>
                <w:b/>
                <w:color w:val="000000"/>
                <w:szCs w:val="22"/>
                <w:u w:val="single"/>
              </w:rPr>
            </w:pPr>
          </w:p>
          <w:p w:rsidR="00657AD1" w:rsidRPr="00657AD1" w:rsidP="00657AD1" w14:paraId="75FDFCAA" w14:textId="77777777">
            <w:pPr>
              <w:rPr>
                <w:b/>
                <w:color w:val="000000"/>
                <w:szCs w:val="22"/>
                <w:u w:val="single"/>
              </w:rPr>
            </w:pPr>
          </w:p>
        </w:tc>
      </w:tr>
      <w:tr w14:paraId="4CF529B6" w14:textId="77777777" w:rsidTr="00577636">
        <w:tblPrEx>
          <w:tblW w:w="9738" w:type="dxa"/>
          <w:tblLook w:val="01E0"/>
        </w:tblPrEx>
        <w:tc>
          <w:tcPr>
            <w:tcW w:w="2880" w:type="dxa"/>
          </w:tcPr>
          <w:p w:rsidR="00657AD1" w:rsidRPr="00657AD1" w:rsidP="00657AD1" w14:paraId="5A1CBA2A" w14:textId="77777777">
            <w:pPr>
              <w:rPr>
                <w:color w:val="000000"/>
                <w:szCs w:val="22"/>
              </w:rPr>
            </w:pPr>
          </w:p>
        </w:tc>
        <w:tc>
          <w:tcPr>
            <w:tcW w:w="3888" w:type="dxa"/>
          </w:tcPr>
          <w:p w:rsidR="00657AD1" w:rsidRPr="00657AD1" w:rsidP="00657AD1" w14:paraId="1B1EBFDE" w14:textId="77777777">
            <w:pPr>
              <w:rPr>
                <w:color w:val="000000"/>
                <w:szCs w:val="22"/>
              </w:rPr>
            </w:pPr>
          </w:p>
        </w:tc>
        <w:tc>
          <w:tcPr>
            <w:tcW w:w="2970" w:type="dxa"/>
          </w:tcPr>
          <w:p w:rsidR="00657AD1" w:rsidRPr="00657AD1" w:rsidP="00657AD1" w14:paraId="05B35CA0" w14:textId="77777777">
            <w:pPr>
              <w:rPr>
                <w:color w:val="000000"/>
                <w:szCs w:val="22"/>
              </w:rPr>
            </w:pPr>
          </w:p>
        </w:tc>
      </w:tr>
    </w:tbl>
    <w:p w:rsidR="0065535C" w:rsidRPr="0022664E" w:rsidP="0065535C" w14:paraId="744DFECF" w14:textId="77777777">
      <w:pPr>
        <w:rPr>
          <w:color w:val="000000"/>
          <w:szCs w:val="22"/>
        </w:rPr>
      </w:pPr>
    </w:p>
    <w:tbl>
      <w:tblPr>
        <w:tblW w:w="9744" w:type="dxa"/>
        <w:tblLook w:val="01E0"/>
      </w:tblPr>
      <w:tblGrid>
        <w:gridCol w:w="2882"/>
        <w:gridCol w:w="3890"/>
        <w:gridCol w:w="2972"/>
      </w:tblGrid>
      <w:tr w14:paraId="69A2D154" w14:textId="77777777" w:rsidTr="00695C27">
        <w:tblPrEx>
          <w:tblW w:w="9744" w:type="dxa"/>
          <w:tblLook w:val="01E0"/>
        </w:tblPrEx>
        <w:trPr>
          <w:trHeight w:val="297"/>
        </w:trPr>
        <w:tc>
          <w:tcPr>
            <w:tcW w:w="2882" w:type="dxa"/>
          </w:tcPr>
          <w:p w:rsidR="0065535C" w:rsidRPr="0022664E" w:rsidP="00695C27" w14:paraId="6F354747" w14:textId="77777777">
            <w:pPr>
              <w:rPr>
                <w:color w:val="000000"/>
                <w:szCs w:val="22"/>
              </w:rPr>
            </w:pPr>
          </w:p>
        </w:tc>
        <w:tc>
          <w:tcPr>
            <w:tcW w:w="3890" w:type="dxa"/>
          </w:tcPr>
          <w:p w:rsidR="0065535C" w:rsidRPr="0022664E" w:rsidP="00695C27" w14:paraId="69FC6733" w14:textId="77777777">
            <w:pPr>
              <w:rPr>
                <w:color w:val="000000"/>
                <w:szCs w:val="22"/>
              </w:rPr>
            </w:pPr>
          </w:p>
        </w:tc>
        <w:tc>
          <w:tcPr>
            <w:tcW w:w="2972" w:type="dxa"/>
          </w:tcPr>
          <w:p w:rsidR="0065535C" w:rsidRPr="0022664E" w:rsidP="00695C27" w14:paraId="13100BD6" w14:textId="77777777">
            <w:pPr>
              <w:rPr>
                <w:color w:val="000000"/>
                <w:szCs w:val="22"/>
              </w:rPr>
            </w:pPr>
          </w:p>
        </w:tc>
      </w:tr>
    </w:tbl>
    <w:p w:rsidR="00FE1A5C" w:rsidP="00FE1A5C" w14:paraId="26457363" w14:textId="77777777">
      <w:pPr>
        <w:autoSpaceDE w:val="0"/>
        <w:autoSpaceDN w:val="0"/>
        <w:adjustRightInd w:val="0"/>
        <w:rPr>
          <w:szCs w:val="22"/>
        </w:rPr>
      </w:pPr>
    </w:p>
    <w:p w:rsidR="00FE1A5C" w:rsidP="00FE1A5C" w14:paraId="516857B5" w14:textId="77777777">
      <w:pPr>
        <w:autoSpaceDE w:val="0"/>
        <w:autoSpaceDN w:val="0"/>
        <w:adjustRightInd w:val="0"/>
        <w:jc w:val="center"/>
        <w:rPr>
          <w:szCs w:val="22"/>
        </w:rPr>
      </w:pPr>
      <w:r>
        <w:rPr>
          <w:b/>
          <w:szCs w:val="22"/>
        </w:rPr>
        <w:t>- FCC -</w:t>
      </w:r>
    </w:p>
    <w:p w:rsidR="00395138" w14:paraId="2AF9A42E" w14:textId="77777777">
      <w:pPr>
        <w:suppressAutoHyphens/>
        <w:rPr>
          <w:color w:val="000000"/>
          <w:szCs w:val="22"/>
        </w:rPr>
      </w:pPr>
    </w:p>
    <w:sectPr>
      <w:footerReference w:type="default" r:id="rId16"/>
      <w:headerReference w:type="first" r:id="rId17"/>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343861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C078D" w14:paraId="720F8F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2B67F8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078D" w14:paraId="4EC3EA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4B8E9CF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C078D" w14:paraId="3929B32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4BFC" w14:paraId="461C41FE" w14:textId="77777777">
      <w:r>
        <w:separator/>
      </w:r>
    </w:p>
  </w:footnote>
  <w:footnote w:type="continuationSeparator" w:id="1">
    <w:p w:rsidR="00CD4BFC" w14:paraId="706D0CBE" w14:textId="77777777">
      <w:r>
        <w:continuationSeparator/>
      </w:r>
    </w:p>
  </w:footnote>
  <w:footnote w:type="continuationNotice" w:id="2">
    <w:p w:rsidR="00CD4BFC" w14:paraId="59F08256" w14:textId="77777777"/>
  </w:footnote>
  <w:footnote w:id="3">
    <w:p w:rsidR="00B31201" w:rsidRPr="00BA4541" w:rsidP="00BA4541" w14:paraId="0DF52B30" w14:textId="77777777">
      <w:pPr>
        <w:pStyle w:val="FootnoteText"/>
        <w:spacing w:after="120"/>
        <w:rPr>
          <w:sz w:val="20"/>
        </w:rPr>
      </w:pPr>
      <w:r w:rsidRPr="00BA4541">
        <w:rPr>
          <w:rStyle w:val="FootnoteReference"/>
          <w:sz w:val="20"/>
        </w:rPr>
        <w:footnoteRef/>
      </w:r>
      <w:r w:rsidRPr="00BA4541">
        <w:rPr>
          <w:sz w:val="20"/>
        </w:rPr>
        <w:t xml:space="preserve"> 47 U.S.C. § 214.</w:t>
      </w:r>
    </w:p>
  </w:footnote>
  <w:footnote w:id="4">
    <w:p w:rsidR="00B31201" w:rsidRPr="00BA4541" w:rsidP="00BA4541" w14:paraId="11869A52" w14:textId="77777777">
      <w:pPr>
        <w:pStyle w:val="FootnoteText"/>
        <w:spacing w:after="120"/>
        <w:rPr>
          <w:sz w:val="20"/>
        </w:rPr>
      </w:pPr>
      <w:r w:rsidRPr="00BA4541">
        <w:rPr>
          <w:rStyle w:val="FootnoteReference"/>
          <w:sz w:val="20"/>
        </w:rPr>
        <w:footnoteRef/>
      </w:r>
      <w:r w:rsidRPr="00BA4541">
        <w:rPr>
          <w:sz w:val="20"/>
        </w:rPr>
        <w:t xml:space="preserve"> </w:t>
      </w:r>
      <w:r w:rsidRPr="00BA4541" w:rsidR="007B66E8">
        <w:rPr>
          <w:sz w:val="20"/>
        </w:rPr>
        <w:t xml:space="preserve">47 U.S.C. §§ 34-39; </w:t>
      </w:r>
      <w:r w:rsidRPr="00BA4541" w:rsidR="007B66E8">
        <w:rPr>
          <w:i/>
          <w:sz w:val="20"/>
        </w:rPr>
        <w:t>s</w:t>
      </w:r>
      <w:r w:rsidRPr="00BA4541" w:rsidR="007B66E8">
        <w:rPr>
          <w:i/>
          <w:iCs/>
          <w:sz w:val="20"/>
        </w:rPr>
        <w:t>ee also</w:t>
      </w:r>
      <w:r w:rsidRPr="00BA4541" w:rsidR="007B66E8">
        <w:rPr>
          <w:sz w:val="20"/>
        </w:rPr>
        <w:t xml:space="preserve"> Exec. Ord. No. 10530, Sec. 5(a), reprinted as amended at 3 U.S.C. § 301 (delegating the President’s authority under the Cable Landing License Act to the Commission).</w:t>
      </w:r>
    </w:p>
  </w:footnote>
  <w:footnote w:id="5">
    <w:p w:rsidR="00642C68" w:rsidP="008F053B" w14:paraId="73DAF302" w14:textId="77777777">
      <w:pPr>
        <w:pStyle w:val="FootnoteText"/>
        <w:spacing w:after="120"/>
      </w:pPr>
      <w:r>
        <w:rPr>
          <w:rStyle w:val="FootnoteReference"/>
        </w:rPr>
        <w:footnoteRef/>
      </w:r>
      <w:r>
        <w:t xml:space="preserve"> </w:t>
      </w:r>
      <w:r w:rsidRPr="00BA4541">
        <w:rPr>
          <w:sz w:val="20"/>
        </w:rPr>
        <w:t>47 CFR §§ 1.767, 63.03-04, 63.18, 63.24.</w:t>
      </w:r>
    </w:p>
  </w:footnote>
  <w:footnote w:id="6">
    <w:p w:rsidR="00EC078D" w:rsidRPr="00BA4541" w:rsidP="00BA4541" w14:paraId="31A98EE9" w14:textId="77777777">
      <w:pPr>
        <w:pStyle w:val="FootnoteText"/>
        <w:spacing w:after="120"/>
        <w:rPr>
          <w:sz w:val="20"/>
        </w:rPr>
      </w:pPr>
      <w:r w:rsidRPr="00BA4541">
        <w:rPr>
          <w:rStyle w:val="FootnoteReference"/>
          <w:sz w:val="20"/>
        </w:rPr>
        <w:footnoteRef/>
      </w:r>
      <w:r w:rsidRPr="00BA4541">
        <w:rPr>
          <w:sz w:val="20"/>
        </w:rPr>
        <w:t xml:space="preserve"> </w:t>
      </w:r>
      <w:r w:rsidRPr="00BA4541" w:rsidR="00B31201">
        <w:rPr>
          <w:sz w:val="20"/>
        </w:rPr>
        <w:t xml:space="preserve">Joint </w:t>
      </w:r>
      <w:r w:rsidRPr="00BA4541" w:rsidR="00586BA0">
        <w:rPr>
          <w:sz w:val="20"/>
        </w:rPr>
        <w:t>Application for Consent to Transfer Control of Section 214 Authority</w:t>
      </w:r>
      <w:r w:rsidRPr="00BA4541" w:rsidR="00B31201">
        <w:rPr>
          <w:sz w:val="20"/>
        </w:rPr>
        <w:t xml:space="preserve"> and Submarine Cable Licenses</w:t>
      </w:r>
      <w:r w:rsidRPr="00BA4541" w:rsidR="00586BA0">
        <w:rPr>
          <w:sz w:val="20"/>
        </w:rPr>
        <w:t>, WC Docket No. 2</w:t>
      </w:r>
      <w:r w:rsidRPr="00BA4541" w:rsidR="00B31201">
        <w:rPr>
          <w:sz w:val="20"/>
        </w:rPr>
        <w:t>1</w:t>
      </w:r>
      <w:r w:rsidRPr="00BA4541" w:rsidR="00586BA0">
        <w:rPr>
          <w:sz w:val="20"/>
        </w:rPr>
        <w:t>-</w:t>
      </w:r>
      <w:r w:rsidRPr="00BA4541" w:rsidR="00B31201">
        <w:rPr>
          <w:sz w:val="20"/>
        </w:rPr>
        <w:t>340</w:t>
      </w:r>
      <w:r w:rsidRPr="00BA4541" w:rsidR="00586BA0">
        <w:rPr>
          <w:sz w:val="20"/>
        </w:rPr>
        <w:t xml:space="preserve"> (filed </w:t>
      </w:r>
      <w:r w:rsidRPr="00BA4541" w:rsidR="00B31201">
        <w:rPr>
          <w:sz w:val="20"/>
        </w:rPr>
        <w:t>Aug. 20</w:t>
      </w:r>
      <w:r w:rsidRPr="00BA4541" w:rsidR="009677E4">
        <w:rPr>
          <w:sz w:val="20"/>
        </w:rPr>
        <w:t>, 202</w:t>
      </w:r>
      <w:r w:rsidRPr="00BA4541" w:rsidR="00B31201">
        <w:rPr>
          <w:sz w:val="20"/>
        </w:rPr>
        <w:t>1</w:t>
      </w:r>
      <w:r w:rsidRPr="00BA4541" w:rsidR="00586BA0">
        <w:rPr>
          <w:sz w:val="20"/>
        </w:rPr>
        <w:t>) (</w:t>
      </w:r>
      <w:r w:rsidR="00094433">
        <w:rPr>
          <w:sz w:val="20"/>
        </w:rPr>
        <w:t xml:space="preserve">Lead </w:t>
      </w:r>
      <w:r w:rsidRPr="00BA4541" w:rsidR="00586BA0">
        <w:rPr>
          <w:sz w:val="20"/>
        </w:rPr>
        <w:t>Application)</w:t>
      </w:r>
      <w:r w:rsidRPr="00BA4541" w:rsidR="009677E4">
        <w:rPr>
          <w:sz w:val="20"/>
        </w:rPr>
        <w:t xml:space="preserve">.  </w:t>
      </w:r>
      <w:r w:rsidRPr="00BA4541" w:rsidR="004516BE">
        <w:rPr>
          <w:sz w:val="20"/>
        </w:rPr>
        <w:t xml:space="preserve">As referenced in Attachment A to this Public Notice, Applicants have filed </w:t>
      </w:r>
      <w:r w:rsidR="00D5541A">
        <w:rPr>
          <w:sz w:val="20"/>
        </w:rPr>
        <w:t xml:space="preserve">applications for </w:t>
      </w:r>
      <w:r w:rsidR="008F053B">
        <w:rPr>
          <w:sz w:val="20"/>
        </w:rPr>
        <w:t xml:space="preserve">the </w:t>
      </w:r>
      <w:r w:rsidR="00D5541A">
        <w:rPr>
          <w:sz w:val="20"/>
        </w:rPr>
        <w:t xml:space="preserve">transfer of control of </w:t>
      </w:r>
      <w:r w:rsidRPr="00BA4541" w:rsidR="004516BE">
        <w:rPr>
          <w:sz w:val="20"/>
        </w:rPr>
        <w:t xml:space="preserve">domestic </w:t>
      </w:r>
      <w:r w:rsidRPr="00BA4541" w:rsidR="002617F7">
        <w:rPr>
          <w:sz w:val="20"/>
        </w:rPr>
        <w:t xml:space="preserve">and international </w:t>
      </w:r>
      <w:r w:rsidRPr="00BA4541" w:rsidR="004516BE">
        <w:rPr>
          <w:sz w:val="20"/>
        </w:rPr>
        <w:t xml:space="preserve">section 214 </w:t>
      </w:r>
      <w:r w:rsidR="00D5541A">
        <w:rPr>
          <w:sz w:val="20"/>
        </w:rPr>
        <w:t xml:space="preserve">authority, </w:t>
      </w:r>
      <w:r w:rsidR="009305C8">
        <w:rPr>
          <w:sz w:val="20"/>
        </w:rPr>
        <w:t xml:space="preserve">an application for international section 214 authority for CLAS, and </w:t>
      </w:r>
      <w:r w:rsidR="0009742E">
        <w:rPr>
          <w:sz w:val="20"/>
        </w:rPr>
        <w:t xml:space="preserve">an application </w:t>
      </w:r>
      <w:r w:rsidR="009305C8">
        <w:rPr>
          <w:sz w:val="20"/>
        </w:rPr>
        <w:t>for the transfer of control of submarine cable landing licenses held or to be held by GCAS (collectively, applications)</w:t>
      </w:r>
      <w:r w:rsidRPr="00BA4541" w:rsidR="004516BE">
        <w:rPr>
          <w:sz w:val="20"/>
        </w:rPr>
        <w:t xml:space="preserve">.  </w:t>
      </w:r>
      <w:r w:rsidRPr="00C045C0" w:rsidR="0064530E">
        <w:rPr>
          <w:sz w:val="20"/>
        </w:rPr>
        <w:t xml:space="preserve">On September </w:t>
      </w:r>
      <w:r w:rsidRPr="00C045C0" w:rsidR="00274F27">
        <w:rPr>
          <w:sz w:val="20"/>
        </w:rPr>
        <w:t>20</w:t>
      </w:r>
      <w:r w:rsidRPr="00C045C0" w:rsidR="0064530E">
        <w:rPr>
          <w:sz w:val="20"/>
        </w:rPr>
        <w:t>, 2021, Applicants filed a supplement to the</w:t>
      </w:r>
      <w:r w:rsidRPr="00C045C0" w:rsidR="009305C8">
        <w:rPr>
          <w:sz w:val="20"/>
        </w:rPr>
        <w:t xml:space="preserve"> applications</w:t>
      </w:r>
      <w:r w:rsidR="00482AF5">
        <w:rPr>
          <w:sz w:val="20"/>
        </w:rPr>
        <w:t>.  Letter from Nicholas Alexander, Counsel for Lumen, and Wayne D. Johnsen, Counsel for Patagonia Holdco, to Marlene H. Dortch, Secretary, FCC, WC Docket No. 21-340, IB File Nos. ITC-T/C-20210820-00121, ITC-T/C-20210824-00124, SCL-T/C-20210821-00035, ITC-214-20210824-00125 (filed Sept. 20, 2021)</w:t>
      </w:r>
      <w:r w:rsidRPr="00C045C0" w:rsidR="00152889">
        <w:rPr>
          <w:sz w:val="20"/>
        </w:rPr>
        <w:t xml:space="preserve"> (Sept. 20, 2021 Supplement)</w:t>
      </w:r>
      <w:r w:rsidRPr="00C045C0" w:rsidR="0064530E">
        <w:rPr>
          <w:sz w:val="20"/>
        </w:rPr>
        <w:t>.</w:t>
      </w:r>
      <w:r w:rsidRPr="00BA4541" w:rsidR="0064530E">
        <w:rPr>
          <w:sz w:val="20"/>
        </w:rPr>
        <w:t xml:space="preserve">  </w:t>
      </w:r>
    </w:p>
  </w:footnote>
  <w:footnote w:id="7">
    <w:p w:rsidR="000F233F" w:rsidP="00933C60" w14:paraId="50DC4BCC" w14:textId="77777777">
      <w:pPr>
        <w:pStyle w:val="FootnoteText"/>
        <w:spacing w:after="120"/>
      </w:pPr>
      <w:r>
        <w:rPr>
          <w:rStyle w:val="FootnoteReference"/>
        </w:rPr>
        <w:footnoteRef/>
      </w:r>
      <w:r>
        <w:t xml:space="preserve"> </w:t>
      </w:r>
      <w:r w:rsidRPr="004B38F4">
        <w:rPr>
          <w:sz w:val="20"/>
        </w:rPr>
        <w:t>47 C.F. R. § 63.18</w:t>
      </w:r>
      <w:r>
        <w:rPr>
          <w:sz w:val="20"/>
        </w:rPr>
        <w:t>.</w:t>
      </w:r>
    </w:p>
  </w:footnote>
  <w:footnote w:id="8">
    <w:p w:rsidR="00B621D8" w:rsidRPr="004B38F4" w:rsidP="00C12F15" w14:paraId="2E54B211" w14:textId="77777777">
      <w:pPr>
        <w:pStyle w:val="FootnoteText"/>
        <w:spacing w:after="120"/>
        <w:rPr>
          <w:sz w:val="20"/>
        </w:rPr>
      </w:pPr>
      <w:r>
        <w:rPr>
          <w:rStyle w:val="FootnoteReference"/>
        </w:rPr>
        <w:footnoteRef/>
      </w:r>
      <w:r>
        <w:t xml:space="preserve"> </w:t>
      </w:r>
      <w:r w:rsidRPr="00A37A37" w:rsidR="00A37A37">
        <w:rPr>
          <w:sz w:val="20"/>
        </w:rPr>
        <w:t xml:space="preserve">Lead </w:t>
      </w:r>
      <w:r w:rsidRPr="00A37A37">
        <w:rPr>
          <w:sz w:val="20"/>
        </w:rPr>
        <w:t>Application</w:t>
      </w:r>
      <w:r w:rsidRPr="004B38F4">
        <w:rPr>
          <w:sz w:val="20"/>
        </w:rPr>
        <w:t xml:space="preserve"> at 2</w:t>
      </w:r>
      <w:r w:rsidR="000F233F">
        <w:rPr>
          <w:sz w:val="20"/>
        </w:rPr>
        <w:t xml:space="preserve">, </w:t>
      </w:r>
      <w:r w:rsidRPr="004B38F4" w:rsidR="00094433">
        <w:rPr>
          <w:sz w:val="20"/>
        </w:rPr>
        <w:t>Attach</w:t>
      </w:r>
      <w:r w:rsidR="0009742E">
        <w:rPr>
          <w:sz w:val="20"/>
        </w:rPr>
        <w:t>.</w:t>
      </w:r>
      <w:r w:rsidRPr="004B38F4" w:rsidR="00094433">
        <w:rPr>
          <w:sz w:val="20"/>
        </w:rPr>
        <w:t xml:space="preserve"> 5 (International Section 214 Authority Application)</w:t>
      </w:r>
      <w:r w:rsidRPr="004B38F4">
        <w:rPr>
          <w:sz w:val="20"/>
        </w:rPr>
        <w:t>.</w:t>
      </w:r>
    </w:p>
  </w:footnote>
  <w:footnote w:id="9">
    <w:p w:rsidR="00ED6591" w:rsidRPr="004B38F4" w:rsidP="00094433" w14:paraId="024011AB" w14:textId="77777777">
      <w:pPr>
        <w:pStyle w:val="FootnoteText"/>
        <w:spacing w:after="120"/>
        <w:rPr>
          <w:sz w:val="20"/>
        </w:rPr>
      </w:pPr>
      <w:r w:rsidRPr="004B38F4">
        <w:rPr>
          <w:rStyle w:val="FootnoteReference"/>
          <w:sz w:val="20"/>
        </w:rPr>
        <w:footnoteRef/>
      </w:r>
      <w:r w:rsidRPr="004B38F4">
        <w:rPr>
          <w:sz w:val="20"/>
        </w:rPr>
        <w:t xml:space="preserve"> </w:t>
      </w:r>
      <w:r w:rsidR="001A711F">
        <w:rPr>
          <w:i/>
          <w:iCs/>
          <w:sz w:val="20"/>
        </w:rPr>
        <w:t xml:space="preserve">Id. </w:t>
      </w:r>
      <w:r w:rsidRPr="004B38F4">
        <w:rPr>
          <w:sz w:val="20"/>
        </w:rPr>
        <w:t>at 3.</w:t>
      </w:r>
    </w:p>
  </w:footnote>
  <w:footnote w:id="10">
    <w:p w:rsidR="00E15FE2" w:rsidRPr="004B38F4" w:rsidP="00BA4541" w14:paraId="6EF27847" w14:textId="77777777">
      <w:pPr>
        <w:pStyle w:val="FootnoteText"/>
        <w:spacing w:after="120"/>
        <w:rPr>
          <w:sz w:val="20"/>
        </w:rPr>
      </w:pPr>
      <w:r w:rsidRPr="004B38F4">
        <w:rPr>
          <w:rStyle w:val="FootnoteReference"/>
          <w:sz w:val="20"/>
        </w:rPr>
        <w:footnoteRef/>
      </w:r>
      <w:r w:rsidRPr="004B38F4">
        <w:rPr>
          <w:sz w:val="20"/>
        </w:rPr>
        <w:t xml:space="preserve"> </w:t>
      </w:r>
      <w:r w:rsidR="007E0E62">
        <w:rPr>
          <w:i/>
          <w:iCs/>
          <w:sz w:val="20"/>
        </w:rPr>
        <w:t>Id.</w:t>
      </w:r>
    </w:p>
  </w:footnote>
  <w:footnote w:id="11">
    <w:p w:rsidR="00ED54C9" w:rsidRPr="004B38F4" w:rsidP="00A37A37" w14:paraId="66FD2D9C" w14:textId="77777777">
      <w:pPr>
        <w:pStyle w:val="FootnoteText"/>
        <w:spacing w:after="120"/>
        <w:rPr>
          <w:sz w:val="20"/>
        </w:rPr>
      </w:pPr>
      <w:r w:rsidRPr="004B38F4">
        <w:rPr>
          <w:rStyle w:val="FootnoteReference"/>
          <w:sz w:val="20"/>
        </w:rPr>
        <w:footnoteRef/>
      </w:r>
      <w:r w:rsidRPr="004B38F4">
        <w:rPr>
          <w:sz w:val="20"/>
        </w:rPr>
        <w:t xml:space="preserve"> </w:t>
      </w:r>
      <w:r w:rsidR="00A37A37">
        <w:rPr>
          <w:sz w:val="20"/>
        </w:rPr>
        <w:t xml:space="preserve">Lead </w:t>
      </w:r>
      <w:r w:rsidRPr="004B38F4">
        <w:rPr>
          <w:sz w:val="20"/>
        </w:rPr>
        <w:t>Application at Attach. 3 (Information required by 47 C.F.R. § 63.04) at 1.</w:t>
      </w:r>
    </w:p>
  </w:footnote>
  <w:footnote w:id="12">
    <w:p w:rsidR="006A2B69" w:rsidRPr="004B38F4" w:rsidP="00BA4541" w14:paraId="19CBA725" w14:textId="77777777">
      <w:pPr>
        <w:pStyle w:val="FootnoteText"/>
        <w:spacing w:after="120"/>
        <w:rPr>
          <w:sz w:val="20"/>
        </w:rPr>
      </w:pPr>
      <w:r w:rsidRPr="004B38F4">
        <w:rPr>
          <w:rStyle w:val="FootnoteReference"/>
          <w:sz w:val="20"/>
        </w:rPr>
        <w:footnoteRef/>
      </w:r>
      <w:r w:rsidRPr="004B38F4">
        <w:rPr>
          <w:sz w:val="20"/>
        </w:rPr>
        <w:t xml:space="preserve"> </w:t>
      </w:r>
      <w:r w:rsidRPr="004B38F4">
        <w:rPr>
          <w:i/>
          <w:iCs/>
          <w:sz w:val="20"/>
        </w:rPr>
        <w:t xml:space="preserve">Id. </w:t>
      </w:r>
      <w:r w:rsidRPr="004B38F4">
        <w:rPr>
          <w:sz w:val="20"/>
        </w:rPr>
        <w:t xml:space="preserve">at 4.  </w:t>
      </w:r>
      <w:r w:rsidRPr="004B38F4">
        <w:rPr>
          <w:i/>
          <w:iCs/>
          <w:sz w:val="20"/>
        </w:rPr>
        <w:t xml:space="preserve">See also </w:t>
      </w:r>
      <w:r w:rsidRPr="004B38F4">
        <w:rPr>
          <w:sz w:val="20"/>
        </w:rPr>
        <w:t>SCL-LIC-19980429-00019;</w:t>
      </w:r>
      <w:r w:rsidR="00031FC3">
        <w:rPr>
          <w:sz w:val="20"/>
        </w:rPr>
        <w:t xml:space="preserve"> SCL-MOD-20191202-00038</w:t>
      </w:r>
      <w:r w:rsidRPr="004B38F4">
        <w:rPr>
          <w:sz w:val="20"/>
        </w:rPr>
        <w:t>.</w:t>
      </w:r>
    </w:p>
  </w:footnote>
  <w:footnote w:id="13">
    <w:p w:rsidR="00C14983" w:rsidRPr="00BA4541" w:rsidP="00BA4541" w14:paraId="34D7F861" w14:textId="77777777">
      <w:pPr>
        <w:pStyle w:val="FootnoteText"/>
        <w:spacing w:after="120"/>
        <w:rPr>
          <w:sz w:val="20"/>
        </w:rPr>
      </w:pPr>
      <w:r w:rsidRPr="004B38F4">
        <w:rPr>
          <w:rStyle w:val="FootnoteReference"/>
          <w:sz w:val="20"/>
        </w:rPr>
        <w:footnoteRef/>
      </w:r>
      <w:r w:rsidRPr="004B38F4">
        <w:rPr>
          <w:sz w:val="20"/>
        </w:rPr>
        <w:t xml:space="preserve"> </w:t>
      </w:r>
      <w:r w:rsidR="00EB10BB">
        <w:rPr>
          <w:sz w:val="20"/>
        </w:rPr>
        <w:t>Lead Application at 4.</w:t>
      </w:r>
      <w:r w:rsidRPr="004B38F4">
        <w:rPr>
          <w:sz w:val="20"/>
        </w:rPr>
        <w:t xml:space="preserve"> </w:t>
      </w:r>
      <w:r w:rsidRPr="004B38F4" w:rsidR="00BA4541">
        <w:rPr>
          <w:sz w:val="20"/>
        </w:rPr>
        <w:t xml:space="preserve"> </w:t>
      </w:r>
      <w:r w:rsidRPr="004B38F4">
        <w:rPr>
          <w:i/>
          <w:iCs/>
          <w:sz w:val="20"/>
        </w:rPr>
        <w:t xml:space="preserve">See also </w:t>
      </w:r>
      <w:r w:rsidRPr="004B38F4">
        <w:rPr>
          <w:sz w:val="20"/>
        </w:rPr>
        <w:t>ITC-214-19950717-00062; ITC-214</w:t>
      </w:r>
      <w:r w:rsidRPr="00BA4541">
        <w:rPr>
          <w:sz w:val="20"/>
        </w:rPr>
        <w:t>-19950831-00047; ITC-214-19970703-00372; and ITC-</w:t>
      </w:r>
      <w:r w:rsidR="00982FBC">
        <w:rPr>
          <w:sz w:val="20"/>
        </w:rPr>
        <w:t>MOD-20200221-00034</w:t>
      </w:r>
      <w:r w:rsidRPr="00BA4541">
        <w:rPr>
          <w:sz w:val="20"/>
        </w:rPr>
        <w:t>.</w:t>
      </w:r>
    </w:p>
  </w:footnote>
  <w:footnote w:id="14">
    <w:p w:rsidR="00A37A37" w:rsidRPr="00412C9E" w:rsidP="00A37A37" w14:paraId="5C607515" w14:textId="77777777">
      <w:pPr>
        <w:pStyle w:val="FootnoteText"/>
        <w:spacing w:after="120"/>
        <w:rPr>
          <w:sz w:val="20"/>
        </w:rPr>
      </w:pPr>
      <w:r w:rsidRPr="00BA4541">
        <w:rPr>
          <w:rStyle w:val="FootnoteReference"/>
          <w:sz w:val="20"/>
        </w:rPr>
        <w:footnoteRef/>
      </w:r>
      <w:r w:rsidRPr="00BA4541">
        <w:rPr>
          <w:sz w:val="20"/>
        </w:rPr>
        <w:t xml:space="preserve"> </w:t>
      </w:r>
      <w:r>
        <w:rPr>
          <w:sz w:val="20"/>
        </w:rPr>
        <w:t xml:space="preserve">Lead </w:t>
      </w:r>
      <w:r w:rsidR="003351AD">
        <w:rPr>
          <w:sz w:val="20"/>
        </w:rPr>
        <w:t xml:space="preserve">Application at </w:t>
      </w:r>
      <w:r w:rsidR="00412C9E">
        <w:rPr>
          <w:sz w:val="20"/>
        </w:rPr>
        <w:t xml:space="preserve">n.3 and </w:t>
      </w:r>
      <w:r w:rsidR="003351AD">
        <w:rPr>
          <w:sz w:val="20"/>
        </w:rPr>
        <w:t>4.</w:t>
      </w:r>
      <w:r w:rsidRPr="00BA4541" w:rsidR="00C14983">
        <w:rPr>
          <w:i/>
          <w:iCs/>
          <w:sz w:val="20"/>
        </w:rPr>
        <w:t xml:space="preserve"> </w:t>
      </w:r>
      <w:r w:rsidR="00CD120D">
        <w:rPr>
          <w:i/>
          <w:iCs/>
          <w:sz w:val="20"/>
        </w:rPr>
        <w:t xml:space="preserve"> </w:t>
      </w:r>
      <w:r w:rsidRPr="00BA4541" w:rsidR="00C14983">
        <w:rPr>
          <w:i/>
          <w:iCs/>
          <w:sz w:val="20"/>
        </w:rPr>
        <w:t xml:space="preserve">See </w:t>
      </w:r>
      <w:r w:rsidR="007E0E62">
        <w:rPr>
          <w:i/>
          <w:iCs/>
          <w:sz w:val="20"/>
        </w:rPr>
        <w:t xml:space="preserve">also </w:t>
      </w:r>
      <w:r w:rsidRPr="00BA4541" w:rsidR="00C14983">
        <w:rPr>
          <w:sz w:val="20"/>
        </w:rPr>
        <w:t xml:space="preserve">(A) SCL-LIC-19981030-00023; SCL-MOD-20020415-00035;  (Mid-Atlantic Crossing); (B) SCL-LIC-19981103-00022; SCL-MOD-20110524-00020;  (Pan American Crossing); and (C) SCL-LIC-19990823-00015; SCL-MOD-20020415-00054; SCL-MOD-20150129-00002; (South American Crossing).  </w:t>
      </w:r>
      <w:r w:rsidRPr="00412C9E" w:rsidR="00412C9E">
        <w:rPr>
          <w:sz w:val="20"/>
        </w:rPr>
        <w:t>While Patagonia Holdco</w:t>
      </w:r>
      <w:r>
        <w:rPr>
          <w:sz w:val="20"/>
        </w:rPr>
        <w:t xml:space="preserve"> </w:t>
      </w:r>
      <w:r w:rsidRPr="00412C9E" w:rsidR="00412C9E">
        <w:rPr>
          <w:sz w:val="20"/>
        </w:rPr>
        <w:t>is acquiring the LatAm Cable Licenses and assets as part of the proposed transaction,</w:t>
      </w:r>
      <w:r>
        <w:rPr>
          <w:sz w:val="20"/>
        </w:rPr>
        <w:t xml:space="preserve"> </w:t>
      </w:r>
      <w:r w:rsidRPr="00412C9E" w:rsidR="00412C9E">
        <w:rPr>
          <w:sz w:val="20"/>
        </w:rPr>
        <w:t>it is not acquiring GCTI</w:t>
      </w:r>
      <w:r>
        <w:rPr>
          <w:sz w:val="20"/>
        </w:rPr>
        <w:t>; r</w:t>
      </w:r>
      <w:r w:rsidRPr="00412C9E" w:rsidR="00412C9E">
        <w:rPr>
          <w:sz w:val="20"/>
        </w:rPr>
        <w:t>ather, GCTI will continue to be an indirect, wholly-owned subsidiary</w:t>
      </w:r>
      <w:r>
        <w:rPr>
          <w:sz w:val="20"/>
        </w:rPr>
        <w:t xml:space="preserve"> </w:t>
      </w:r>
      <w:r w:rsidRPr="00412C9E" w:rsidR="00412C9E">
        <w:rPr>
          <w:sz w:val="20"/>
        </w:rPr>
        <w:t xml:space="preserve">of Lumen both before and after consummation of the proposed transaction.  </w:t>
      </w:r>
      <w:bookmarkStart w:id="2" w:name="_Hlk81401610"/>
      <w:r w:rsidR="003D5F49">
        <w:rPr>
          <w:sz w:val="20"/>
        </w:rPr>
        <w:t>Lead Applica</w:t>
      </w:r>
      <w:r w:rsidR="007E0E62">
        <w:rPr>
          <w:sz w:val="20"/>
        </w:rPr>
        <w:t>tion</w:t>
      </w:r>
      <w:r w:rsidR="003D5F49">
        <w:rPr>
          <w:sz w:val="20"/>
        </w:rPr>
        <w:t xml:space="preserve"> </w:t>
      </w:r>
      <w:r w:rsidRPr="00A37A37" w:rsidR="00080013">
        <w:rPr>
          <w:sz w:val="20"/>
        </w:rPr>
        <w:t>at</w:t>
      </w:r>
      <w:r w:rsidRPr="00412C9E" w:rsidR="00080013">
        <w:rPr>
          <w:sz w:val="20"/>
        </w:rPr>
        <w:t xml:space="preserve"> n. 8.</w:t>
      </w:r>
      <w:bookmarkEnd w:id="2"/>
    </w:p>
  </w:footnote>
  <w:footnote w:id="15">
    <w:p w:rsidR="00080013" w:rsidRPr="00BA4541" w:rsidP="00BA4541" w14:paraId="7B788A48" w14:textId="77777777">
      <w:pPr>
        <w:pStyle w:val="FootnoteText"/>
        <w:spacing w:after="120"/>
        <w:rPr>
          <w:sz w:val="20"/>
        </w:rPr>
      </w:pPr>
      <w:r w:rsidRPr="00BA4541">
        <w:rPr>
          <w:rStyle w:val="FootnoteReference"/>
          <w:sz w:val="20"/>
        </w:rPr>
        <w:footnoteRef/>
      </w:r>
      <w:r w:rsidRPr="00BA4541">
        <w:rPr>
          <w:sz w:val="20"/>
        </w:rPr>
        <w:t xml:space="preserve"> </w:t>
      </w:r>
      <w:r w:rsidRPr="00BA4541">
        <w:rPr>
          <w:i/>
          <w:iCs/>
          <w:sz w:val="20"/>
        </w:rPr>
        <w:t>Id.</w:t>
      </w:r>
      <w:r w:rsidRPr="00BA4541">
        <w:rPr>
          <w:sz w:val="20"/>
        </w:rPr>
        <w:t xml:space="preserve"> at 4-5.  </w:t>
      </w:r>
      <w:r w:rsidR="005548B9">
        <w:rPr>
          <w:sz w:val="20"/>
        </w:rPr>
        <w:t xml:space="preserve">CLAS </w:t>
      </w:r>
      <w:r w:rsidR="00192550">
        <w:rPr>
          <w:sz w:val="20"/>
        </w:rPr>
        <w:t xml:space="preserve">is a wholly-owned subsidiary of Level 3 Communications, LLC (Level 3) and </w:t>
      </w:r>
      <w:r w:rsidR="005548B9">
        <w:rPr>
          <w:sz w:val="20"/>
        </w:rPr>
        <w:t xml:space="preserve">provides international services </w:t>
      </w:r>
      <w:r w:rsidR="00CD120D">
        <w:rPr>
          <w:sz w:val="20"/>
        </w:rPr>
        <w:t xml:space="preserve">under </w:t>
      </w:r>
      <w:r w:rsidR="005548B9">
        <w:rPr>
          <w:sz w:val="20"/>
        </w:rPr>
        <w:t xml:space="preserve">the </w:t>
      </w:r>
      <w:r w:rsidR="002B6D8B">
        <w:rPr>
          <w:sz w:val="20"/>
        </w:rPr>
        <w:t xml:space="preserve">section 214 </w:t>
      </w:r>
      <w:r w:rsidR="005548B9">
        <w:rPr>
          <w:sz w:val="20"/>
        </w:rPr>
        <w:t>authorization h</w:t>
      </w:r>
      <w:r w:rsidR="004B38F4">
        <w:rPr>
          <w:sz w:val="20"/>
        </w:rPr>
        <w:t>eld</w:t>
      </w:r>
      <w:r w:rsidR="005548B9">
        <w:rPr>
          <w:sz w:val="20"/>
        </w:rPr>
        <w:t xml:space="preserve"> by Level 3</w:t>
      </w:r>
      <w:r w:rsidR="00152889">
        <w:rPr>
          <w:sz w:val="20"/>
        </w:rPr>
        <w:t>, ITC-214-19971229-00821,</w:t>
      </w:r>
      <w:r w:rsidR="005548B9">
        <w:rPr>
          <w:sz w:val="20"/>
        </w:rPr>
        <w:t xml:space="preserve"> </w:t>
      </w:r>
      <w:r w:rsidR="00CD120D">
        <w:rPr>
          <w:sz w:val="20"/>
        </w:rPr>
        <w:t>pursuant to section 63.21(h) of the Commission’s rules, 47 CFR § 63.21(h)</w:t>
      </w:r>
      <w:r w:rsidR="005548B9">
        <w:rPr>
          <w:sz w:val="20"/>
        </w:rPr>
        <w:t xml:space="preserve">.  </w:t>
      </w:r>
      <w:r w:rsidR="005548B9">
        <w:rPr>
          <w:i/>
          <w:iCs/>
          <w:sz w:val="20"/>
        </w:rPr>
        <w:t>Id.</w:t>
      </w:r>
      <w:r w:rsidR="005548B9">
        <w:rPr>
          <w:sz w:val="20"/>
        </w:rPr>
        <w:t>. at n.5</w:t>
      </w:r>
      <w:r w:rsidR="00E90FD7">
        <w:rPr>
          <w:sz w:val="20"/>
        </w:rPr>
        <w:t>; Sept. 20, 20</w:t>
      </w:r>
      <w:r w:rsidR="008F053B">
        <w:rPr>
          <w:sz w:val="20"/>
        </w:rPr>
        <w:t>2</w:t>
      </w:r>
      <w:r w:rsidR="00E90FD7">
        <w:rPr>
          <w:sz w:val="20"/>
        </w:rPr>
        <w:t>1 Supplement at 3</w:t>
      </w:r>
      <w:r w:rsidR="005548B9">
        <w:rPr>
          <w:sz w:val="20"/>
        </w:rPr>
        <w:t xml:space="preserve">.  </w:t>
      </w:r>
      <w:r w:rsidRPr="00BA4541" w:rsidR="002A0822">
        <w:rPr>
          <w:sz w:val="20"/>
        </w:rPr>
        <w:t>S</w:t>
      </w:r>
      <w:r w:rsidRPr="00BA4541">
        <w:rPr>
          <w:sz w:val="20"/>
        </w:rPr>
        <w:t>ince Level 3 Communications, LLC is not being acquired as part of the proposed transaction</w:t>
      </w:r>
      <w:r w:rsidRPr="00BA4541" w:rsidR="002A0822">
        <w:rPr>
          <w:sz w:val="20"/>
        </w:rPr>
        <w:t xml:space="preserve">, Patagonia Holdco seeks, as part of the </w:t>
      </w:r>
      <w:r w:rsidR="00A37A37">
        <w:rPr>
          <w:sz w:val="20"/>
        </w:rPr>
        <w:t>a</w:t>
      </w:r>
      <w:r w:rsidRPr="00BA4541" w:rsidR="002A0822">
        <w:rPr>
          <w:sz w:val="20"/>
        </w:rPr>
        <w:t>pplication</w:t>
      </w:r>
      <w:r w:rsidR="00A37A37">
        <w:rPr>
          <w:sz w:val="20"/>
        </w:rPr>
        <w:t>s</w:t>
      </w:r>
      <w:r w:rsidRPr="00BA4541" w:rsidR="002A0822">
        <w:rPr>
          <w:sz w:val="20"/>
        </w:rPr>
        <w:t xml:space="preserve">, a grant of international section 214 authority to CLAS effective upon consummation of the proposed transaction so </w:t>
      </w:r>
      <w:r w:rsidR="00A37A37">
        <w:rPr>
          <w:sz w:val="20"/>
        </w:rPr>
        <w:t xml:space="preserve">that </w:t>
      </w:r>
      <w:r w:rsidRPr="00BA4541" w:rsidR="002A0822">
        <w:rPr>
          <w:sz w:val="20"/>
        </w:rPr>
        <w:t xml:space="preserve">it may continue providing international telecommunications services.  </w:t>
      </w:r>
      <w:r w:rsidR="00E90FD7">
        <w:rPr>
          <w:sz w:val="20"/>
        </w:rPr>
        <w:t>Lead Application</w:t>
      </w:r>
      <w:r w:rsidRPr="00BA4541" w:rsidR="00E90FD7">
        <w:rPr>
          <w:i/>
          <w:iCs/>
          <w:sz w:val="20"/>
        </w:rPr>
        <w:t xml:space="preserve"> </w:t>
      </w:r>
      <w:r w:rsidRPr="00BA4541" w:rsidR="002A0822">
        <w:rPr>
          <w:sz w:val="20"/>
        </w:rPr>
        <w:t>at n. 5 and at 5 and 1</w:t>
      </w:r>
      <w:r w:rsidRPr="00BA4541" w:rsidR="00005E99">
        <w:rPr>
          <w:sz w:val="20"/>
        </w:rPr>
        <w:t>1</w:t>
      </w:r>
      <w:r w:rsidRPr="00BA4541" w:rsidR="00461581">
        <w:rPr>
          <w:sz w:val="20"/>
        </w:rPr>
        <w:t>; Attach</w:t>
      </w:r>
      <w:r w:rsidR="004B38F4">
        <w:rPr>
          <w:sz w:val="20"/>
        </w:rPr>
        <w:t>.</w:t>
      </w:r>
      <w:r w:rsidRPr="00BA4541" w:rsidR="00461581">
        <w:rPr>
          <w:sz w:val="20"/>
        </w:rPr>
        <w:t xml:space="preserve"> 5 (International Section 214 Authority Application).</w:t>
      </w:r>
    </w:p>
  </w:footnote>
  <w:footnote w:id="16">
    <w:p w:rsidR="00005E99" w:rsidRPr="00BA4541" w:rsidP="00BA4541" w14:paraId="5A5DDC53" w14:textId="77777777">
      <w:pPr>
        <w:pStyle w:val="FootnoteText"/>
        <w:spacing w:after="120"/>
        <w:rPr>
          <w:sz w:val="20"/>
        </w:rPr>
      </w:pPr>
      <w:r w:rsidRPr="00BA4541">
        <w:rPr>
          <w:rStyle w:val="FootnoteReference"/>
          <w:sz w:val="20"/>
        </w:rPr>
        <w:footnoteRef/>
      </w:r>
      <w:r w:rsidRPr="00BA4541">
        <w:rPr>
          <w:sz w:val="20"/>
        </w:rPr>
        <w:t xml:space="preserve"> </w:t>
      </w:r>
      <w:r w:rsidRPr="00BA4541">
        <w:rPr>
          <w:i/>
          <w:iCs/>
          <w:sz w:val="20"/>
        </w:rPr>
        <w:t xml:space="preserve">Id. </w:t>
      </w:r>
      <w:r w:rsidRPr="00BA4541">
        <w:rPr>
          <w:sz w:val="20"/>
        </w:rPr>
        <w:t>at 5.</w:t>
      </w:r>
    </w:p>
  </w:footnote>
  <w:footnote w:id="17">
    <w:p w:rsidR="009A4C41" w:rsidRPr="00BA4541" w:rsidP="00BA4541" w14:paraId="5DDA32D8" w14:textId="77777777">
      <w:pPr>
        <w:pStyle w:val="FootnoteText"/>
        <w:spacing w:after="120"/>
        <w:rPr>
          <w:sz w:val="20"/>
        </w:rPr>
      </w:pPr>
      <w:r w:rsidRPr="00BA4541">
        <w:rPr>
          <w:rStyle w:val="FootnoteReference"/>
          <w:sz w:val="20"/>
        </w:rPr>
        <w:footnoteRef/>
      </w:r>
      <w:r w:rsidRPr="00BA4541">
        <w:rPr>
          <w:sz w:val="20"/>
        </w:rPr>
        <w:t xml:space="preserve"> </w:t>
      </w:r>
      <w:r w:rsidRPr="00BA4541">
        <w:rPr>
          <w:i/>
          <w:iCs/>
          <w:sz w:val="20"/>
        </w:rPr>
        <w:t>Id.</w:t>
      </w:r>
      <w:r w:rsidR="00C12F15">
        <w:rPr>
          <w:sz w:val="20"/>
        </w:rPr>
        <w:t xml:space="preserve"> and Attach. 3 at 1.</w:t>
      </w:r>
      <w:r w:rsidRPr="00BA4541">
        <w:rPr>
          <w:i/>
          <w:iCs/>
          <w:sz w:val="20"/>
        </w:rPr>
        <w:t xml:space="preserve">  </w:t>
      </w:r>
    </w:p>
  </w:footnote>
  <w:footnote w:id="18">
    <w:p w:rsidR="002F7128" w:rsidRPr="0009742E" w:rsidP="00BA4541" w14:paraId="16DD6861" w14:textId="77777777">
      <w:pPr>
        <w:pStyle w:val="FootnoteText"/>
        <w:spacing w:after="120"/>
        <w:rPr>
          <w:sz w:val="20"/>
        </w:rPr>
      </w:pPr>
      <w:r w:rsidRPr="00BA4541">
        <w:rPr>
          <w:rStyle w:val="FootnoteReference"/>
          <w:sz w:val="20"/>
        </w:rPr>
        <w:footnoteRef/>
      </w:r>
      <w:r w:rsidRPr="00BA4541">
        <w:rPr>
          <w:sz w:val="20"/>
        </w:rPr>
        <w:t xml:space="preserve"> </w:t>
      </w:r>
      <w:r w:rsidRPr="0009742E" w:rsidR="009150A6">
        <w:rPr>
          <w:sz w:val="20"/>
        </w:rPr>
        <w:t xml:space="preserve">Lead </w:t>
      </w:r>
      <w:r w:rsidRPr="0009742E" w:rsidR="00554610">
        <w:rPr>
          <w:sz w:val="20"/>
        </w:rPr>
        <w:t xml:space="preserve">Application at 5.  </w:t>
      </w:r>
      <w:r w:rsidRPr="0009742E" w:rsidR="0089719A">
        <w:rPr>
          <w:sz w:val="20"/>
        </w:rPr>
        <w:t xml:space="preserve">Applicants state that the beneficial owner of AusSuper Fund No. 2 is AustralianSuper, Australia’s largest public pension fund and that the Trustee of AusSuper Fund No. 2 is AustralianSuper Investments Pty Ltd, an Australian Proprietary Company (AusSuper Investments). </w:t>
      </w:r>
      <w:r w:rsidRPr="0009742E" w:rsidR="006E43BD">
        <w:rPr>
          <w:sz w:val="20"/>
        </w:rPr>
        <w:t xml:space="preserve"> </w:t>
      </w:r>
      <w:r w:rsidRPr="0009742E" w:rsidR="00554610">
        <w:rPr>
          <w:i/>
          <w:iCs/>
          <w:sz w:val="20"/>
        </w:rPr>
        <w:t xml:space="preserve">Id. </w:t>
      </w:r>
      <w:r w:rsidRPr="0009742E" w:rsidR="00554610">
        <w:rPr>
          <w:sz w:val="20"/>
        </w:rPr>
        <w:t xml:space="preserve">at 5-6.  </w:t>
      </w:r>
      <w:r w:rsidRPr="0009742E" w:rsidR="0089719A">
        <w:rPr>
          <w:sz w:val="20"/>
        </w:rPr>
        <w:t>AusSuper Investments is wholly</w:t>
      </w:r>
      <w:r w:rsidRPr="0009742E" w:rsidR="00A134DF">
        <w:rPr>
          <w:sz w:val="20"/>
        </w:rPr>
        <w:t>-</w:t>
      </w:r>
      <w:r w:rsidRPr="0009742E" w:rsidR="0089719A">
        <w:rPr>
          <w:sz w:val="20"/>
        </w:rPr>
        <w:t>owned by AustralianSuper Pty Ltd, an Australian Proprietary Company (AusSuper PTY), which is also the Trustee of Aus</w:t>
      </w:r>
      <w:r w:rsidRPr="0009742E" w:rsidR="004B38F4">
        <w:rPr>
          <w:sz w:val="20"/>
        </w:rPr>
        <w:t>tralian</w:t>
      </w:r>
      <w:r w:rsidRPr="0009742E" w:rsidR="0089719A">
        <w:rPr>
          <w:sz w:val="20"/>
        </w:rPr>
        <w:t xml:space="preserve">Super.  </w:t>
      </w:r>
      <w:r w:rsidRPr="0009742E" w:rsidR="00554610">
        <w:rPr>
          <w:i/>
          <w:iCs/>
          <w:sz w:val="20"/>
        </w:rPr>
        <w:t xml:space="preserve">Id. </w:t>
      </w:r>
      <w:r w:rsidRPr="0009742E" w:rsidR="00554610">
        <w:rPr>
          <w:sz w:val="20"/>
        </w:rPr>
        <w:t xml:space="preserve">at 6.  </w:t>
      </w:r>
      <w:r w:rsidRPr="0009742E" w:rsidR="0089719A">
        <w:rPr>
          <w:sz w:val="20"/>
        </w:rPr>
        <w:t xml:space="preserve">AusSuper PTY is equally owned by the Australian Council of Trade Unions, the union body representing Australian workers, and the Australian Industry Group, an employer organization representing Australian businesses.  </w:t>
      </w:r>
      <w:r w:rsidRPr="0009742E" w:rsidR="00554610">
        <w:rPr>
          <w:i/>
          <w:iCs/>
          <w:sz w:val="20"/>
        </w:rPr>
        <w:t>Id.</w:t>
      </w:r>
      <w:r w:rsidRPr="0009742E" w:rsidR="004B38F4">
        <w:rPr>
          <w:sz w:val="20"/>
        </w:rPr>
        <w:t xml:space="preserve"> at 5-6,</w:t>
      </w:r>
      <w:r w:rsidRPr="0009742E" w:rsidR="00805360">
        <w:rPr>
          <w:sz w:val="20"/>
        </w:rPr>
        <w:t xml:space="preserve"> 24-25</w:t>
      </w:r>
      <w:r w:rsidRPr="0009742E" w:rsidR="004B38F4">
        <w:rPr>
          <w:sz w:val="20"/>
        </w:rPr>
        <w:t xml:space="preserve"> and Attach. 1 at 3.</w:t>
      </w:r>
    </w:p>
  </w:footnote>
  <w:footnote w:id="19">
    <w:p w:rsidR="00EC224D" w:rsidRPr="0009742E" w:rsidP="00BA4541" w14:paraId="46FA17E5" w14:textId="77777777">
      <w:pPr>
        <w:pStyle w:val="FootnoteText"/>
        <w:spacing w:after="120"/>
        <w:rPr>
          <w:sz w:val="20"/>
        </w:rPr>
      </w:pPr>
      <w:r w:rsidRPr="0009742E">
        <w:rPr>
          <w:rStyle w:val="FootnoteReference"/>
          <w:sz w:val="20"/>
        </w:rPr>
        <w:footnoteRef/>
      </w:r>
      <w:r w:rsidRPr="0009742E">
        <w:rPr>
          <w:sz w:val="20"/>
        </w:rPr>
        <w:t xml:space="preserve"> </w:t>
      </w:r>
      <w:r w:rsidRPr="0009742E">
        <w:rPr>
          <w:i/>
          <w:iCs/>
          <w:sz w:val="20"/>
        </w:rPr>
        <w:t xml:space="preserve">Id. </w:t>
      </w:r>
      <w:r w:rsidRPr="0009742E">
        <w:rPr>
          <w:sz w:val="20"/>
        </w:rPr>
        <w:t xml:space="preserve">at 6.  Applicants state that the general partner for both SP Intermediate Holdings and SP Upper Holdings is Stonepeak Associates IV LLC (Associates IV), a Delaware limited liability company.  </w:t>
      </w:r>
      <w:r w:rsidRPr="0009742E">
        <w:rPr>
          <w:i/>
          <w:iCs/>
          <w:sz w:val="20"/>
        </w:rPr>
        <w:t>Id.</w:t>
      </w:r>
      <w:r w:rsidRPr="0009742E">
        <w:rPr>
          <w:sz w:val="20"/>
        </w:rPr>
        <w:t xml:space="preserve"> </w:t>
      </w:r>
    </w:p>
  </w:footnote>
  <w:footnote w:id="20">
    <w:p w:rsidR="00F1402A" w:rsidRPr="0009742E" w:rsidP="003F122A" w14:paraId="0373910D" w14:textId="77777777">
      <w:pPr>
        <w:pStyle w:val="FootnoteText"/>
        <w:spacing w:after="120"/>
        <w:rPr>
          <w:sz w:val="20"/>
        </w:rPr>
      </w:pPr>
      <w:r w:rsidRPr="0009742E">
        <w:rPr>
          <w:rStyle w:val="FootnoteReference"/>
          <w:sz w:val="20"/>
        </w:rPr>
        <w:footnoteRef/>
      </w:r>
      <w:r w:rsidRPr="0009742E">
        <w:rPr>
          <w:sz w:val="20"/>
        </w:rPr>
        <w:t xml:space="preserve"> </w:t>
      </w:r>
      <w:r w:rsidR="00933C60">
        <w:rPr>
          <w:i/>
          <w:iCs/>
          <w:sz w:val="20"/>
        </w:rPr>
        <w:t>Id</w:t>
      </w:r>
      <w:r w:rsidR="00933C60">
        <w:rPr>
          <w:sz w:val="20"/>
        </w:rPr>
        <w:t>.</w:t>
      </w:r>
      <w:r w:rsidRPr="0009742E" w:rsidR="00641482">
        <w:rPr>
          <w:sz w:val="20"/>
        </w:rPr>
        <w:t xml:space="preserve"> at 6.</w:t>
      </w:r>
    </w:p>
  </w:footnote>
  <w:footnote w:id="21">
    <w:p w:rsidR="00106450" w:rsidRPr="0009742E" w:rsidP="00BA4541" w14:paraId="03903F92" w14:textId="77777777">
      <w:pPr>
        <w:pStyle w:val="FootnoteText"/>
        <w:spacing w:after="120"/>
        <w:rPr>
          <w:i/>
          <w:iCs/>
          <w:sz w:val="20"/>
        </w:rPr>
      </w:pPr>
      <w:r w:rsidRPr="0009742E">
        <w:rPr>
          <w:rStyle w:val="FootnoteReference"/>
          <w:sz w:val="20"/>
        </w:rPr>
        <w:footnoteRef/>
      </w:r>
      <w:r w:rsidRPr="0009742E">
        <w:rPr>
          <w:sz w:val="20"/>
        </w:rPr>
        <w:t xml:space="preserve"> </w:t>
      </w:r>
      <w:r w:rsidR="007E0E62">
        <w:rPr>
          <w:i/>
          <w:iCs/>
          <w:sz w:val="20"/>
        </w:rPr>
        <w:t xml:space="preserve">Id. </w:t>
      </w:r>
      <w:r w:rsidRPr="0009742E" w:rsidR="003351AD">
        <w:rPr>
          <w:sz w:val="20"/>
        </w:rPr>
        <w:t>at 8.</w:t>
      </w:r>
      <w:r w:rsidRPr="0009742E">
        <w:rPr>
          <w:i/>
          <w:iCs/>
          <w:sz w:val="20"/>
        </w:rPr>
        <w:t xml:space="preserve">  </w:t>
      </w:r>
      <w:r w:rsidRPr="0009742E" w:rsidR="00C740DC">
        <w:rPr>
          <w:i/>
          <w:iCs/>
          <w:sz w:val="20"/>
        </w:rPr>
        <w:t xml:space="preserve"> </w:t>
      </w:r>
    </w:p>
  </w:footnote>
  <w:footnote w:id="22">
    <w:p w:rsidR="00106450" w:rsidRPr="0009742E" w:rsidP="00BA4541" w14:paraId="4FE37F15" w14:textId="77777777">
      <w:pPr>
        <w:pStyle w:val="FootnoteText"/>
        <w:spacing w:after="120"/>
        <w:rPr>
          <w:sz w:val="20"/>
        </w:rPr>
      </w:pPr>
      <w:r w:rsidRPr="0009742E">
        <w:rPr>
          <w:rStyle w:val="FootnoteReference"/>
          <w:sz w:val="20"/>
        </w:rPr>
        <w:footnoteRef/>
      </w:r>
      <w:r w:rsidRPr="0009742E">
        <w:rPr>
          <w:sz w:val="20"/>
        </w:rPr>
        <w:t xml:space="preserve"> </w:t>
      </w:r>
      <w:r w:rsidRPr="0009742E" w:rsidR="00055672">
        <w:rPr>
          <w:i/>
          <w:iCs/>
          <w:sz w:val="20"/>
        </w:rPr>
        <w:t>Id</w:t>
      </w:r>
      <w:r w:rsidRPr="0009742E" w:rsidR="000C7D96">
        <w:rPr>
          <w:sz w:val="20"/>
        </w:rPr>
        <w:t>.</w:t>
      </w:r>
      <w:r w:rsidRPr="0009742E" w:rsidR="00055672">
        <w:rPr>
          <w:i/>
          <w:iCs/>
          <w:sz w:val="20"/>
        </w:rPr>
        <w:t xml:space="preserve"> </w:t>
      </w:r>
      <w:r w:rsidRPr="0009742E" w:rsidR="00055672">
        <w:rPr>
          <w:sz w:val="20"/>
        </w:rPr>
        <w:t xml:space="preserve">at 8-9.    </w:t>
      </w:r>
    </w:p>
  </w:footnote>
  <w:footnote w:id="23">
    <w:p w:rsidR="002A1A5A" w:rsidRPr="0009742E" w:rsidP="00BA4541" w14:paraId="658F2790" w14:textId="77777777">
      <w:pPr>
        <w:pStyle w:val="FootnoteText"/>
        <w:spacing w:after="120"/>
        <w:rPr>
          <w:sz w:val="20"/>
        </w:rPr>
      </w:pPr>
      <w:r w:rsidRPr="0009742E">
        <w:rPr>
          <w:rStyle w:val="FootnoteReference"/>
          <w:sz w:val="20"/>
        </w:rPr>
        <w:footnoteRef/>
      </w:r>
      <w:r w:rsidRPr="0009742E">
        <w:rPr>
          <w:sz w:val="20"/>
        </w:rPr>
        <w:t xml:space="preserve"> </w:t>
      </w:r>
      <w:r w:rsidRPr="0009742E" w:rsidR="000C7D96">
        <w:rPr>
          <w:i/>
          <w:iCs/>
          <w:sz w:val="20"/>
        </w:rPr>
        <w:t>Id</w:t>
      </w:r>
      <w:r w:rsidRPr="0009742E" w:rsidR="000C7D96">
        <w:rPr>
          <w:sz w:val="20"/>
        </w:rPr>
        <w:t xml:space="preserve">.  </w:t>
      </w:r>
      <w:r w:rsidRPr="0009742E" w:rsidR="000C7D96">
        <w:rPr>
          <w:i/>
          <w:iCs/>
          <w:sz w:val="20"/>
        </w:rPr>
        <w:t xml:space="preserve"> </w:t>
      </w:r>
    </w:p>
  </w:footnote>
  <w:footnote w:id="24">
    <w:p w:rsidR="00836D2C" w:rsidRPr="00BA4541" w:rsidP="00BA4541" w14:paraId="3FED9E79" w14:textId="77777777">
      <w:pPr>
        <w:pStyle w:val="FootnoteText"/>
        <w:spacing w:after="120"/>
        <w:rPr>
          <w:i/>
          <w:iCs/>
          <w:sz w:val="20"/>
        </w:rPr>
      </w:pPr>
      <w:r w:rsidRPr="00BA4541">
        <w:rPr>
          <w:rStyle w:val="FootnoteReference"/>
          <w:sz w:val="20"/>
        </w:rPr>
        <w:footnoteRef/>
      </w:r>
      <w:r w:rsidRPr="00BA4541">
        <w:rPr>
          <w:sz w:val="20"/>
        </w:rPr>
        <w:t xml:space="preserve"> </w:t>
      </w:r>
      <w:r w:rsidRPr="00BA4541">
        <w:rPr>
          <w:i/>
          <w:iCs/>
          <w:sz w:val="20"/>
        </w:rPr>
        <w:t xml:space="preserve">Id. </w:t>
      </w:r>
      <w:r w:rsidRPr="00BA4541">
        <w:rPr>
          <w:sz w:val="20"/>
        </w:rPr>
        <w:t>at 7</w:t>
      </w:r>
      <w:r w:rsidR="003351AD">
        <w:rPr>
          <w:sz w:val="20"/>
        </w:rPr>
        <w:t>-</w:t>
      </w:r>
      <w:r w:rsidRPr="00BA4541">
        <w:rPr>
          <w:sz w:val="20"/>
        </w:rPr>
        <w:t xml:space="preserve">8.  </w:t>
      </w:r>
    </w:p>
  </w:footnote>
  <w:footnote w:id="25">
    <w:p w:rsidR="003F122A" w14:paraId="19E555A9" w14:textId="77777777">
      <w:pPr>
        <w:pStyle w:val="FootnoteText"/>
      </w:pPr>
      <w:r>
        <w:rPr>
          <w:rStyle w:val="FootnoteReference"/>
        </w:rPr>
        <w:footnoteRef/>
      </w:r>
      <w:r>
        <w:t xml:space="preserve"> </w:t>
      </w:r>
      <w:r w:rsidR="00112E50">
        <w:rPr>
          <w:i/>
          <w:iCs/>
          <w:sz w:val="20"/>
        </w:rPr>
        <w:t xml:space="preserve">Id. </w:t>
      </w:r>
      <w:r w:rsidRPr="003F122A">
        <w:rPr>
          <w:sz w:val="20"/>
        </w:rPr>
        <w:t>at 26.</w:t>
      </w:r>
      <w:r>
        <w:rPr>
          <w:sz w:val="20"/>
        </w:rPr>
        <w:t xml:space="preserve">  </w:t>
      </w:r>
      <w:r w:rsidRPr="0009742E">
        <w:rPr>
          <w:sz w:val="20"/>
        </w:rPr>
        <w:t xml:space="preserve">Applicants state that the following limited partners of SP Upper Holdings will hold an indirect equity interest in the Lumen LatAm Entities:  Stonepeak Infrastructure Fund IV (AIV V) LP (SP Infrastructure IV) (an approximate 58.46%), a Delaware limited partnership; Stonepeak Infrastructure Fund IV (Lux) (AIV VIII) SCsp (SP Infrastructure (Lux) (an approximate 8.26%), a Luxembourg special limited partnership; and Stonepeak Patagonia (Co-Invest) Holdings LP (SP (Co-Invest) Holdings) (an approximate 3.26%), a Delaware limited partnership.  </w:t>
      </w:r>
      <w:r w:rsidRPr="0009742E">
        <w:rPr>
          <w:i/>
          <w:iCs/>
          <w:sz w:val="20"/>
        </w:rPr>
        <w:t xml:space="preserve">Id.  </w:t>
      </w:r>
      <w:r w:rsidRPr="0009742E">
        <w:rPr>
          <w:sz w:val="20"/>
        </w:rPr>
        <w:t xml:space="preserve">Applicants note that these percentages are based on applying a multiplier of 70% to the interests held by SP Upper Holdings.  </w:t>
      </w:r>
      <w:r w:rsidRPr="0009742E">
        <w:rPr>
          <w:i/>
          <w:iCs/>
          <w:sz w:val="20"/>
        </w:rPr>
        <w:t>Id</w:t>
      </w:r>
      <w:r w:rsidRPr="0009742E">
        <w:rPr>
          <w:sz w:val="20"/>
        </w:rPr>
        <w:t>.</w:t>
      </w:r>
      <w:r w:rsidRPr="0009742E">
        <w:rPr>
          <w:i/>
          <w:iCs/>
          <w:sz w:val="20"/>
        </w:rPr>
        <w:t xml:space="preserve"> </w:t>
      </w:r>
      <w:r w:rsidRPr="0009742E">
        <w:rPr>
          <w:sz w:val="20"/>
        </w:rPr>
        <w:t xml:space="preserve">at n. 12.  </w:t>
      </w:r>
      <w:r w:rsidRPr="003F122A">
        <w:rPr>
          <w:sz w:val="20"/>
        </w:rPr>
        <w:t>Applicants also state that because the process of completing the syndication of the equity interests is ongoing, the percentages held by these funds likely will change, and that Stonepeak is “still in the process of syndicating certain interests in Patagonia Holdco and the</w:t>
      </w:r>
      <w:r>
        <w:rPr>
          <w:sz w:val="20"/>
        </w:rPr>
        <w:t xml:space="preserve"> </w:t>
      </w:r>
      <w:r w:rsidRPr="003F122A">
        <w:rPr>
          <w:sz w:val="20"/>
        </w:rPr>
        <w:t xml:space="preserve">Lumen LatAm Entities. </w:t>
      </w:r>
      <w:r w:rsidR="004444F5">
        <w:rPr>
          <w:sz w:val="20"/>
        </w:rPr>
        <w:t xml:space="preserve"> </w:t>
      </w:r>
      <w:r w:rsidRPr="003F122A">
        <w:rPr>
          <w:sz w:val="20"/>
        </w:rPr>
        <w:t>These interests will be held through limited partnership interests in SP</w:t>
      </w:r>
      <w:r>
        <w:rPr>
          <w:sz w:val="20"/>
        </w:rPr>
        <w:t xml:space="preserve"> </w:t>
      </w:r>
      <w:r w:rsidRPr="003F122A">
        <w:rPr>
          <w:sz w:val="20"/>
        </w:rPr>
        <w:t xml:space="preserve">Upper Holdings. </w:t>
      </w:r>
      <w:r w:rsidR="004444F5">
        <w:rPr>
          <w:sz w:val="20"/>
        </w:rPr>
        <w:t xml:space="preserve"> </w:t>
      </w:r>
      <w:r w:rsidRPr="003F122A">
        <w:rPr>
          <w:sz w:val="20"/>
        </w:rPr>
        <w:t>To the extent that these syndication efforts result in the addition of a new 10%</w:t>
      </w:r>
      <w:r>
        <w:rPr>
          <w:sz w:val="20"/>
        </w:rPr>
        <w:t xml:space="preserve"> </w:t>
      </w:r>
      <w:r w:rsidRPr="003F122A">
        <w:rPr>
          <w:sz w:val="20"/>
        </w:rPr>
        <w:t>or greater indirect equity or voting holder, the applications will be amended and updated as</w:t>
      </w:r>
      <w:r>
        <w:rPr>
          <w:sz w:val="20"/>
        </w:rPr>
        <w:t xml:space="preserve"> </w:t>
      </w:r>
      <w:r w:rsidRPr="003F122A">
        <w:rPr>
          <w:sz w:val="20"/>
        </w:rPr>
        <w:t>appropriate.</w:t>
      </w:r>
      <w:r>
        <w:rPr>
          <w:sz w:val="20"/>
        </w:rPr>
        <w:t xml:space="preserve">”  </w:t>
      </w:r>
      <w:r>
        <w:rPr>
          <w:i/>
          <w:iCs/>
          <w:sz w:val="20"/>
        </w:rPr>
        <w:t>Id</w:t>
      </w:r>
      <w:r>
        <w:rPr>
          <w:sz w:val="20"/>
        </w:rPr>
        <w:t xml:space="preserve">. at n.30. </w:t>
      </w:r>
      <w:r w:rsidRPr="003F122A">
        <w:rPr>
          <w:sz w:val="20"/>
        </w:rPr>
        <w:t xml:space="preserve"> The </w:t>
      </w:r>
      <w:r w:rsidR="009148C7">
        <w:rPr>
          <w:sz w:val="20"/>
        </w:rPr>
        <w:t xml:space="preserve">Lead </w:t>
      </w:r>
      <w:r w:rsidRPr="003F122A">
        <w:rPr>
          <w:sz w:val="20"/>
        </w:rPr>
        <w:t>Application provides further information on these</w:t>
      </w:r>
      <w:r w:rsidRPr="0009742E">
        <w:rPr>
          <w:sz w:val="20"/>
        </w:rPr>
        <w:t xml:space="preserve"> entities and other intermediate U.S-based and foreign entities in the ownership structure.  </w:t>
      </w:r>
      <w:r w:rsidRPr="0009742E">
        <w:rPr>
          <w:i/>
          <w:iCs/>
          <w:sz w:val="20"/>
        </w:rPr>
        <w:t>See</w:t>
      </w:r>
      <w:r w:rsidRPr="0009742E">
        <w:rPr>
          <w:sz w:val="20"/>
        </w:rPr>
        <w:t xml:space="preserve"> </w:t>
      </w:r>
      <w:r>
        <w:rPr>
          <w:sz w:val="20"/>
        </w:rPr>
        <w:t xml:space="preserve">Lead </w:t>
      </w:r>
      <w:r w:rsidRPr="0009742E">
        <w:rPr>
          <w:sz w:val="20"/>
        </w:rPr>
        <w:t>Application at 7, 20-22 and Attach. 1 (Pre- and Post-Transaction Organization Charts) at 3</w:t>
      </w:r>
      <w:r>
        <w:rPr>
          <w:sz w:val="20"/>
        </w:rPr>
        <w:t xml:space="preserve">. </w:t>
      </w:r>
    </w:p>
  </w:footnote>
  <w:footnote w:id="26">
    <w:p w:rsidR="0093050D" w:rsidRPr="009150A6" w:rsidP="00BA4541" w14:paraId="0E13F5BC" w14:textId="77777777">
      <w:pPr>
        <w:pStyle w:val="FootnoteText"/>
        <w:spacing w:after="120"/>
        <w:rPr>
          <w:sz w:val="20"/>
        </w:rPr>
      </w:pPr>
      <w:r w:rsidRPr="00BA4541">
        <w:rPr>
          <w:rStyle w:val="FootnoteReference"/>
          <w:sz w:val="20"/>
        </w:rPr>
        <w:footnoteRef/>
      </w:r>
      <w:r w:rsidRPr="00BA4541">
        <w:rPr>
          <w:sz w:val="20"/>
        </w:rPr>
        <w:t xml:space="preserve"> </w:t>
      </w:r>
      <w:r w:rsidRPr="009150A6" w:rsidR="009150A6">
        <w:rPr>
          <w:sz w:val="20"/>
        </w:rPr>
        <w:t xml:space="preserve">Lead </w:t>
      </w:r>
      <w:r w:rsidRPr="009150A6" w:rsidR="003351AD">
        <w:rPr>
          <w:sz w:val="20"/>
        </w:rPr>
        <w:t>Application</w:t>
      </w:r>
      <w:r w:rsidRPr="009150A6" w:rsidR="00CA5DA9">
        <w:rPr>
          <w:sz w:val="20"/>
        </w:rPr>
        <w:t xml:space="preserve"> at 10.  Applicants provide a complete listing of the authorizations to be held by GCAS, CLAS, and Level 3 St. Croix. </w:t>
      </w:r>
      <w:r w:rsidRPr="009150A6" w:rsidR="00554610">
        <w:rPr>
          <w:sz w:val="20"/>
        </w:rPr>
        <w:t xml:space="preserve"> </w:t>
      </w:r>
      <w:r w:rsidRPr="00933C60" w:rsidR="00933C60">
        <w:rPr>
          <w:i/>
          <w:iCs/>
          <w:sz w:val="20"/>
        </w:rPr>
        <w:t>Id</w:t>
      </w:r>
      <w:r w:rsidR="00933C60">
        <w:rPr>
          <w:sz w:val="20"/>
        </w:rPr>
        <w:t xml:space="preserve">. </w:t>
      </w:r>
      <w:r w:rsidR="00BB0001">
        <w:rPr>
          <w:sz w:val="20"/>
        </w:rPr>
        <w:t>at</w:t>
      </w:r>
      <w:r w:rsidRPr="009150A6" w:rsidR="00554610">
        <w:rPr>
          <w:sz w:val="20"/>
        </w:rPr>
        <w:t xml:space="preserve"> </w:t>
      </w:r>
      <w:r w:rsidRPr="009150A6" w:rsidR="00CA5DA9">
        <w:rPr>
          <w:sz w:val="20"/>
        </w:rPr>
        <w:t>Attach</w:t>
      </w:r>
      <w:r w:rsidR="00BB0001">
        <w:rPr>
          <w:sz w:val="20"/>
        </w:rPr>
        <w:t>.</w:t>
      </w:r>
      <w:r w:rsidRPr="009150A6" w:rsidR="00CA5DA9">
        <w:rPr>
          <w:sz w:val="20"/>
        </w:rPr>
        <w:t xml:space="preserve"> 6 (Authorizations Held by Lumen LatAm Entities). </w:t>
      </w:r>
    </w:p>
  </w:footnote>
  <w:footnote w:id="27">
    <w:p w:rsidR="00ED6591" w:rsidRPr="009150A6" w:rsidP="009305C8" w14:paraId="2EC6EFC2" w14:textId="77777777">
      <w:pPr>
        <w:pStyle w:val="FootnoteText"/>
        <w:spacing w:after="120"/>
        <w:rPr>
          <w:sz w:val="20"/>
        </w:rPr>
      </w:pPr>
      <w:r w:rsidRPr="009150A6">
        <w:rPr>
          <w:rStyle w:val="FootnoteReference"/>
          <w:sz w:val="20"/>
        </w:rPr>
        <w:footnoteRef/>
      </w:r>
      <w:r w:rsidR="007E0E62">
        <w:rPr>
          <w:sz w:val="20"/>
        </w:rPr>
        <w:t xml:space="preserve"> </w:t>
      </w:r>
      <w:r w:rsidR="007E0E62">
        <w:rPr>
          <w:i/>
          <w:iCs/>
          <w:sz w:val="20"/>
        </w:rPr>
        <w:t>Id.</w:t>
      </w:r>
      <w:r w:rsidRPr="009150A6">
        <w:rPr>
          <w:sz w:val="20"/>
        </w:rPr>
        <w:t xml:space="preserve"> at n.8 and 10.</w:t>
      </w:r>
    </w:p>
  </w:footnote>
  <w:footnote w:id="28">
    <w:p w:rsidR="00ED6591" w:rsidRPr="009150A6" w:rsidP="009305C8" w14:paraId="20E8C3BD" w14:textId="77777777">
      <w:pPr>
        <w:pStyle w:val="FootnoteText"/>
        <w:spacing w:after="120"/>
        <w:rPr>
          <w:sz w:val="20"/>
        </w:rPr>
      </w:pPr>
      <w:r w:rsidRPr="009150A6">
        <w:rPr>
          <w:rStyle w:val="FootnoteReference"/>
          <w:sz w:val="20"/>
        </w:rPr>
        <w:footnoteRef/>
      </w:r>
      <w:r w:rsidRPr="009150A6">
        <w:rPr>
          <w:sz w:val="20"/>
        </w:rPr>
        <w:t xml:space="preserve"> </w:t>
      </w:r>
      <w:r w:rsidR="007E0E62">
        <w:rPr>
          <w:i/>
          <w:iCs/>
          <w:sz w:val="20"/>
        </w:rPr>
        <w:t xml:space="preserve">Id. </w:t>
      </w:r>
      <w:r w:rsidRPr="009150A6">
        <w:rPr>
          <w:sz w:val="20"/>
        </w:rPr>
        <w:t>at 10.</w:t>
      </w:r>
    </w:p>
  </w:footnote>
  <w:footnote w:id="29">
    <w:p w:rsidR="00FB6521" w:rsidRPr="009150A6" w:rsidP="00A256F4" w14:paraId="1CA9F078" w14:textId="77777777">
      <w:pPr>
        <w:pStyle w:val="FootnoteText"/>
        <w:spacing w:after="120"/>
        <w:rPr>
          <w:sz w:val="20"/>
        </w:rPr>
      </w:pPr>
      <w:r w:rsidRPr="009150A6">
        <w:rPr>
          <w:rStyle w:val="FootnoteReference"/>
          <w:sz w:val="20"/>
        </w:rPr>
        <w:footnoteRef/>
      </w:r>
      <w:r w:rsidRPr="009150A6">
        <w:rPr>
          <w:sz w:val="20"/>
        </w:rPr>
        <w:t xml:space="preserve"> </w:t>
      </w:r>
      <w:r w:rsidR="00D37F05">
        <w:rPr>
          <w:i/>
          <w:iCs/>
          <w:sz w:val="20"/>
        </w:rPr>
        <w:t xml:space="preserve">Id. </w:t>
      </w:r>
      <w:r w:rsidRPr="009150A6" w:rsidR="008A42F2">
        <w:rPr>
          <w:sz w:val="20"/>
        </w:rPr>
        <w:t>at</w:t>
      </w:r>
      <w:r w:rsidRPr="009150A6" w:rsidR="00CA5DA9">
        <w:rPr>
          <w:sz w:val="20"/>
        </w:rPr>
        <w:t xml:space="preserve"> 11-14</w:t>
      </w:r>
      <w:r w:rsidRPr="009150A6" w:rsidR="008A42F2">
        <w:rPr>
          <w:sz w:val="20"/>
        </w:rPr>
        <w:t>.</w:t>
      </w:r>
      <w:r w:rsidRPr="009150A6" w:rsidR="00A256F4">
        <w:rPr>
          <w:sz w:val="20"/>
        </w:rPr>
        <w:t xml:space="preserve">   </w:t>
      </w:r>
    </w:p>
  </w:footnote>
  <w:footnote w:id="30">
    <w:p w:rsidR="009225E3" w:rsidRPr="009150A6" w:rsidP="00BA4541" w14:paraId="3E7AF805" w14:textId="77777777">
      <w:pPr>
        <w:pStyle w:val="FootnoteText"/>
        <w:spacing w:after="120"/>
        <w:rPr>
          <w:sz w:val="20"/>
        </w:rPr>
      </w:pPr>
      <w:r w:rsidRPr="009150A6">
        <w:rPr>
          <w:rStyle w:val="FootnoteReference"/>
          <w:sz w:val="20"/>
        </w:rPr>
        <w:footnoteRef/>
      </w:r>
      <w:r w:rsidRPr="009150A6">
        <w:rPr>
          <w:sz w:val="20"/>
        </w:rPr>
        <w:t xml:space="preserve"> </w:t>
      </w:r>
      <w:r w:rsidRPr="009150A6">
        <w:rPr>
          <w:i/>
          <w:iCs/>
          <w:sz w:val="20"/>
        </w:rPr>
        <w:t>Id</w:t>
      </w:r>
      <w:r w:rsidRPr="009150A6" w:rsidR="0084546C">
        <w:rPr>
          <w:sz w:val="20"/>
        </w:rPr>
        <w:t>.</w:t>
      </w:r>
      <w:r w:rsidRPr="009150A6" w:rsidR="000072C4">
        <w:rPr>
          <w:sz w:val="20"/>
        </w:rPr>
        <w:t xml:space="preserve"> at 1</w:t>
      </w:r>
      <w:r w:rsidRPr="009150A6" w:rsidR="005C0DEF">
        <w:rPr>
          <w:sz w:val="20"/>
        </w:rPr>
        <w:t>2</w:t>
      </w:r>
      <w:r w:rsidRPr="009150A6" w:rsidR="000072C4">
        <w:rPr>
          <w:sz w:val="20"/>
        </w:rPr>
        <w:t>-14.</w:t>
      </w:r>
      <w:r w:rsidRPr="009150A6" w:rsidR="00A256F4">
        <w:rPr>
          <w:sz w:val="20"/>
        </w:rPr>
        <w:t xml:space="preserve">  </w:t>
      </w:r>
    </w:p>
  </w:footnote>
  <w:footnote w:id="31">
    <w:p w:rsidR="009225E3" w:rsidRPr="009150A6" w:rsidP="00BA4541" w14:paraId="0E89BC26" w14:textId="77777777">
      <w:pPr>
        <w:pStyle w:val="FootnoteText"/>
        <w:spacing w:after="120"/>
        <w:rPr>
          <w:sz w:val="20"/>
        </w:rPr>
      </w:pPr>
      <w:r w:rsidRPr="009150A6">
        <w:rPr>
          <w:rStyle w:val="FootnoteReference"/>
          <w:sz w:val="20"/>
        </w:rPr>
        <w:footnoteRef/>
      </w:r>
      <w:r w:rsidRPr="009150A6">
        <w:rPr>
          <w:sz w:val="20"/>
        </w:rPr>
        <w:t xml:space="preserve"> </w:t>
      </w:r>
      <w:r w:rsidRPr="009150A6">
        <w:rPr>
          <w:i/>
          <w:iCs/>
          <w:sz w:val="20"/>
        </w:rPr>
        <w:t>Id.</w:t>
      </w:r>
      <w:r w:rsidRPr="009150A6">
        <w:rPr>
          <w:sz w:val="20"/>
        </w:rPr>
        <w:t xml:space="preserve"> at </w:t>
      </w:r>
      <w:r w:rsidRPr="009150A6" w:rsidR="0084546C">
        <w:rPr>
          <w:sz w:val="20"/>
        </w:rPr>
        <w:t>13</w:t>
      </w:r>
      <w:r w:rsidRPr="009150A6">
        <w:rPr>
          <w:sz w:val="20"/>
        </w:rPr>
        <w:t>.</w:t>
      </w:r>
      <w:r w:rsidRPr="009150A6" w:rsidR="0084546C">
        <w:rPr>
          <w:sz w:val="20"/>
        </w:rPr>
        <w:t xml:space="preserve">  </w:t>
      </w:r>
      <w:r w:rsidRPr="00E13264" w:rsidR="004444F5">
        <w:rPr>
          <w:sz w:val="20"/>
        </w:rPr>
        <w:t xml:space="preserve">Applicants </w:t>
      </w:r>
      <w:r w:rsidR="004444F5">
        <w:rPr>
          <w:sz w:val="20"/>
        </w:rPr>
        <w:t xml:space="preserve">identify what they refer to as </w:t>
      </w:r>
      <w:r w:rsidRPr="0001460A" w:rsidR="004444F5">
        <w:rPr>
          <w:i/>
          <w:iCs/>
          <w:sz w:val="20"/>
        </w:rPr>
        <w:t>de minimus</w:t>
      </w:r>
      <w:r w:rsidR="004444F5">
        <w:rPr>
          <w:sz w:val="20"/>
        </w:rPr>
        <w:t xml:space="preserve"> overlaps</w:t>
      </w:r>
      <w:r w:rsidRPr="00E13264" w:rsidR="004444F5">
        <w:rPr>
          <w:sz w:val="20"/>
        </w:rPr>
        <w:t xml:space="preserve"> </w:t>
      </w:r>
      <w:r w:rsidR="004444F5">
        <w:rPr>
          <w:sz w:val="20"/>
        </w:rPr>
        <w:t>of</w:t>
      </w:r>
      <w:r w:rsidRPr="00E13264" w:rsidR="004444F5">
        <w:rPr>
          <w:sz w:val="20"/>
        </w:rPr>
        <w:t xml:space="preserve"> service areas between the Lumen LatAm Entities and ESI</w:t>
      </w:r>
      <w:r w:rsidR="004444F5">
        <w:rPr>
          <w:sz w:val="20"/>
        </w:rPr>
        <w:t>,</w:t>
      </w:r>
      <w:r w:rsidRPr="00E13264" w:rsidR="004444F5">
        <w:rPr>
          <w:sz w:val="20"/>
        </w:rPr>
        <w:t xml:space="preserve"> as well as one of the Radiate</w:t>
      </w:r>
      <w:r w:rsidR="004444F5">
        <w:rPr>
          <w:sz w:val="20"/>
        </w:rPr>
        <w:t xml:space="preserve"> companies</w:t>
      </w:r>
      <w:r w:rsidRPr="00E13264" w:rsidR="004444F5">
        <w:rPr>
          <w:sz w:val="20"/>
        </w:rPr>
        <w:t xml:space="preserve">.  Of the Lumen LatAm Entities, only GCAS and CLAS provide service in the contiguous 48 states, and only GCAS provides facilities based services.  In San Diego, California and McAllen, Texas, GCAS, upon closing, will own or control facilities to provide international transport in those service areas while ESI provides facilities based wholesale services in those markets, consisting primarily of outdoor DAS/Small Cell networks and domestic dark fiber and domestic transport service.  Also upon closing, GCAS will be able to provide </w:t>
      </w:r>
      <w:r w:rsidR="004444F5">
        <w:rPr>
          <w:sz w:val="20"/>
        </w:rPr>
        <w:t xml:space="preserve">facilities based </w:t>
      </w:r>
      <w:r w:rsidRPr="00E13264" w:rsidR="004444F5">
        <w:rPr>
          <w:sz w:val="20"/>
        </w:rPr>
        <w:t>transport services between the Hollywood, Florida and Grover Beach, California cable landing stations</w:t>
      </w:r>
      <w:r w:rsidR="004444F5">
        <w:rPr>
          <w:sz w:val="20"/>
        </w:rPr>
        <w:t>,</w:t>
      </w:r>
      <w:r w:rsidRPr="00E13264" w:rsidR="004444F5">
        <w:rPr>
          <w:sz w:val="20"/>
        </w:rPr>
        <w:t xml:space="preserve"> while one of the Radiate </w:t>
      </w:r>
      <w:r w:rsidR="004444F5">
        <w:rPr>
          <w:sz w:val="20"/>
        </w:rPr>
        <w:t xml:space="preserve">companies </w:t>
      </w:r>
      <w:r w:rsidRPr="00E13264" w:rsidR="004444F5">
        <w:rPr>
          <w:sz w:val="20"/>
        </w:rPr>
        <w:t>provides facilities based services</w:t>
      </w:r>
      <w:r w:rsidR="004444F5">
        <w:rPr>
          <w:sz w:val="20"/>
        </w:rPr>
        <w:t>,</w:t>
      </w:r>
      <w:r w:rsidRPr="00E13264" w:rsidR="004444F5">
        <w:rPr>
          <w:sz w:val="20"/>
        </w:rPr>
        <w:t xml:space="preserve"> primarily for residential and business end users</w:t>
      </w:r>
      <w:r w:rsidR="004444F5">
        <w:rPr>
          <w:sz w:val="20"/>
        </w:rPr>
        <w:t>, in Grover Beach, California</w:t>
      </w:r>
      <w:r w:rsidRPr="00E13264" w:rsidR="004444F5">
        <w:rPr>
          <w:sz w:val="20"/>
        </w:rPr>
        <w:t xml:space="preserve">.  </w:t>
      </w:r>
      <w:r w:rsidR="004444F5">
        <w:rPr>
          <w:sz w:val="20"/>
        </w:rPr>
        <w:t xml:space="preserve">Sept. 20, 2021 </w:t>
      </w:r>
      <w:r w:rsidRPr="00E13264" w:rsidR="004444F5">
        <w:rPr>
          <w:sz w:val="20"/>
        </w:rPr>
        <w:t>Supplement at 2.</w:t>
      </w:r>
    </w:p>
  </w:footnote>
  <w:footnote w:id="32">
    <w:p w:rsidR="00904C8C" w:rsidP="00904C8C" w14:paraId="5503B999" w14:textId="77777777">
      <w:pPr>
        <w:pStyle w:val="FootnoteText"/>
      </w:pPr>
      <w:r>
        <w:rPr>
          <w:rStyle w:val="FootnoteReference"/>
        </w:rPr>
        <w:footnoteRef/>
      </w:r>
      <w:r>
        <w:t xml:space="preserve"> </w:t>
      </w:r>
      <w:r w:rsidRPr="00E73929">
        <w:rPr>
          <w:i/>
          <w:iCs/>
          <w:sz w:val="20"/>
        </w:rPr>
        <w:t>See Process Reform for Executive Branch Review of Certain FCC Applications and Petitions Involving Foreign Ownership,</w:t>
      </w:r>
      <w:r w:rsidRPr="00E73929">
        <w:rPr>
          <w:sz w:val="20"/>
        </w:rPr>
        <w:t xml:space="preserve"> IB Docket 16-155, Report and Order, </w:t>
      </w:r>
      <w:r>
        <w:rPr>
          <w:rFonts w:ascii="TimesNewRomanPSMT" w:hAnsi="TimesNewRomanPSMT" w:cs="TimesNewRomanPSMT"/>
          <w:sz w:val="20"/>
        </w:rPr>
        <w:t>35 FCC Rcd 10927</w:t>
      </w:r>
      <w:r w:rsidRPr="00E73929">
        <w:rPr>
          <w:sz w:val="20"/>
        </w:rPr>
        <w:t xml:space="preserve"> (2020)</w:t>
      </w:r>
      <w:r w:rsidR="00785727">
        <w:rPr>
          <w:sz w:val="20"/>
        </w:rPr>
        <w:t>,</w:t>
      </w:r>
      <w:r w:rsidRPr="00437C2B" w:rsidR="00437C2B">
        <w:t xml:space="preserve"> </w:t>
      </w:r>
      <w:r w:rsidRPr="00437C2B" w:rsidR="00437C2B">
        <w:rPr>
          <w:sz w:val="20"/>
        </w:rPr>
        <w:t>Erratum (Appendix B — Final Rules), DA 20-1404 (OMD/IB rel. Nov. 27, 2020)</w:t>
      </w:r>
      <w:r>
        <w:rPr>
          <w:sz w:val="20"/>
        </w:rPr>
        <w:t xml:space="preserve">.  </w:t>
      </w:r>
      <w:r>
        <w:rPr>
          <w:i/>
          <w:iCs/>
          <w:sz w:val="20"/>
        </w:rPr>
        <w:t xml:space="preserve">See also </w:t>
      </w:r>
      <w:r w:rsidRPr="00E73929">
        <w:rPr>
          <w:i/>
          <w:iCs/>
          <w:sz w:val="20"/>
        </w:rPr>
        <w:t>Rules and Policies on Foreign Participation in the U.S. Telecommunications Market; Market Entry and Regulation of Foreign- Affiliated Entities</w:t>
      </w:r>
      <w:r w:rsidRPr="00E73929">
        <w:rPr>
          <w:sz w:val="20"/>
        </w:rPr>
        <w:t>, IB Docket Nos. 97-142 and 95-22, Report and Order and Order on Reconsideration, 12 FCC Rcd 23891, 23918-19, paras. 61-63 (1997) (</w:t>
      </w:r>
      <w:r w:rsidRPr="00E73929">
        <w:rPr>
          <w:i/>
          <w:iCs/>
          <w:sz w:val="20"/>
        </w:rPr>
        <w:t>Foreign Participation Order</w:t>
      </w:r>
      <w:r w:rsidRPr="00E73929">
        <w:rPr>
          <w:sz w:val="20"/>
        </w:rPr>
        <w:t>), recon. denied, 15 FCC Rcd 18158 (2000).</w:t>
      </w:r>
    </w:p>
  </w:footnote>
  <w:footnote w:id="33">
    <w:p w:rsidR="00162632" w:rsidRPr="00D547F4" w:rsidP="00D547F4" w14:paraId="0AF3FA7A" w14:textId="77777777">
      <w:pPr>
        <w:rPr>
          <w:rFonts w:ascii="Calibri" w:eastAsia="Calibri" w:hAnsi="Calibri" w:cs="Calibri"/>
          <w:szCs w:val="22"/>
        </w:rPr>
      </w:pPr>
      <w:r w:rsidRPr="00BA4541">
        <w:rPr>
          <w:rStyle w:val="FootnoteReference"/>
          <w:sz w:val="20"/>
        </w:rPr>
        <w:footnoteRef/>
      </w:r>
      <w:r w:rsidRPr="00BA4541">
        <w:rPr>
          <w:sz w:val="20"/>
        </w:rPr>
        <w:t xml:space="preserve">   </w:t>
      </w:r>
      <w:r w:rsidRPr="00BA4541">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D547F4" w:rsidR="00D547F4">
        <w:rPr>
          <w:rFonts w:eastAsia="Calibri"/>
          <w:i/>
          <w:iCs/>
          <w:sz w:val="20"/>
        </w:rPr>
        <w:t>See FCC Announces Closure of FCC Headquarters Open Window and Change in Hand-Delivery Policy</w:t>
      </w:r>
      <w:r w:rsidRPr="00D547F4" w:rsidR="00D547F4">
        <w:rPr>
          <w:rFonts w:eastAsia="Calibri"/>
          <w:sz w:val="20"/>
        </w:rPr>
        <w:t xml:space="preserve">, Public Notice, 35 FCC </w:t>
      </w:r>
      <w:r w:rsidRPr="00D547F4" w:rsidR="00D547F4">
        <w:rPr>
          <w:rFonts w:eastAsia="Calibri"/>
          <w:sz w:val="20"/>
        </w:rPr>
        <w:t>Rcd</w:t>
      </w:r>
      <w:r w:rsidRPr="00D547F4" w:rsidR="00D547F4">
        <w:rPr>
          <w:rFonts w:eastAsia="Calibri"/>
          <w:sz w:val="20"/>
        </w:rPr>
        <w:t xml:space="preserve"> 2788 (OS 2020).</w:t>
      </w:r>
    </w:p>
  </w:footnote>
  <w:footnote w:id="34">
    <w:p w:rsidR="00162632" w:rsidRPr="00BA4541" w:rsidP="00BA4541" w14:paraId="4CDCD045" w14:textId="77777777">
      <w:pPr>
        <w:pStyle w:val="FootnoteText"/>
        <w:tabs>
          <w:tab w:val="clear" w:pos="720"/>
        </w:tabs>
        <w:spacing w:after="120"/>
        <w:rPr>
          <w:sz w:val="20"/>
        </w:rPr>
      </w:pPr>
      <w:r w:rsidRPr="00BA4541">
        <w:rPr>
          <w:rStyle w:val="FootnoteReference"/>
          <w:sz w:val="20"/>
        </w:rPr>
        <w:footnoteRef/>
      </w:r>
      <w:r w:rsidRPr="00BA4541">
        <w:rPr>
          <w:sz w:val="20"/>
        </w:rPr>
        <w:t xml:space="preserve"> </w:t>
      </w:r>
      <w:r w:rsidRPr="00BA4541">
        <w:rPr>
          <w:i/>
          <w:sz w:val="20"/>
        </w:rPr>
        <w:t>See</w:t>
      </w:r>
      <w:r w:rsidRPr="00BA4541">
        <w:rPr>
          <w:sz w:val="20"/>
        </w:rPr>
        <w:t xml:space="preserve"> 47 CFR § 1.45(c).</w:t>
      </w:r>
    </w:p>
  </w:footnote>
  <w:footnote w:id="35">
    <w:p w:rsidR="006310AF" w:rsidP="006310AF" w14:paraId="4E2EB883" w14:textId="77777777">
      <w:pPr>
        <w:pStyle w:val="FootnoteText"/>
      </w:pPr>
      <w:r>
        <w:rPr>
          <w:rStyle w:val="FootnoteReference"/>
        </w:rPr>
        <w:footnoteRef/>
      </w:r>
      <w:r>
        <w:t xml:space="preserve"> </w:t>
      </w:r>
      <w:r w:rsidRPr="00242A8C">
        <w:rPr>
          <w:sz w:val="20"/>
        </w:rPr>
        <w:t xml:space="preserve">CenturyLink Latin American Solutions, LLC currently provides international service under the section 214 authority held by its 100% direct parent, </w:t>
      </w:r>
      <w:r w:rsidRPr="00242A8C" w:rsidR="003C0D12">
        <w:rPr>
          <w:sz w:val="20"/>
        </w:rPr>
        <w:t>Level 3 Communications, LLC</w:t>
      </w:r>
      <w:r w:rsidR="0059307E">
        <w:rPr>
          <w:sz w:val="20"/>
        </w:rPr>
        <w:t>,</w:t>
      </w:r>
      <w:r w:rsidRPr="00242A8C" w:rsidR="00242A8C">
        <w:rPr>
          <w:sz w:val="20"/>
        </w:rPr>
        <w:t xml:space="preserve"> pursuant to 47 CFR </w:t>
      </w:r>
      <w:r w:rsidRPr="00242A8C" w:rsidR="00242A8C">
        <w:rPr>
          <w:color w:val="000000"/>
          <w:sz w:val="20"/>
        </w:rPr>
        <w:t>§ 63.21(h)</w:t>
      </w:r>
      <w:r w:rsidRPr="00242A8C" w:rsidR="003C0D12">
        <w:rPr>
          <w:sz w:val="20"/>
        </w:rPr>
        <w:t>.</w:t>
      </w:r>
    </w:p>
  </w:footnote>
  <w:footnote w:id="36">
    <w:p w:rsidR="00455B79" w:rsidRPr="00021F2D" w:rsidP="00BA4541" w14:paraId="7169646F" w14:textId="77777777">
      <w:pPr>
        <w:pStyle w:val="FootnoteText"/>
        <w:spacing w:after="120"/>
        <w:rPr>
          <w:color w:val="000000"/>
          <w:sz w:val="20"/>
        </w:rPr>
      </w:pPr>
      <w:r w:rsidRPr="00BA4541">
        <w:rPr>
          <w:rStyle w:val="FootnoteReference"/>
          <w:color w:val="000000"/>
          <w:sz w:val="20"/>
        </w:rPr>
        <w:footnoteRef/>
      </w:r>
      <w:r w:rsidRPr="00BA4541">
        <w:rPr>
          <w:color w:val="000000"/>
          <w:sz w:val="20"/>
        </w:rPr>
        <w:t xml:space="preserve"> </w:t>
      </w:r>
      <w:r w:rsidRPr="00BA4541">
        <w:rPr>
          <w:color w:val="000000"/>
          <w:sz w:val="20"/>
        </w:rPr>
        <w:t>47 CFR § 63.03.</w:t>
      </w:r>
    </w:p>
  </w:footnote>
  <w:footnote w:id="37">
    <w:p w:rsidR="00CE6B91" w:rsidP="00C045C0" w14:paraId="733EF746" w14:textId="77777777">
      <w:pPr>
        <w:spacing w:after="120"/>
      </w:pPr>
      <w:r>
        <w:rPr>
          <w:rStyle w:val="FootnoteReference"/>
        </w:rPr>
        <w:footnoteRef/>
      </w:r>
      <w:r>
        <w:t xml:space="preserve"> </w:t>
      </w:r>
      <w:r w:rsidRPr="00C045C0">
        <w:rPr>
          <w:sz w:val="20"/>
        </w:rPr>
        <w:t xml:space="preserve">The current license file number for the </w:t>
      </w:r>
      <w:r w:rsidRPr="00CE6B91">
        <w:rPr>
          <w:sz w:val="20"/>
        </w:rPr>
        <w:t>Mid-Atlantic Crossing cable</w:t>
      </w:r>
      <w:r>
        <w:rPr>
          <w:sz w:val="20"/>
        </w:rPr>
        <w:t xml:space="preserve"> system</w:t>
      </w:r>
      <w:r w:rsidRPr="00CE6B91">
        <w:rPr>
          <w:sz w:val="20"/>
        </w:rPr>
        <w:t xml:space="preserve">.  The license will be assigned from </w:t>
      </w:r>
      <w:r w:rsidRPr="00C045C0">
        <w:rPr>
          <w:sz w:val="20"/>
        </w:rPr>
        <w:t>Global Crossing Telecommunications, Inc.  to Global Crossing Americas Solutions, LLC prior to consummation of th</w:t>
      </w:r>
      <w:r w:rsidR="009463C3">
        <w:rPr>
          <w:sz w:val="20"/>
        </w:rPr>
        <w:t>e</w:t>
      </w:r>
      <w:r w:rsidRPr="00C045C0">
        <w:rPr>
          <w:sz w:val="20"/>
        </w:rPr>
        <w:t xml:space="preserve"> proposed transaction.</w:t>
      </w:r>
      <w:r>
        <w:rPr>
          <w:sz w:val="20"/>
        </w:rPr>
        <w:t xml:space="preserve"> </w:t>
      </w:r>
    </w:p>
  </w:footnote>
  <w:footnote w:id="38">
    <w:p w:rsidR="00E82570" w:rsidP="00C045C0" w14:paraId="51A1297F" w14:textId="77777777">
      <w:pPr>
        <w:pStyle w:val="FootnoteText"/>
        <w:spacing w:after="120"/>
      </w:pPr>
      <w:r>
        <w:rPr>
          <w:rStyle w:val="FootnoteReference"/>
        </w:rPr>
        <w:footnoteRef/>
      </w:r>
      <w:r>
        <w:t xml:space="preserve"> </w:t>
      </w:r>
      <w:r w:rsidRPr="003F2D8E" w:rsidR="000C2CA4">
        <w:rPr>
          <w:sz w:val="20"/>
        </w:rPr>
        <w:t xml:space="preserve">The current license file number for the </w:t>
      </w:r>
      <w:r w:rsidR="000C2CA4">
        <w:rPr>
          <w:sz w:val="20"/>
        </w:rPr>
        <w:t xml:space="preserve">Pan American </w:t>
      </w:r>
      <w:r w:rsidRPr="00CE6B91" w:rsidR="000C2CA4">
        <w:rPr>
          <w:sz w:val="20"/>
        </w:rPr>
        <w:t>Crossing cable</w:t>
      </w:r>
      <w:r w:rsidR="000C2CA4">
        <w:rPr>
          <w:sz w:val="20"/>
        </w:rPr>
        <w:t xml:space="preserve"> system</w:t>
      </w:r>
      <w:r w:rsidRPr="00CE6B91" w:rsidR="000C2CA4">
        <w:rPr>
          <w:sz w:val="20"/>
        </w:rPr>
        <w:t xml:space="preserve">.  The license will be assigned from </w:t>
      </w:r>
      <w:r w:rsidRPr="003F2D8E" w:rsidR="000C2CA4">
        <w:rPr>
          <w:sz w:val="20"/>
        </w:rPr>
        <w:t>Global Crossing Telecommunications, Inc.  to Global Crossing Americas Solutions, LLC prior to consummation of th</w:t>
      </w:r>
      <w:r w:rsidR="009463C3">
        <w:rPr>
          <w:sz w:val="20"/>
        </w:rPr>
        <w:t>e</w:t>
      </w:r>
      <w:r w:rsidRPr="003F2D8E" w:rsidR="000C2CA4">
        <w:rPr>
          <w:sz w:val="20"/>
        </w:rPr>
        <w:t xml:space="preserve"> proposed transaction.</w:t>
      </w:r>
    </w:p>
  </w:footnote>
  <w:footnote w:id="39">
    <w:p w:rsidR="003C0D12" w:rsidP="00C045C0" w14:paraId="2EC1CAB9" w14:textId="77777777">
      <w:pPr>
        <w:pStyle w:val="FootnoteText"/>
        <w:spacing w:after="120"/>
      </w:pPr>
      <w:r>
        <w:rPr>
          <w:rStyle w:val="FootnoteReference"/>
        </w:rPr>
        <w:footnoteRef/>
      </w:r>
      <w:r>
        <w:t xml:space="preserve"> </w:t>
      </w:r>
      <w:r w:rsidRPr="003F2D8E">
        <w:rPr>
          <w:sz w:val="20"/>
        </w:rPr>
        <w:t xml:space="preserve">The current license file number for the </w:t>
      </w:r>
      <w:r>
        <w:rPr>
          <w:sz w:val="20"/>
        </w:rPr>
        <w:t xml:space="preserve">South American </w:t>
      </w:r>
      <w:r w:rsidRPr="00CE6B91">
        <w:rPr>
          <w:sz w:val="20"/>
        </w:rPr>
        <w:t>Crossing cable</w:t>
      </w:r>
      <w:r>
        <w:rPr>
          <w:sz w:val="20"/>
        </w:rPr>
        <w:t xml:space="preserve"> system</w:t>
      </w:r>
      <w:r w:rsidRPr="00CE6B91">
        <w:rPr>
          <w:sz w:val="20"/>
        </w:rPr>
        <w:t xml:space="preserve">.  The license will be assigned from </w:t>
      </w:r>
      <w:r w:rsidRPr="003F2D8E">
        <w:rPr>
          <w:sz w:val="20"/>
        </w:rPr>
        <w:t>Global Crossing Telecommunications, Inc.  to Global Crossing Americas Solutions, LLC prior to consummation of th</w:t>
      </w:r>
      <w:r w:rsidR="009463C3">
        <w:rPr>
          <w:sz w:val="20"/>
        </w:rPr>
        <w:t>e</w:t>
      </w:r>
      <w:r w:rsidRPr="003F2D8E">
        <w:rPr>
          <w:sz w:val="20"/>
        </w:rPr>
        <w:t xml:space="preserve"> proposed transaction.</w:t>
      </w:r>
    </w:p>
  </w:footnote>
  <w:footnote w:id="40">
    <w:p w:rsidR="00CE6B91" w:rsidP="00C045C0" w14:paraId="5B8AF006" w14:textId="77777777">
      <w:pPr>
        <w:pStyle w:val="FootnoteText"/>
        <w:spacing w:after="120"/>
      </w:pPr>
      <w:r>
        <w:rPr>
          <w:rStyle w:val="FootnoteReference"/>
        </w:rPr>
        <w:footnoteRef/>
      </w:r>
      <w:r>
        <w:t xml:space="preserve"> </w:t>
      </w:r>
      <w:r w:rsidRPr="003F2D8E">
        <w:rPr>
          <w:sz w:val="20"/>
        </w:rPr>
        <w:t xml:space="preserve">The current license file number for the </w:t>
      </w:r>
      <w:r>
        <w:rPr>
          <w:sz w:val="20"/>
        </w:rPr>
        <w:t xml:space="preserve">Americas-II </w:t>
      </w:r>
      <w:r w:rsidRPr="00CE6B91">
        <w:rPr>
          <w:sz w:val="20"/>
        </w:rPr>
        <w:t>cable</w:t>
      </w:r>
      <w:r>
        <w:rPr>
          <w:sz w:val="20"/>
        </w:rPr>
        <w:t xml:space="preserve"> system</w:t>
      </w:r>
      <w:r w:rsidRPr="00CE6B9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4A71EDB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C078D" w:rsidP="00257E57" w14:paraId="005F18A0" w14:textId="77777777">
                <w:pPr>
                  <w:rPr>
                    <w:rFonts w:ascii="Arial" w:hAnsi="Arial"/>
                    <w:b/>
                  </w:rPr>
                </w:pPr>
                <w:r>
                  <w:rPr>
                    <w:rFonts w:ascii="Arial" w:hAnsi="Arial"/>
                    <w:b/>
                  </w:rPr>
                  <w:t>Federal Communications Commission</w:t>
                </w:r>
              </w:p>
              <w:p w:rsidR="00EC078D" w:rsidP="00257E57" w14:paraId="5B406766" w14:textId="77777777">
                <w:pPr>
                  <w:rPr>
                    <w:rFonts w:ascii="Arial" w:hAnsi="Arial"/>
                    <w:b/>
                  </w:rPr>
                </w:pPr>
                <w:r>
                  <w:rPr>
                    <w:rFonts w:ascii="Arial" w:hAnsi="Arial"/>
                    <w:b/>
                  </w:rPr>
                  <w:t>45 L St., N.E.</w:t>
                </w:r>
              </w:p>
              <w:p w:rsidR="00EC078D" w:rsidP="00257E57" w14:paraId="50CB9384" w14:textId="77777777">
                <w:pPr>
                  <w:rPr>
                    <w:rFonts w:ascii="Arial" w:hAnsi="Arial"/>
                    <w:sz w:val="24"/>
                  </w:rPr>
                </w:pPr>
                <w:r>
                  <w:rPr>
                    <w:rFonts w:ascii="Arial" w:hAnsi="Arial"/>
                    <w:b/>
                  </w:rPr>
                  <w:t>Washington, D.C. 20554</w:t>
                </w:r>
              </w:p>
              <w:p w:rsidR="00EC078D" w:rsidRPr="00257E57" w14:paraId="2CE7008D" w14:textId="77777777">
                <w:pPr>
                  <w:rPr>
                    <w:rFonts w:ascii="Arial" w:hAnsi="Arial"/>
                    <w:sz w:val="24"/>
                  </w:rPr>
                </w:pPr>
              </w:p>
            </w:txbxContent>
          </v:textbox>
        </v:shape>
      </w:pict>
    </w:r>
    <w:r>
      <w:rPr>
        <w:rFonts w:ascii="News Gothic MT" w:hAnsi="News Gothic MT"/>
        <w:b/>
        <w:kern w:val="28"/>
        <w:sz w:val="96"/>
      </w:rPr>
      <w:t>PUBLIC NOTICE</w:t>
    </w:r>
  </w:p>
  <w:p w:rsidR="00EC078D" w14:paraId="0FB98A7B"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162632" w:rsidRPr="00162632" w:rsidP="00162632" w14:paraId="4CEBD34A" w14:textId="77777777">
                <w:pPr>
                  <w:jc w:val="right"/>
                  <w:rPr>
                    <w:rFonts w:ascii="Arial" w:hAnsi="Arial"/>
                    <w:b/>
                    <w:sz w:val="16"/>
                  </w:rPr>
                </w:pPr>
                <w:r w:rsidRPr="00162632">
                  <w:rPr>
                    <w:rFonts w:ascii="Arial" w:hAnsi="Arial"/>
                    <w:b/>
                    <w:sz w:val="16"/>
                  </w:rPr>
                  <w:t>News Media Information 202 / 418-0500</w:t>
                </w:r>
              </w:p>
              <w:p w:rsidR="00162632" w:rsidRPr="00162632" w:rsidP="00162632" w14:paraId="0E158944" w14:textId="77777777">
                <w:pPr>
                  <w:jc w:val="right"/>
                  <w:rPr>
                    <w:rFonts w:ascii="Arial" w:hAnsi="Arial"/>
                    <w:b/>
                    <w:sz w:val="16"/>
                  </w:rPr>
                </w:pPr>
                <w:r w:rsidRPr="00162632">
                  <w:rPr>
                    <w:rFonts w:ascii="Arial" w:hAnsi="Arial"/>
                    <w:b/>
                    <w:sz w:val="16"/>
                  </w:rPr>
                  <w:tab/>
                  <w:t xml:space="preserve">Internet: </w:t>
                </w:r>
                <w:bookmarkStart w:id="0" w:name="_Hlt233824"/>
                <w:r w:rsidRPr="00162632">
                  <w:rPr>
                    <w:rFonts w:ascii="Arial" w:hAnsi="Arial"/>
                    <w:b/>
                    <w:sz w:val="16"/>
                  </w:rPr>
                  <w:t>h</w:t>
                </w:r>
                <w:bookmarkEnd w:id="0"/>
                <w:r w:rsidRPr="00162632">
                  <w:rPr>
                    <w:rFonts w:ascii="Arial" w:hAnsi="Arial"/>
                    <w:b/>
                    <w:sz w:val="16"/>
                  </w:rPr>
                  <w:t>ttp://www.fcc.gov</w:t>
                </w:r>
              </w:p>
              <w:p w:rsidR="00EC078D" w14:paraId="6B3F9ED6" w14:textId="77777777">
                <w:pPr>
                  <w:jc w:val="right"/>
                </w:pPr>
              </w:p>
            </w:txbxContent>
          </v:textbox>
        </v:shape>
      </w:pict>
    </w:r>
  </w:p>
  <w:p w:rsidR="00EC078D" w14:paraId="5C0253F8"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14:paraId="1EAA503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230B89"/>
    <w:multiLevelType w:val="hybridMultilevel"/>
    <w:tmpl w:val="C1FA2DB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059305A"/>
    <w:multiLevelType w:val="multilevel"/>
    <w:tmpl w:val="57A4B52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A47206A"/>
    <w:multiLevelType w:val="hybridMultilevel"/>
    <w:tmpl w:val="CA9438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614CCE"/>
    <w:multiLevelType w:val="hybridMultilevel"/>
    <w:tmpl w:val="79A29BF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BE20A48"/>
    <w:multiLevelType w:val="multilevel"/>
    <w:tmpl w:val="584238C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7"/>
  </w:num>
  <w:num w:numId="13">
    <w:abstractNumId w:val="8"/>
  </w:num>
  <w:num w:numId="14">
    <w:abstractNumId w:val="13"/>
  </w:num>
  <w:num w:numId="15">
    <w:abstractNumId w:val="0"/>
  </w:num>
  <w:num w:numId="16">
    <w:abstractNumId w:val="16"/>
  </w:num>
  <w:num w:numId="17">
    <w:abstractNumId w:val="6"/>
  </w:num>
  <w:num w:numId="18">
    <w:abstractNumId w:val="14"/>
  </w:num>
  <w:num w:numId="19">
    <w:abstractNumId w:val="5"/>
  </w:num>
  <w:num w:numId="20">
    <w:abstractNumId w:val="2"/>
  </w:num>
  <w:num w:numId="21">
    <w:abstractNumId w:val="1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C25"/>
    <w:rsid w:val="00002D6B"/>
    <w:rsid w:val="00002E9F"/>
    <w:rsid w:val="000058A8"/>
    <w:rsid w:val="00005E99"/>
    <w:rsid w:val="000072C4"/>
    <w:rsid w:val="00010DD1"/>
    <w:rsid w:val="00012B49"/>
    <w:rsid w:val="00013ED9"/>
    <w:rsid w:val="0001460A"/>
    <w:rsid w:val="00014F14"/>
    <w:rsid w:val="000153E7"/>
    <w:rsid w:val="000156A4"/>
    <w:rsid w:val="00015E7C"/>
    <w:rsid w:val="00017FCA"/>
    <w:rsid w:val="000200DF"/>
    <w:rsid w:val="00020CEE"/>
    <w:rsid w:val="00020FFC"/>
    <w:rsid w:val="00021BFC"/>
    <w:rsid w:val="00021F2D"/>
    <w:rsid w:val="000261AB"/>
    <w:rsid w:val="00030BDD"/>
    <w:rsid w:val="00031BB4"/>
    <w:rsid w:val="00031FC3"/>
    <w:rsid w:val="000321AD"/>
    <w:rsid w:val="00032335"/>
    <w:rsid w:val="00036E68"/>
    <w:rsid w:val="000410B9"/>
    <w:rsid w:val="000418C4"/>
    <w:rsid w:val="00041CC8"/>
    <w:rsid w:val="000455D3"/>
    <w:rsid w:val="00046907"/>
    <w:rsid w:val="00050E3C"/>
    <w:rsid w:val="000512D5"/>
    <w:rsid w:val="00053377"/>
    <w:rsid w:val="00054560"/>
    <w:rsid w:val="00054726"/>
    <w:rsid w:val="00055672"/>
    <w:rsid w:val="00062194"/>
    <w:rsid w:val="00063669"/>
    <w:rsid w:val="00063B72"/>
    <w:rsid w:val="00066D8C"/>
    <w:rsid w:val="00067324"/>
    <w:rsid w:val="000749E1"/>
    <w:rsid w:val="0007541A"/>
    <w:rsid w:val="00076DAD"/>
    <w:rsid w:val="00080013"/>
    <w:rsid w:val="0008051C"/>
    <w:rsid w:val="00083543"/>
    <w:rsid w:val="000847DD"/>
    <w:rsid w:val="00084E1B"/>
    <w:rsid w:val="00087C68"/>
    <w:rsid w:val="00092F8B"/>
    <w:rsid w:val="00094433"/>
    <w:rsid w:val="000963B7"/>
    <w:rsid w:val="0009742E"/>
    <w:rsid w:val="000A32C0"/>
    <w:rsid w:val="000B1673"/>
    <w:rsid w:val="000B3026"/>
    <w:rsid w:val="000B3CC1"/>
    <w:rsid w:val="000B4901"/>
    <w:rsid w:val="000B63AB"/>
    <w:rsid w:val="000B7197"/>
    <w:rsid w:val="000C178C"/>
    <w:rsid w:val="000C1E1E"/>
    <w:rsid w:val="000C2CA4"/>
    <w:rsid w:val="000C37F7"/>
    <w:rsid w:val="000C7874"/>
    <w:rsid w:val="000C7D96"/>
    <w:rsid w:val="000D2393"/>
    <w:rsid w:val="000D3DBB"/>
    <w:rsid w:val="000D3F38"/>
    <w:rsid w:val="000D57F7"/>
    <w:rsid w:val="000D76FC"/>
    <w:rsid w:val="000E106B"/>
    <w:rsid w:val="000E15D5"/>
    <w:rsid w:val="000E170A"/>
    <w:rsid w:val="000E4FF9"/>
    <w:rsid w:val="000F0D06"/>
    <w:rsid w:val="000F233F"/>
    <w:rsid w:val="000F5A15"/>
    <w:rsid w:val="000F742F"/>
    <w:rsid w:val="0010051C"/>
    <w:rsid w:val="00101119"/>
    <w:rsid w:val="0010368B"/>
    <w:rsid w:val="00104D71"/>
    <w:rsid w:val="00106450"/>
    <w:rsid w:val="00107A1F"/>
    <w:rsid w:val="0011130B"/>
    <w:rsid w:val="00112E50"/>
    <w:rsid w:val="0011317E"/>
    <w:rsid w:val="00113F58"/>
    <w:rsid w:val="00115B5A"/>
    <w:rsid w:val="00115D80"/>
    <w:rsid w:val="001171D0"/>
    <w:rsid w:val="001173D9"/>
    <w:rsid w:val="00117DAC"/>
    <w:rsid w:val="00122DB3"/>
    <w:rsid w:val="0012659E"/>
    <w:rsid w:val="00127565"/>
    <w:rsid w:val="00132812"/>
    <w:rsid w:val="00133A11"/>
    <w:rsid w:val="00133F29"/>
    <w:rsid w:val="00135FB7"/>
    <w:rsid w:val="00140B84"/>
    <w:rsid w:val="00142F2C"/>
    <w:rsid w:val="00144F16"/>
    <w:rsid w:val="0015113C"/>
    <w:rsid w:val="00151C37"/>
    <w:rsid w:val="00152889"/>
    <w:rsid w:val="001538D3"/>
    <w:rsid w:val="00155284"/>
    <w:rsid w:val="00155656"/>
    <w:rsid w:val="00162632"/>
    <w:rsid w:val="00163B6D"/>
    <w:rsid w:val="00164D16"/>
    <w:rsid w:val="00166476"/>
    <w:rsid w:val="001665D0"/>
    <w:rsid w:val="0016699B"/>
    <w:rsid w:val="00172740"/>
    <w:rsid w:val="00173E2E"/>
    <w:rsid w:val="001750F6"/>
    <w:rsid w:val="001768D8"/>
    <w:rsid w:val="0018025B"/>
    <w:rsid w:val="00185B53"/>
    <w:rsid w:val="00186771"/>
    <w:rsid w:val="001868E2"/>
    <w:rsid w:val="00186DF5"/>
    <w:rsid w:val="00190563"/>
    <w:rsid w:val="00191BA2"/>
    <w:rsid w:val="00192455"/>
    <w:rsid w:val="00192550"/>
    <w:rsid w:val="00194D9D"/>
    <w:rsid w:val="001A25D3"/>
    <w:rsid w:val="001A3531"/>
    <w:rsid w:val="001A5872"/>
    <w:rsid w:val="001A6595"/>
    <w:rsid w:val="001A711F"/>
    <w:rsid w:val="001A7D38"/>
    <w:rsid w:val="001B2950"/>
    <w:rsid w:val="001B2DB7"/>
    <w:rsid w:val="001B2E9B"/>
    <w:rsid w:val="001B340E"/>
    <w:rsid w:val="001B5C5E"/>
    <w:rsid w:val="001B5E0F"/>
    <w:rsid w:val="001B6159"/>
    <w:rsid w:val="001B6931"/>
    <w:rsid w:val="001B6949"/>
    <w:rsid w:val="001C21D6"/>
    <w:rsid w:val="001C4593"/>
    <w:rsid w:val="001C66BC"/>
    <w:rsid w:val="001D0631"/>
    <w:rsid w:val="001D1EAD"/>
    <w:rsid w:val="001D682A"/>
    <w:rsid w:val="001D68F2"/>
    <w:rsid w:val="001D75FD"/>
    <w:rsid w:val="001E1333"/>
    <w:rsid w:val="001E6316"/>
    <w:rsid w:val="001F20BF"/>
    <w:rsid w:val="001F2307"/>
    <w:rsid w:val="001F268F"/>
    <w:rsid w:val="001F342B"/>
    <w:rsid w:val="001F42CB"/>
    <w:rsid w:val="00204A67"/>
    <w:rsid w:val="00205A16"/>
    <w:rsid w:val="002079CF"/>
    <w:rsid w:val="00207BC1"/>
    <w:rsid w:val="00207EEA"/>
    <w:rsid w:val="0021054B"/>
    <w:rsid w:val="002111D2"/>
    <w:rsid w:val="0021123B"/>
    <w:rsid w:val="00212CAB"/>
    <w:rsid w:val="00216325"/>
    <w:rsid w:val="0022157B"/>
    <w:rsid w:val="00223CA2"/>
    <w:rsid w:val="002243EF"/>
    <w:rsid w:val="00224E08"/>
    <w:rsid w:val="00225294"/>
    <w:rsid w:val="0022535E"/>
    <w:rsid w:val="0022664E"/>
    <w:rsid w:val="00226E7C"/>
    <w:rsid w:val="00232924"/>
    <w:rsid w:val="00233AE0"/>
    <w:rsid w:val="00233EE7"/>
    <w:rsid w:val="002412CD"/>
    <w:rsid w:val="002427FA"/>
    <w:rsid w:val="00242A8C"/>
    <w:rsid w:val="00242F7F"/>
    <w:rsid w:val="0024571E"/>
    <w:rsid w:val="00245F39"/>
    <w:rsid w:val="002515C9"/>
    <w:rsid w:val="00257E57"/>
    <w:rsid w:val="002617F7"/>
    <w:rsid w:val="00262311"/>
    <w:rsid w:val="002629F2"/>
    <w:rsid w:val="00263DC2"/>
    <w:rsid w:val="00265277"/>
    <w:rsid w:val="00265D2A"/>
    <w:rsid w:val="00267A6A"/>
    <w:rsid w:val="00267F90"/>
    <w:rsid w:val="00270BEE"/>
    <w:rsid w:val="002723D6"/>
    <w:rsid w:val="00274F27"/>
    <w:rsid w:val="00275D30"/>
    <w:rsid w:val="00281415"/>
    <w:rsid w:val="00285722"/>
    <w:rsid w:val="00286961"/>
    <w:rsid w:val="00287BB4"/>
    <w:rsid w:val="00290D6B"/>
    <w:rsid w:val="00291A07"/>
    <w:rsid w:val="00292A0D"/>
    <w:rsid w:val="00292E1C"/>
    <w:rsid w:val="002938BD"/>
    <w:rsid w:val="00294340"/>
    <w:rsid w:val="002A0822"/>
    <w:rsid w:val="002A11AF"/>
    <w:rsid w:val="002A1A5A"/>
    <w:rsid w:val="002A3E00"/>
    <w:rsid w:val="002A4CB5"/>
    <w:rsid w:val="002A5B2D"/>
    <w:rsid w:val="002A68F4"/>
    <w:rsid w:val="002A6C27"/>
    <w:rsid w:val="002B0B9D"/>
    <w:rsid w:val="002B1056"/>
    <w:rsid w:val="002B6D8B"/>
    <w:rsid w:val="002B7CBF"/>
    <w:rsid w:val="002C2DE8"/>
    <w:rsid w:val="002C54A9"/>
    <w:rsid w:val="002C5EAB"/>
    <w:rsid w:val="002C70B0"/>
    <w:rsid w:val="002C7109"/>
    <w:rsid w:val="002C7187"/>
    <w:rsid w:val="002D08D3"/>
    <w:rsid w:val="002D3AEA"/>
    <w:rsid w:val="002D487B"/>
    <w:rsid w:val="002D4FE6"/>
    <w:rsid w:val="002D5CB8"/>
    <w:rsid w:val="002D5FA0"/>
    <w:rsid w:val="002D713E"/>
    <w:rsid w:val="002F00DF"/>
    <w:rsid w:val="002F18D4"/>
    <w:rsid w:val="002F33B8"/>
    <w:rsid w:val="002F3957"/>
    <w:rsid w:val="002F41E4"/>
    <w:rsid w:val="002F6D25"/>
    <w:rsid w:val="002F7128"/>
    <w:rsid w:val="003008E8"/>
    <w:rsid w:val="00301C5A"/>
    <w:rsid w:val="0030629E"/>
    <w:rsid w:val="003134B8"/>
    <w:rsid w:val="003140C2"/>
    <w:rsid w:val="003150E4"/>
    <w:rsid w:val="0032019A"/>
    <w:rsid w:val="00323A72"/>
    <w:rsid w:val="00324E29"/>
    <w:rsid w:val="00326657"/>
    <w:rsid w:val="003351AD"/>
    <w:rsid w:val="003352C0"/>
    <w:rsid w:val="003359B9"/>
    <w:rsid w:val="003367BE"/>
    <w:rsid w:val="0034020C"/>
    <w:rsid w:val="00340744"/>
    <w:rsid w:val="003428DA"/>
    <w:rsid w:val="00343B3A"/>
    <w:rsid w:val="00347C4A"/>
    <w:rsid w:val="003510E7"/>
    <w:rsid w:val="00352E1A"/>
    <w:rsid w:val="003536C5"/>
    <w:rsid w:val="0035561D"/>
    <w:rsid w:val="0035664E"/>
    <w:rsid w:val="00356BB0"/>
    <w:rsid w:val="0035774F"/>
    <w:rsid w:val="0035797E"/>
    <w:rsid w:val="00363F25"/>
    <w:rsid w:val="0036422E"/>
    <w:rsid w:val="00366B43"/>
    <w:rsid w:val="00366D09"/>
    <w:rsid w:val="00367808"/>
    <w:rsid w:val="00372112"/>
    <w:rsid w:val="003734A8"/>
    <w:rsid w:val="00373C29"/>
    <w:rsid w:val="003746B5"/>
    <w:rsid w:val="00377AA8"/>
    <w:rsid w:val="00377E84"/>
    <w:rsid w:val="003846F8"/>
    <w:rsid w:val="0038477C"/>
    <w:rsid w:val="00384C45"/>
    <w:rsid w:val="0038631E"/>
    <w:rsid w:val="00387252"/>
    <w:rsid w:val="00390139"/>
    <w:rsid w:val="00395138"/>
    <w:rsid w:val="003A102E"/>
    <w:rsid w:val="003A333E"/>
    <w:rsid w:val="003A47A1"/>
    <w:rsid w:val="003B16BD"/>
    <w:rsid w:val="003B3DD6"/>
    <w:rsid w:val="003B3E64"/>
    <w:rsid w:val="003B52C8"/>
    <w:rsid w:val="003B62CA"/>
    <w:rsid w:val="003B7987"/>
    <w:rsid w:val="003C0D12"/>
    <w:rsid w:val="003C1314"/>
    <w:rsid w:val="003C4025"/>
    <w:rsid w:val="003C44DF"/>
    <w:rsid w:val="003C6DB8"/>
    <w:rsid w:val="003D3D3B"/>
    <w:rsid w:val="003D42BB"/>
    <w:rsid w:val="003D4E22"/>
    <w:rsid w:val="003D5F49"/>
    <w:rsid w:val="003D792E"/>
    <w:rsid w:val="003E0389"/>
    <w:rsid w:val="003E04E3"/>
    <w:rsid w:val="003E125A"/>
    <w:rsid w:val="003E2D72"/>
    <w:rsid w:val="003E34CB"/>
    <w:rsid w:val="003E687C"/>
    <w:rsid w:val="003E71F1"/>
    <w:rsid w:val="003E7F8E"/>
    <w:rsid w:val="003F122A"/>
    <w:rsid w:val="003F1F8D"/>
    <w:rsid w:val="003F2D8E"/>
    <w:rsid w:val="003F3DED"/>
    <w:rsid w:val="003F4427"/>
    <w:rsid w:val="003F4465"/>
    <w:rsid w:val="003F6CD8"/>
    <w:rsid w:val="003F7226"/>
    <w:rsid w:val="003F7476"/>
    <w:rsid w:val="004012B0"/>
    <w:rsid w:val="004018C9"/>
    <w:rsid w:val="00402F8C"/>
    <w:rsid w:val="00403FFD"/>
    <w:rsid w:val="00404379"/>
    <w:rsid w:val="0040711F"/>
    <w:rsid w:val="004100BE"/>
    <w:rsid w:val="00412C9E"/>
    <w:rsid w:val="00413F70"/>
    <w:rsid w:val="0041403A"/>
    <w:rsid w:val="0041617B"/>
    <w:rsid w:val="004211DA"/>
    <w:rsid w:val="0042320A"/>
    <w:rsid w:val="0042388D"/>
    <w:rsid w:val="004270AC"/>
    <w:rsid w:val="00433CDA"/>
    <w:rsid w:val="004350AD"/>
    <w:rsid w:val="00437C2B"/>
    <w:rsid w:val="00442A71"/>
    <w:rsid w:val="004444F5"/>
    <w:rsid w:val="004516BE"/>
    <w:rsid w:val="00455B79"/>
    <w:rsid w:val="00460F7A"/>
    <w:rsid w:val="00461581"/>
    <w:rsid w:val="00463812"/>
    <w:rsid w:val="004641FE"/>
    <w:rsid w:val="004654BB"/>
    <w:rsid w:val="00466F57"/>
    <w:rsid w:val="0046742F"/>
    <w:rsid w:val="00470AD1"/>
    <w:rsid w:val="0047364C"/>
    <w:rsid w:val="004763C3"/>
    <w:rsid w:val="00480723"/>
    <w:rsid w:val="00481727"/>
    <w:rsid w:val="00482AF5"/>
    <w:rsid w:val="0048488B"/>
    <w:rsid w:val="00490CBF"/>
    <w:rsid w:val="00491718"/>
    <w:rsid w:val="0049429E"/>
    <w:rsid w:val="0049748F"/>
    <w:rsid w:val="004A1990"/>
    <w:rsid w:val="004A20D7"/>
    <w:rsid w:val="004A2401"/>
    <w:rsid w:val="004A2DCF"/>
    <w:rsid w:val="004A3006"/>
    <w:rsid w:val="004A3B74"/>
    <w:rsid w:val="004A5C7E"/>
    <w:rsid w:val="004A76BF"/>
    <w:rsid w:val="004B2680"/>
    <w:rsid w:val="004B30FA"/>
    <w:rsid w:val="004B3521"/>
    <w:rsid w:val="004B38F4"/>
    <w:rsid w:val="004B39FC"/>
    <w:rsid w:val="004B4ECA"/>
    <w:rsid w:val="004C05C0"/>
    <w:rsid w:val="004C0E6D"/>
    <w:rsid w:val="004C1AC9"/>
    <w:rsid w:val="004C2086"/>
    <w:rsid w:val="004C2206"/>
    <w:rsid w:val="004C248B"/>
    <w:rsid w:val="004C27C9"/>
    <w:rsid w:val="004C598B"/>
    <w:rsid w:val="004C6257"/>
    <w:rsid w:val="004C6A76"/>
    <w:rsid w:val="004D386A"/>
    <w:rsid w:val="004D4422"/>
    <w:rsid w:val="004E5434"/>
    <w:rsid w:val="004E5470"/>
    <w:rsid w:val="004F1BB5"/>
    <w:rsid w:val="004F1CC9"/>
    <w:rsid w:val="004F1ECA"/>
    <w:rsid w:val="004F43E6"/>
    <w:rsid w:val="00501FFB"/>
    <w:rsid w:val="00505347"/>
    <w:rsid w:val="00505EE2"/>
    <w:rsid w:val="005121D2"/>
    <w:rsid w:val="00512D88"/>
    <w:rsid w:val="00512E36"/>
    <w:rsid w:val="005133FE"/>
    <w:rsid w:val="005201B4"/>
    <w:rsid w:val="005212B1"/>
    <w:rsid w:val="005303C0"/>
    <w:rsid w:val="005314CC"/>
    <w:rsid w:val="00532025"/>
    <w:rsid w:val="005369DB"/>
    <w:rsid w:val="00537D1A"/>
    <w:rsid w:val="0054109A"/>
    <w:rsid w:val="00546355"/>
    <w:rsid w:val="00546DF9"/>
    <w:rsid w:val="00550A29"/>
    <w:rsid w:val="00551CC3"/>
    <w:rsid w:val="005522F2"/>
    <w:rsid w:val="0055289C"/>
    <w:rsid w:val="00554610"/>
    <w:rsid w:val="005548B9"/>
    <w:rsid w:val="00556C1B"/>
    <w:rsid w:val="00557090"/>
    <w:rsid w:val="00560DFE"/>
    <w:rsid w:val="005618F2"/>
    <w:rsid w:val="00561E27"/>
    <w:rsid w:val="005632AF"/>
    <w:rsid w:val="00563407"/>
    <w:rsid w:val="00565BA6"/>
    <w:rsid w:val="0056729F"/>
    <w:rsid w:val="00575057"/>
    <w:rsid w:val="00575A2C"/>
    <w:rsid w:val="00576D11"/>
    <w:rsid w:val="00577636"/>
    <w:rsid w:val="0057793B"/>
    <w:rsid w:val="00577F26"/>
    <w:rsid w:val="00581EEE"/>
    <w:rsid w:val="00582B63"/>
    <w:rsid w:val="00585942"/>
    <w:rsid w:val="00585A76"/>
    <w:rsid w:val="00586BA0"/>
    <w:rsid w:val="00592744"/>
    <w:rsid w:val="0059305C"/>
    <w:rsid w:val="0059307E"/>
    <w:rsid w:val="00593FEC"/>
    <w:rsid w:val="00595142"/>
    <w:rsid w:val="005A575E"/>
    <w:rsid w:val="005A68B9"/>
    <w:rsid w:val="005B0648"/>
    <w:rsid w:val="005B3A2E"/>
    <w:rsid w:val="005C0D7A"/>
    <w:rsid w:val="005C0DEF"/>
    <w:rsid w:val="005C1319"/>
    <w:rsid w:val="005C1F5A"/>
    <w:rsid w:val="005C54BD"/>
    <w:rsid w:val="005C5FCF"/>
    <w:rsid w:val="005C7557"/>
    <w:rsid w:val="005D0C61"/>
    <w:rsid w:val="005D19A3"/>
    <w:rsid w:val="005D349B"/>
    <w:rsid w:val="005D7492"/>
    <w:rsid w:val="005E2606"/>
    <w:rsid w:val="005F10EE"/>
    <w:rsid w:val="005F15ED"/>
    <w:rsid w:val="0060087B"/>
    <w:rsid w:val="00601154"/>
    <w:rsid w:val="006031B6"/>
    <w:rsid w:val="00606784"/>
    <w:rsid w:val="00606F13"/>
    <w:rsid w:val="00612253"/>
    <w:rsid w:val="00614558"/>
    <w:rsid w:val="00615BC3"/>
    <w:rsid w:val="006207D8"/>
    <w:rsid w:val="00621464"/>
    <w:rsid w:val="0062174C"/>
    <w:rsid w:val="0062556F"/>
    <w:rsid w:val="00626701"/>
    <w:rsid w:val="006310AF"/>
    <w:rsid w:val="00632B5A"/>
    <w:rsid w:val="00636AD7"/>
    <w:rsid w:val="00636FA3"/>
    <w:rsid w:val="0063722D"/>
    <w:rsid w:val="0064127B"/>
    <w:rsid w:val="006412EC"/>
    <w:rsid w:val="00641482"/>
    <w:rsid w:val="006415D3"/>
    <w:rsid w:val="006417BB"/>
    <w:rsid w:val="0064206B"/>
    <w:rsid w:val="00642C68"/>
    <w:rsid w:val="0064530E"/>
    <w:rsid w:val="00646D8A"/>
    <w:rsid w:val="00650FF5"/>
    <w:rsid w:val="00652798"/>
    <w:rsid w:val="0065535C"/>
    <w:rsid w:val="00657AD1"/>
    <w:rsid w:val="00660E1C"/>
    <w:rsid w:val="00661133"/>
    <w:rsid w:val="0066536D"/>
    <w:rsid w:val="00667E67"/>
    <w:rsid w:val="00667FB8"/>
    <w:rsid w:val="0067103F"/>
    <w:rsid w:val="00672ED7"/>
    <w:rsid w:val="0067369F"/>
    <w:rsid w:val="00677152"/>
    <w:rsid w:val="00677E84"/>
    <w:rsid w:val="006801AF"/>
    <w:rsid w:val="00687F39"/>
    <w:rsid w:val="006911D4"/>
    <w:rsid w:val="00691A67"/>
    <w:rsid w:val="00693D24"/>
    <w:rsid w:val="00694CA4"/>
    <w:rsid w:val="00695C27"/>
    <w:rsid w:val="0069675C"/>
    <w:rsid w:val="00696D25"/>
    <w:rsid w:val="006A0027"/>
    <w:rsid w:val="006A0423"/>
    <w:rsid w:val="006A04A2"/>
    <w:rsid w:val="006A0EBF"/>
    <w:rsid w:val="006A0F6B"/>
    <w:rsid w:val="006A1B10"/>
    <w:rsid w:val="006A2B69"/>
    <w:rsid w:val="006A3479"/>
    <w:rsid w:val="006A393C"/>
    <w:rsid w:val="006B005A"/>
    <w:rsid w:val="006B04DA"/>
    <w:rsid w:val="006B1791"/>
    <w:rsid w:val="006B2EBA"/>
    <w:rsid w:val="006B44ED"/>
    <w:rsid w:val="006B61F5"/>
    <w:rsid w:val="006C14FF"/>
    <w:rsid w:val="006C3C05"/>
    <w:rsid w:val="006C3F02"/>
    <w:rsid w:val="006D0428"/>
    <w:rsid w:val="006D53E6"/>
    <w:rsid w:val="006D5573"/>
    <w:rsid w:val="006D7286"/>
    <w:rsid w:val="006D7435"/>
    <w:rsid w:val="006E3AEE"/>
    <w:rsid w:val="006E43BD"/>
    <w:rsid w:val="006E48E2"/>
    <w:rsid w:val="006E49EE"/>
    <w:rsid w:val="006F0FA6"/>
    <w:rsid w:val="006F1252"/>
    <w:rsid w:val="006F50DE"/>
    <w:rsid w:val="006F5332"/>
    <w:rsid w:val="006F54E7"/>
    <w:rsid w:val="006F5D6B"/>
    <w:rsid w:val="006F7C9D"/>
    <w:rsid w:val="00700098"/>
    <w:rsid w:val="0070015C"/>
    <w:rsid w:val="00701A28"/>
    <w:rsid w:val="0070390B"/>
    <w:rsid w:val="00704BD2"/>
    <w:rsid w:val="00705B77"/>
    <w:rsid w:val="0070606C"/>
    <w:rsid w:val="00706797"/>
    <w:rsid w:val="00706C5D"/>
    <w:rsid w:val="00715FBC"/>
    <w:rsid w:val="00716DA8"/>
    <w:rsid w:val="0072022A"/>
    <w:rsid w:val="00720591"/>
    <w:rsid w:val="00725B3A"/>
    <w:rsid w:val="00726D72"/>
    <w:rsid w:val="00726F76"/>
    <w:rsid w:val="00731AFF"/>
    <w:rsid w:val="00732A76"/>
    <w:rsid w:val="007358BA"/>
    <w:rsid w:val="00735C75"/>
    <w:rsid w:val="00737502"/>
    <w:rsid w:val="0074164C"/>
    <w:rsid w:val="00741AB4"/>
    <w:rsid w:val="00744208"/>
    <w:rsid w:val="00745117"/>
    <w:rsid w:val="00747961"/>
    <w:rsid w:val="0075046C"/>
    <w:rsid w:val="00752149"/>
    <w:rsid w:val="00753E37"/>
    <w:rsid w:val="007541AB"/>
    <w:rsid w:val="007547D0"/>
    <w:rsid w:val="007552B5"/>
    <w:rsid w:val="00757E24"/>
    <w:rsid w:val="007610B5"/>
    <w:rsid w:val="00761A9A"/>
    <w:rsid w:val="00762AF6"/>
    <w:rsid w:val="00762E48"/>
    <w:rsid w:val="00765CEC"/>
    <w:rsid w:val="00765DEB"/>
    <w:rsid w:val="00771E94"/>
    <w:rsid w:val="007725A3"/>
    <w:rsid w:val="0077538B"/>
    <w:rsid w:val="007769CB"/>
    <w:rsid w:val="00782E8E"/>
    <w:rsid w:val="00784AA2"/>
    <w:rsid w:val="00785727"/>
    <w:rsid w:val="00794566"/>
    <w:rsid w:val="0079742F"/>
    <w:rsid w:val="007A28EC"/>
    <w:rsid w:val="007A2AAF"/>
    <w:rsid w:val="007A7C55"/>
    <w:rsid w:val="007B0005"/>
    <w:rsid w:val="007B242B"/>
    <w:rsid w:val="007B37BF"/>
    <w:rsid w:val="007B3A71"/>
    <w:rsid w:val="007B3E62"/>
    <w:rsid w:val="007B4973"/>
    <w:rsid w:val="007B4A8F"/>
    <w:rsid w:val="007B66E8"/>
    <w:rsid w:val="007C484E"/>
    <w:rsid w:val="007D0A72"/>
    <w:rsid w:val="007D0FDA"/>
    <w:rsid w:val="007D1FCB"/>
    <w:rsid w:val="007D28E9"/>
    <w:rsid w:val="007D4A02"/>
    <w:rsid w:val="007D4DD6"/>
    <w:rsid w:val="007D6655"/>
    <w:rsid w:val="007D75C5"/>
    <w:rsid w:val="007E0029"/>
    <w:rsid w:val="007E0E62"/>
    <w:rsid w:val="007E22A9"/>
    <w:rsid w:val="007E7369"/>
    <w:rsid w:val="007F3BB0"/>
    <w:rsid w:val="007F542C"/>
    <w:rsid w:val="007F6A33"/>
    <w:rsid w:val="007F73A9"/>
    <w:rsid w:val="008033D3"/>
    <w:rsid w:val="00805360"/>
    <w:rsid w:val="00807B98"/>
    <w:rsid w:val="00807D3B"/>
    <w:rsid w:val="008130D2"/>
    <w:rsid w:val="00813837"/>
    <w:rsid w:val="00814F1D"/>
    <w:rsid w:val="00816696"/>
    <w:rsid w:val="00816B84"/>
    <w:rsid w:val="00817FAD"/>
    <w:rsid w:val="00820D75"/>
    <w:rsid w:val="00821A7D"/>
    <w:rsid w:val="00825918"/>
    <w:rsid w:val="00826D61"/>
    <w:rsid w:val="00827F90"/>
    <w:rsid w:val="0083183F"/>
    <w:rsid w:val="00832450"/>
    <w:rsid w:val="008334AA"/>
    <w:rsid w:val="0083550D"/>
    <w:rsid w:val="0083695A"/>
    <w:rsid w:val="00836D2C"/>
    <w:rsid w:val="00836F5A"/>
    <w:rsid w:val="00840B65"/>
    <w:rsid w:val="00840D84"/>
    <w:rsid w:val="008444B1"/>
    <w:rsid w:val="0084546C"/>
    <w:rsid w:val="00847B8C"/>
    <w:rsid w:val="00851E63"/>
    <w:rsid w:val="00852900"/>
    <w:rsid w:val="0085389E"/>
    <w:rsid w:val="008560E8"/>
    <w:rsid w:val="00856B0B"/>
    <w:rsid w:val="00857276"/>
    <w:rsid w:val="00864B72"/>
    <w:rsid w:val="00865318"/>
    <w:rsid w:val="00867C44"/>
    <w:rsid w:val="00871369"/>
    <w:rsid w:val="0087160C"/>
    <w:rsid w:val="00871AEF"/>
    <w:rsid w:val="008723A5"/>
    <w:rsid w:val="008747DD"/>
    <w:rsid w:val="0087636D"/>
    <w:rsid w:val="00884775"/>
    <w:rsid w:val="00884969"/>
    <w:rsid w:val="00890868"/>
    <w:rsid w:val="0089360B"/>
    <w:rsid w:val="0089469A"/>
    <w:rsid w:val="00894AE4"/>
    <w:rsid w:val="0089719A"/>
    <w:rsid w:val="008A29C8"/>
    <w:rsid w:val="008A3779"/>
    <w:rsid w:val="008A42F2"/>
    <w:rsid w:val="008A46D5"/>
    <w:rsid w:val="008A694D"/>
    <w:rsid w:val="008A731E"/>
    <w:rsid w:val="008A7F98"/>
    <w:rsid w:val="008B266B"/>
    <w:rsid w:val="008B4344"/>
    <w:rsid w:val="008B6816"/>
    <w:rsid w:val="008B69D0"/>
    <w:rsid w:val="008C0006"/>
    <w:rsid w:val="008C0706"/>
    <w:rsid w:val="008C0B79"/>
    <w:rsid w:val="008C5FCA"/>
    <w:rsid w:val="008C7998"/>
    <w:rsid w:val="008D05D9"/>
    <w:rsid w:val="008D0F98"/>
    <w:rsid w:val="008D1A4E"/>
    <w:rsid w:val="008D3290"/>
    <w:rsid w:val="008D335A"/>
    <w:rsid w:val="008D5004"/>
    <w:rsid w:val="008E4350"/>
    <w:rsid w:val="008E55AA"/>
    <w:rsid w:val="008E581F"/>
    <w:rsid w:val="008E710B"/>
    <w:rsid w:val="008F053B"/>
    <w:rsid w:val="008F1556"/>
    <w:rsid w:val="008F1DD8"/>
    <w:rsid w:val="008F50F9"/>
    <w:rsid w:val="008F60DE"/>
    <w:rsid w:val="009010C4"/>
    <w:rsid w:val="00903D76"/>
    <w:rsid w:val="00904C8C"/>
    <w:rsid w:val="00912E10"/>
    <w:rsid w:val="00913705"/>
    <w:rsid w:val="009148C7"/>
    <w:rsid w:val="009150A6"/>
    <w:rsid w:val="009225E3"/>
    <w:rsid w:val="00922678"/>
    <w:rsid w:val="00923607"/>
    <w:rsid w:val="0093050D"/>
    <w:rsid w:val="009305C8"/>
    <w:rsid w:val="00931F35"/>
    <w:rsid w:val="00933C60"/>
    <w:rsid w:val="009419B8"/>
    <w:rsid w:val="009463C3"/>
    <w:rsid w:val="00946B59"/>
    <w:rsid w:val="00946BCC"/>
    <w:rsid w:val="00950931"/>
    <w:rsid w:val="0095097A"/>
    <w:rsid w:val="009515D3"/>
    <w:rsid w:val="00952D1D"/>
    <w:rsid w:val="00952EC3"/>
    <w:rsid w:val="00953CDD"/>
    <w:rsid w:val="00957749"/>
    <w:rsid w:val="00960F82"/>
    <w:rsid w:val="00961B70"/>
    <w:rsid w:val="00963A49"/>
    <w:rsid w:val="0096738C"/>
    <w:rsid w:val="009677E4"/>
    <w:rsid w:val="00967D47"/>
    <w:rsid w:val="00971A6B"/>
    <w:rsid w:val="00973AC7"/>
    <w:rsid w:val="00981D18"/>
    <w:rsid w:val="00982FBC"/>
    <w:rsid w:val="00983337"/>
    <w:rsid w:val="0099017F"/>
    <w:rsid w:val="0099395B"/>
    <w:rsid w:val="009958EA"/>
    <w:rsid w:val="00996FBA"/>
    <w:rsid w:val="009A4C41"/>
    <w:rsid w:val="009A54C7"/>
    <w:rsid w:val="009A78AD"/>
    <w:rsid w:val="009B2C2F"/>
    <w:rsid w:val="009B3418"/>
    <w:rsid w:val="009B65C3"/>
    <w:rsid w:val="009B7141"/>
    <w:rsid w:val="009C2E13"/>
    <w:rsid w:val="009C5959"/>
    <w:rsid w:val="009C707B"/>
    <w:rsid w:val="009C78CA"/>
    <w:rsid w:val="009D067C"/>
    <w:rsid w:val="009D083A"/>
    <w:rsid w:val="009D3CBE"/>
    <w:rsid w:val="009D61E2"/>
    <w:rsid w:val="009D76C1"/>
    <w:rsid w:val="009D7E8F"/>
    <w:rsid w:val="009E1F4F"/>
    <w:rsid w:val="009E470E"/>
    <w:rsid w:val="009E5127"/>
    <w:rsid w:val="009E666F"/>
    <w:rsid w:val="009F5830"/>
    <w:rsid w:val="009F58BC"/>
    <w:rsid w:val="009F7030"/>
    <w:rsid w:val="009F7B3C"/>
    <w:rsid w:val="00A01B7A"/>
    <w:rsid w:val="00A04D34"/>
    <w:rsid w:val="00A05096"/>
    <w:rsid w:val="00A11C9C"/>
    <w:rsid w:val="00A11EB6"/>
    <w:rsid w:val="00A127D9"/>
    <w:rsid w:val="00A134DF"/>
    <w:rsid w:val="00A141A0"/>
    <w:rsid w:val="00A206F4"/>
    <w:rsid w:val="00A256F4"/>
    <w:rsid w:val="00A25BBA"/>
    <w:rsid w:val="00A26383"/>
    <w:rsid w:val="00A37A37"/>
    <w:rsid w:val="00A41C1B"/>
    <w:rsid w:val="00A42F92"/>
    <w:rsid w:val="00A43A9A"/>
    <w:rsid w:val="00A47D50"/>
    <w:rsid w:val="00A47FA2"/>
    <w:rsid w:val="00A52680"/>
    <w:rsid w:val="00A575BA"/>
    <w:rsid w:val="00A61C52"/>
    <w:rsid w:val="00A62049"/>
    <w:rsid w:val="00A628DB"/>
    <w:rsid w:val="00A64BCF"/>
    <w:rsid w:val="00A65D89"/>
    <w:rsid w:val="00A715F4"/>
    <w:rsid w:val="00A735BF"/>
    <w:rsid w:val="00A81FCE"/>
    <w:rsid w:val="00A82168"/>
    <w:rsid w:val="00A910B3"/>
    <w:rsid w:val="00A928B9"/>
    <w:rsid w:val="00A946AE"/>
    <w:rsid w:val="00A954DA"/>
    <w:rsid w:val="00AA2B16"/>
    <w:rsid w:val="00AA5ED2"/>
    <w:rsid w:val="00AB1771"/>
    <w:rsid w:val="00AB32A2"/>
    <w:rsid w:val="00AB4B8C"/>
    <w:rsid w:val="00AB64A8"/>
    <w:rsid w:val="00AC13B3"/>
    <w:rsid w:val="00AC78B5"/>
    <w:rsid w:val="00AD0D67"/>
    <w:rsid w:val="00AD1D22"/>
    <w:rsid w:val="00AD2BD5"/>
    <w:rsid w:val="00AD2C13"/>
    <w:rsid w:val="00AD4A8C"/>
    <w:rsid w:val="00AD5E53"/>
    <w:rsid w:val="00AE03FD"/>
    <w:rsid w:val="00AE0830"/>
    <w:rsid w:val="00AE1C32"/>
    <w:rsid w:val="00AE23E6"/>
    <w:rsid w:val="00AE31EC"/>
    <w:rsid w:val="00AE5902"/>
    <w:rsid w:val="00AE7B62"/>
    <w:rsid w:val="00AF0EE1"/>
    <w:rsid w:val="00AF1183"/>
    <w:rsid w:val="00AF2A2B"/>
    <w:rsid w:val="00AF3079"/>
    <w:rsid w:val="00AF4A95"/>
    <w:rsid w:val="00AF4FE4"/>
    <w:rsid w:val="00B01D8A"/>
    <w:rsid w:val="00B02327"/>
    <w:rsid w:val="00B026A2"/>
    <w:rsid w:val="00B07189"/>
    <w:rsid w:val="00B1062C"/>
    <w:rsid w:val="00B10E55"/>
    <w:rsid w:val="00B1337A"/>
    <w:rsid w:val="00B234F4"/>
    <w:rsid w:val="00B26C5E"/>
    <w:rsid w:val="00B31201"/>
    <w:rsid w:val="00B32197"/>
    <w:rsid w:val="00B324CC"/>
    <w:rsid w:val="00B343EE"/>
    <w:rsid w:val="00B356F3"/>
    <w:rsid w:val="00B369B7"/>
    <w:rsid w:val="00B37D60"/>
    <w:rsid w:val="00B4127A"/>
    <w:rsid w:val="00B440A4"/>
    <w:rsid w:val="00B4439C"/>
    <w:rsid w:val="00B473C5"/>
    <w:rsid w:val="00B50711"/>
    <w:rsid w:val="00B51ABB"/>
    <w:rsid w:val="00B53F97"/>
    <w:rsid w:val="00B55787"/>
    <w:rsid w:val="00B56191"/>
    <w:rsid w:val="00B56289"/>
    <w:rsid w:val="00B570B9"/>
    <w:rsid w:val="00B621D8"/>
    <w:rsid w:val="00B62EDB"/>
    <w:rsid w:val="00B63113"/>
    <w:rsid w:val="00B64EA6"/>
    <w:rsid w:val="00B663A6"/>
    <w:rsid w:val="00B66DD6"/>
    <w:rsid w:val="00B71D42"/>
    <w:rsid w:val="00B722BB"/>
    <w:rsid w:val="00B73733"/>
    <w:rsid w:val="00B756CA"/>
    <w:rsid w:val="00B76BE0"/>
    <w:rsid w:val="00B77DBD"/>
    <w:rsid w:val="00B85109"/>
    <w:rsid w:val="00B86AB5"/>
    <w:rsid w:val="00B87C71"/>
    <w:rsid w:val="00B903F4"/>
    <w:rsid w:val="00B906E5"/>
    <w:rsid w:val="00BA4541"/>
    <w:rsid w:val="00BA53AC"/>
    <w:rsid w:val="00BA5E29"/>
    <w:rsid w:val="00BA7ED4"/>
    <w:rsid w:val="00BB0001"/>
    <w:rsid w:val="00BB169F"/>
    <w:rsid w:val="00BB41F9"/>
    <w:rsid w:val="00BB56D4"/>
    <w:rsid w:val="00BB6367"/>
    <w:rsid w:val="00BB654E"/>
    <w:rsid w:val="00BB680A"/>
    <w:rsid w:val="00BC19EF"/>
    <w:rsid w:val="00BC254C"/>
    <w:rsid w:val="00BC4717"/>
    <w:rsid w:val="00BC6C0A"/>
    <w:rsid w:val="00BD0305"/>
    <w:rsid w:val="00BD069A"/>
    <w:rsid w:val="00BD0815"/>
    <w:rsid w:val="00BD2813"/>
    <w:rsid w:val="00BD4D80"/>
    <w:rsid w:val="00BD5B5E"/>
    <w:rsid w:val="00BD6C2F"/>
    <w:rsid w:val="00BD7700"/>
    <w:rsid w:val="00BE11C9"/>
    <w:rsid w:val="00BF1AAD"/>
    <w:rsid w:val="00BF3B5E"/>
    <w:rsid w:val="00BF5058"/>
    <w:rsid w:val="00BF5EE1"/>
    <w:rsid w:val="00C02E22"/>
    <w:rsid w:val="00C045C0"/>
    <w:rsid w:val="00C10322"/>
    <w:rsid w:val="00C12F15"/>
    <w:rsid w:val="00C1346F"/>
    <w:rsid w:val="00C14983"/>
    <w:rsid w:val="00C2118B"/>
    <w:rsid w:val="00C232D2"/>
    <w:rsid w:val="00C2513C"/>
    <w:rsid w:val="00C26333"/>
    <w:rsid w:val="00C2650B"/>
    <w:rsid w:val="00C30DE1"/>
    <w:rsid w:val="00C33296"/>
    <w:rsid w:val="00C35475"/>
    <w:rsid w:val="00C36525"/>
    <w:rsid w:val="00C3678C"/>
    <w:rsid w:val="00C408D1"/>
    <w:rsid w:val="00C41976"/>
    <w:rsid w:val="00C4289F"/>
    <w:rsid w:val="00C44B97"/>
    <w:rsid w:val="00C4574E"/>
    <w:rsid w:val="00C45B0F"/>
    <w:rsid w:val="00C45F6C"/>
    <w:rsid w:val="00C52886"/>
    <w:rsid w:val="00C52925"/>
    <w:rsid w:val="00C52CB9"/>
    <w:rsid w:val="00C53A89"/>
    <w:rsid w:val="00C54749"/>
    <w:rsid w:val="00C54994"/>
    <w:rsid w:val="00C573A7"/>
    <w:rsid w:val="00C62D56"/>
    <w:rsid w:val="00C63415"/>
    <w:rsid w:val="00C63CCC"/>
    <w:rsid w:val="00C6423F"/>
    <w:rsid w:val="00C708AC"/>
    <w:rsid w:val="00C70CCD"/>
    <w:rsid w:val="00C71267"/>
    <w:rsid w:val="00C740DC"/>
    <w:rsid w:val="00C778F4"/>
    <w:rsid w:val="00C77BCF"/>
    <w:rsid w:val="00C80E24"/>
    <w:rsid w:val="00C81567"/>
    <w:rsid w:val="00C829CB"/>
    <w:rsid w:val="00C84BD1"/>
    <w:rsid w:val="00C85586"/>
    <w:rsid w:val="00C85A78"/>
    <w:rsid w:val="00C86F79"/>
    <w:rsid w:val="00C91DF2"/>
    <w:rsid w:val="00C94544"/>
    <w:rsid w:val="00CA0EEC"/>
    <w:rsid w:val="00CA1801"/>
    <w:rsid w:val="00CA5DA9"/>
    <w:rsid w:val="00CA71E0"/>
    <w:rsid w:val="00CB4824"/>
    <w:rsid w:val="00CC10B7"/>
    <w:rsid w:val="00CC1A7A"/>
    <w:rsid w:val="00CC4340"/>
    <w:rsid w:val="00CC4A75"/>
    <w:rsid w:val="00CD120D"/>
    <w:rsid w:val="00CD25DF"/>
    <w:rsid w:val="00CD4BEB"/>
    <w:rsid w:val="00CD4BFC"/>
    <w:rsid w:val="00CD4F70"/>
    <w:rsid w:val="00CD50B8"/>
    <w:rsid w:val="00CE1E49"/>
    <w:rsid w:val="00CE3EE6"/>
    <w:rsid w:val="00CE5F0A"/>
    <w:rsid w:val="00CE666E"/>
    <w:rsid w:val="00CE6B91"/>
    <w:rsid w:val="00CE7B9E"/>
    <w:rsid w:val="00CF07BC"/>
    <w:rsid w:val="00CF3A3B"/>
    <w:rsid w:val="00CF4A4B"/>
    <w:rsid w:val="00CF5240"/>
    <w:rsid w:val="00D00FC7"/>
    <w:rsid w:val="00D03CD9"/>
    <w:rsid w:val="00D0407F"/>
    <w:rsid w:val="00D1189F"/>
    <w:rsid w:val="00D12222"/>
    <w:rsid w:val="00D1241B"/>
    <w:rsid w:val="00D13063"/>
    <w:rsid w:val="00D15ACD"/>
    <w:rsid w:val="00D1651A"/>
    <w:rsid w:val="00D20380"/>
    <w:rsid w:val="00D204BC"/>
    <w:rsid w:val="00D32A7E"/>
    <w:rsid w:val="00D37F05"/>
    <w:rsid w:val="00D40794"/>
    <w:rsid w:val="00D40BB9"/>
    <w:rsid w:val="00D4304A"/>
    <w:rsid w:val="00D4796A"/>
    <w:rsid w:val="00D52748"/>
    <w:rsid w:val="00D547F4"/>
    <w:rsid w:val="00D5541A"/>
    <w:rsid w:val="00D570E4"/>
    <w:rsid w:val="00D60A3E"/>
    <w:rsid w:val="00D61B70"/>
    <w:rsid w:val="00D72CF8"/>
    <w:rsid w:val="00D730A4"/>
    <w:rsid w:val="00D748E4"/>
    <w:rsid w:val="00D74B9C"/>
    <w:rsid w:val="00D80E88"/>
    <w:rsid w:val="00D81EE7"/>
    <w:rsid w:val="00D822D1"/>
    <w:rsid w:val="00D86DED"/>
    <w:rsid w:val="00D86F70"/>
    <w:rsid w:val="00D90DD8"/>
    <w:rsid w:val="00D90E58"/>
    <w:rsid w:val="00D91B7C"/>
    <w:rsid w:val="00D9234F"/>
    <w:rsid w:val="00D94EF9"/>
    <w:rsid w:val="00D95287"/>
    <w:rsid w:val="00D973B6"/>
    <w:rsid w:val="00D97856"/>
    <w:rsid w:val="00DA0D8C"/>
    <w:rsid w:val="00DA2D59"/>
    <w:rsid w:val="00DA3253"/>
    <w:rsid w:val="00DA52DA"/>
    <w:rsid w:val="00DA6075"/>
    <w:rsid w:val="00DA7280"/>
    <w:rsid w:val="00DB0B12"/>
    <w:rsid w:val="00DB16FC"/>
    <w:rsid w:val="00DB1B04"/>
    <w:rsid w:val="00DB23DA"/>
    <w:rsid w:val="00DB4CE3"/>
    <w:rsid w:val="00DB5326"/>
    <w:rsid w:val="00DB7BA4"/>
    <w:rsid w:val="00DC00F4"/>
    <w:rsid w:val="00DC18DE"/>
    <w:rsid w:val="00DC19CB"/>
    <w:rsid w:val="00DC4233"/>
    <w:rsid w:val="00DD17A5"/>
    <w:rsid w:val="00DD19D5"/>
    <w:rsid w:val="00DD4034"/>
    <w:rsid w:val="00DD57EA"/>
    <w:rsid w:val="00DE175C"/>
    <w:rsid w:val="00DE349C"/>
    <w:rsid w:val="00DE5377"/>
    <w:rsid w:val="00DE58EB"/>
    <w:rsid w:val="00DE6337"/>
    <w:rsid w:val="00DE6E02"/>
    <w:rsid w:val="00DE7953"/>
    <w:rsid w:val="00DF0F07"/>
    <w:rsid w:val="00DF1CA4"/>
    <w:rsid w:val="00DF3BED"/>
    <w:rsid w:val="00DF3ED0"/>
    <w:rsid w:val="00DF501B"/>
    <w:rsid w:val="00E014D2"/>
    <w:rsid w:val="00E01A05"/>
    <w:rsid w:val="00E044F1"/>
    <w:rsid w:val="00E04E96"/>
    <w:rsid w:val="00E11D09"/>
    <w:rsid w:val="00E11E1E"/>
    <w:rsid w:val="00E12A4B"/>
    <w:rsid w:val="00E13264"/>
    <w:rsid w:val="00E147BC"/>
    <w:rsid w:val="00E15FE2"/>
    <w:rsid w:val="00E160EC"/>
    <w:rsid w:val="00E16D71"/>
    <w:rsid w:val="00E20623"/>
    <w:rsid w:val="00E208B2"/>
    <w:rsid w:val="00E21971"/>
    <w:rsid w:val="00E22AA6"/>
    <w:rsid w:val="00E22B98"/>
    <w:rsid w:val="00E260A9"/>
    <w:rsid w:val="00E2718A"/>
    <w:rsid w:val="00E27881"/>
    <w:rsid w:val="00E32907"/>
    <w:rsid w:val="00E33876"/>
    <w:rsid w:val="00E3493D"/>
    <w:rsid w:val="00E40DAB"/>
    <w:rsid w:val="00E4643F"/>
    <w:rsid w:val="00E51408"/>
    <w:rsid w:val="00E514E4"/>
    <w:rsid w:val="00E5333A"/>
    <w:rsid w:val="00E57455"/>
    <w:rsid w:val="00E6029B"/>
    <w:rsid w:val="00E61D18"/>
    <w:rsid w:val="00E66E6E"/>
    <w:rsid w:val="00E67AC1"/>
    <w:rsid w:val="00E70030"/>
    <w:rsid w:val="00E709B4"/>
    <w:rsid w:val="00E710C1"/>
    <w:rsid w:val="00E71108"/>
    <w:rsid w:val="00E72DA1"/>
    <w:rsid w:val="00E73929"/>
    <w:rsid w:val="00E761E2"/>
    <w:rsid w:val="00E76BFB"/>
    <w:rsid w:val="00E82570"/>
    <w:rsid w:val="00E8472D"/>
    <w:rsid w:val="00E90FD7"/>
    <w:rsid w:val="00E9121E"/>
    <w:rsid w:val="00E91528"/>
    <w:rsid w:val="00E92D22"/>
    <w:rsid w:val="00E9318C"/>
    <w:rsid w:val="00E960C3"/>
    <w:rsid w:val="00EA259F"/>
    <w:rsid w:val="00EA6902"/>
    <w:rsid w:val="00EB0DD4"/>
    <w:rsid w:val="00EB10BB"/>
    <w:rsid w:val="00EB2118"/>
    <w:rsid w:val="00EB3F63"/>
    <w:rsid w:val="00EB41B3"/>
    <w:rsid w:val="00EB42CD"/>
    <w:rsid w:val="00EB65E4"/>
    <w:rsid w:val="00EC078D"/>
    <w:rsid w:val="00EC1A9F"/>
    <w:rsid w:val="00EC2019"/>
    <w:rsid w:val="00EC224D"/>
    <w:rsid w:val="00EC5D56"/>
    <w:rsid w:val="00EC6627"/>
    <w:rsid w:val="00EC70F6"/>
    <w:rsid w:val="00EC7B8B"/>
    <w:rsid w:val="00ED395B"/>
    <w:rsid w:val="00ED3B99"/>
    <w:rsid w:val="00ED3BAA"/>
    <w:rsid w:val="00ED3DD5"/>
    <w:rsid w:val="00ED54C9"/>
    <w:rsid w:val="00ED6591"/>
    <w:rsid w:val="00ED7333"/>
    <w:rsid w:val="00ED78CB"/>
    <w:rsid w:val="00EE07ED"/>
    <w:rsid w:val="00EE2C36"/>
    <w:rsid w:val="00EE2F04"/>
    <w:rsid w:val="00EE3AFC"/>
    <w:rsid w:val="00EE5855"/>
    <w:rsid w:val="00EE58A8"/>
    <w:rsid w:val="00EE5A9C"/>
    <w:rsid w:val="00EF0AEC"/>
    <w:rsid w:val="00EF6E3F"/>
    <w:rsid w:val="00F002B9"/>
    <w:rsid w:val="00F003F4"/>
    <w:rsid w:val="00F020E3"/>
    <w:rsid w:val="00F07A36"/>
    <w:rsid w:val="00F10873"/>
    <w:rsid w:val="00F1199E"/>
    <w:rsid w:val="00F11DBA"/>
    <w:rsid w:val="00F11E54"/>
    <w:rsid w:val="00F13062"/>
    <w:rsid w:val="00F1402A"/>
    <w:rsid w:val="00F15437"/>
    <w:rsid w:val="00F167DD"/>
    <w:rsid w:val="00F17B2A"/>
    <w:rsid w:val="00F23A04"/>
    <w:rsid w:val="00F2425E"/>
    <w:rsid w:val="00F25991"/>
    <w:rsid w:val="00F30E5A"/>
    <w:rsid w:val="00F3499F"/>
    <w:rsid w:val="00F35441"/>
    <w:rsid w:val="00F37AD1"/>
    <w:rsid w:val="00F50CAD"/>
    <w:rsid w:val="00F53787"/>
    <w:rsid w:val="00F56CBD"/>
    <w:rsid w:val="00F63367"/>
    <w:rsid w:val="00F64416"/>
    <w:rsid w:val="00F64CD8"/>
    <w:rsid w:val="00F657BA"/>
    <w:rsid w:val="00F6685F"/>
    <w:rsid w:val="00F66A01"/>
    <w:rsid w:val="00F66A1D"/>
    <w:rsid w:val="00F7015B"/>
    <w:rsid w:val="00F72609"/>
    <w:rsid w:val="00F73729"/>
    <w:rsid w:val="00F73C89"/>
    <w:rsid w:val="00F74308"/>
    <w:rsid w:val="00F75C21"/>
    <w:rsid w:val="00F76EC1"/>
    <w:rsid w:val="00F81C35"/>
    <w:rsid w:val="00F9115A"/>
    <w:rsid w:val="00F92D28"/>
    <w:rsid w:val="00F938E7"/>
    <w:rsid w:val="00F9541E"/>
    <w:rsid w:val="00F95A9A"/>
    <w:rsid w:val="00F95ACC"/>
    <w:rsid w:val="00FA0B34"/>
    <w:rsid w:val="00FA19DE"/>
    <w:rsid w:val="00FA27FA"/>
    <w:rsid w:val="00FA51EE"/>
    <w:rsid w:val="00FA79A3"/>
    <w:rsid w:val="00FB3A4D"/>
    <w:rsid w:val="00FB5028"/>
    <w:rsid w:val="00FB52FF"/>
    <w:rsid w:val="00FB6521"/>
    <w:rsid w:val="00FC130F"/>
    <w:rsid w:val="00FC1768"/>
    <w:rsid w:val="00FC1C8E"/>
    <w:rsid w:val="00FC2164"/>
    <w:rsid w:val="00FC34F4"/>
    <w:rsid w:val="00FC722D"/>
    <w:rsid w:val="00FD24D5"/>
    <w:rsid w:val="00FD28A2"/>
    <w:rsid w:val="00FD3A0B"/>
    <w:rsid w:val="00FD50DE"/>
    <w:rsid w:val="00FD6970"/>
    <w:rsid w:val="00FE1A5C"/>
    <w:rsid w:val="00FE5C22"/>
    <w:rsid w:val="00FE6175"/>
    <w:rsid w:val="00FF39F5"/>
    <w:rsid w:val="00FF4BC7"/>
    <w:rsid w:val="00FF5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6AE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gregory.kwa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hyperlink" Target="http://licensing.fcc.gov/cgi-bin/ws.exe/prod/ib/forms/reports/swr031b.hts?q_set=V_SITE_ANTENNA_FREQ.file_numberC/File+Number/%3D/ITC2141995083100047&amp;prepare=&amp;column=V_SITE_ANTENNA_FREQ.file_numberC/File+Number" TargetMode="External" /><Relationship Id="rId15" Type="http://schemas.openxmlformats.org/officeDocument/2006/relationships/hyperlink" Target="http://licensing.fcc.gov/cgi-bin/ws.exe/prod/ib/forms/reports/swr031b.hts?q_set=V_SITE_ANTENNA_FREQ.file_numberC/File+Number/%3D/ITC2141997070300372&amp;prepare=&amp;column=V_SITE_ANTENNA_FREQ.file_numberC/File+Number" TargetMode="External" /><Relationship Id="rId16" Type="http://schemas.openxmlformats.org/officeDocument/2006/relationships/footer" Target="footer3.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http://licensing.fcc.gov/myibf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