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77777777">
      <w:pPr>
        <w:jc w:val="right"/>
        <w:rPr>
          <w:sz w:val="24"/>
          <w:szCs w:val="24"/>
        </w:rPr>
      </w:pPr>
      <w:r w:rsidRPr="00B02A93">
        <w:rPr>
          <w:sz w:val="24"/>
          <w:szCs w:val="24"/>
        </w:rPr>
        <w:t xml:space="preserve"> </w:t>
      </w:r>
    </w:p>
    <w:p w:rsidR="005614FA" w:rsidRPr="00B02A93" w:rsidP="005614FA" w14:paraId="3E24FDAA" w14:textId="42AF2548">
      <w:pPr>
        <w:widowControl/>
        <w:suppressAutoHyphens/>
        <w:jc w:val="right"/>
        <w:rPr>
          <w:b/>
        </w:rPr>
      </w:pPr>
      <w:r w:rsidRPr="00B02A93">
        <w:rPr>
          <w:b/>
        </w:rPr>
        <w:t>DA 2</w:t>
      </w:r>
      <w:r w:rsidRPr="00B02A93" w:rsidR="001E397D">
        <w:rPr>
          <w:b/>
        </w:rPr>
        <w:t>1-</w:t>
      </w:r>
      <w:r w:rsidR="00A85063">
        <w:rPr>
          <w:b/>
        </w:rPr>
        <w:t>1205</w:t>
      </w:r>
    </w:p>
    <w:p w:rsidR="005614FA" w:rsidRPr="00B02A93" w:rsidP="005614FA" w14:paraId="2C244092" w14:textId="3FC14253">
      <w:pPr>
        <w:widowControl/>
        <w:suppressAutoHyphens/>
        <w:spacing w:after="240"/>
        <w:jc w:val="right"/>
        <w:rPr>
          <w:b/>
        </w:rPr>
      </w:pPr>
      <w:r w:rsidRPr="00B02A93">
        <w:rPr>
          <w:b/>
        </w:rPr>
        <w:t xml:space="preserve">Released:  </w:t>
      </w:r>
      <w:r w:rsidR="00663CEB">
        <w:rPr>
          <w:b/>
        </w:rPr>
        <w:t>September</w:t>
      </w:r>
      <w:r w:rsidR="00C84CB7">
        <w:rPr>
          <w:b/>
        </w:rPr>
        <w:t xml:space="preserve"> </w:t>
      </w:r>
      <w:r w:rsidR="00025BD1">
        <w:rPr>
          <w:b/>
        </w:rPr>
        <w:t>24</w:t>
      </w:r>
      <w:r w:rsidRPr="00B02A93">
        <w:rPr>
          <w:b/>
        </w:rPr>
        <w:t>, 202</w:t>
      </w:r>
      <w:r w:rsidRPr="00B02A93" w:rsidR="001E397D">
        <w:rPr>
          <w:b/>
        </w:rPr>
        <w:t>1</w:t>
      </w:r>
    </w:p>
    <w:p w:rsidR="00242F44" w:rsidRPr="00B02A93" w:rsidP="005614FA" w14:paraId="05CDE467" w14:textId="6985FCFC">
      <w:pPr>
        <w:autoSpaceDE w:val="0"/>
        <w:autoSpaceDN w:val="0"/>
        <w:adjustRightInd w:val="0"/>
        <w:jc w:val="center"/>
        <w:rPr>
          <w:b/>
          <w:szCs w:val="22"/>
        </w:rPr>
      </w:pPr>
      <w:r w:rsidRPr="00B02A93">
        <w:rPr>
          <w:b/>
          <w:szCs w:val="22"/>
        </w:rPr>
        <w:t xml:space="preserve">DOMESTIC </w:t>
      </w:r>
      <w:r w:rsidR="003A2225">
        <w:rPr>
          <w:b/>
          <w:szCs w:val="22"/>
        </w:rPr>
        <w:t xml:space="preserve">SECTION </w:t>
      </w:r>
      <w:r w:rsidRPr="00B02A93">
        <w:rPr>
          <w:b/>
          <w:szCs w:val="22"/>
        </w:rPr>
        <w:t xml:space="preserve">214 </w:t>
      </w:r>
      <w:r w:rsidRPr="00B02A93" w:rsidR="00C31891">
        <w:rPr>
          <w:b/>
          <w:szCs w:val="22"/>
        </w:rPr>
        <w:t>APPLICATION</w:t>
      </w:r>
      <w:r w:rsidRPr="00B02A93" w:rsidR="0054043D">
        <w:rPr>
          <w:b/>
          <w:szCs w:val="22"/>
        </w:rPr>
        <w:t xml:space="preserve"> G</w:t>
      </w:r>
      <w:r w:rsidRPr="00B02A93" w:rsidR="00C31891">
        <w:rPr>
          <w:b/>
          <w:szCs w:val="22"/>
        </w:rPr>
        <w:t xml:space="preserve">RANTED FOR </w:t>
      </w:r>
    </w:p>
    <w:p w:rsidR="00C84CB7" w:rsidP="00C84CB7" w14:paraId="2D32B665" w14:textId="77777777">
      <w:pPr>
        <w:jc w:val="center"/>
        <w:rPr>
          <w:b/>
          <w:bCs/>
          <w:szCs w:val="22"/>
        </w:rPr>
      </w:pPr>
      <w:r w:rsidRPr="00B02A93">
        <w:rPr>
          <w:b/>
          <w:szCs w:val="22"/>
        </w:rPr>
        <w:t xml:space="preserve">THE TRANSFER OF CONTROL OF </w:t>
      </w:r>
      <w:r>
        <w:rPr>
          <w:b/>
          <w:szCs w:val="22"/>
        </w:rPr>
        <w:t xml:space="preserve">SUBSIDIARIES </w:t>
      </w:r>
      <w:r>
        <w:rPr>
          <w:b/>
          <w:bCs/>
          <w:szCs w:val="22"/>
        </w:rPr>
        <w:t xml:space="preserve">OF POINT BROADBAND, LLC </w:t>
      </w:r>
    </w:p>
    <w:p w:rsidR="00C84CB7" w:rsidP="00C84CB7" w14:paraId="0D8C1DE8" w14:textId="77777777">
      <w:pPr>
        <w:jc w:val="center"/>
        <w:rPr>
          <w:b/>
          <w:bCs/>
          <w:szCs w:val="22"/>
        </w:rPr>
      </w:pPr>
      <w:r>
        <w:rPr>
          <w:b/>
          <w:bCs/>
          <w:szCs w:val="22"/>
        </w:rPr>
        <w:t>TO POINT BROADBAND ACQUISITION, LLC</w:t>
      </w:r>
    </w:p>
    <w:p w:rsidR="005614FA" w:rsidRPr="00B02A93" w:rsidP="0084412A" w14:paraId="5537ED2A" w14:textId="77777777">
      <w:pPr>
        <w:autoSpaceDE w:val="0"/>
        <w:autoSpaceDN w:val="0"/>
        <w:adjustRightInd w:val="0"/>
        <w:rPr>
          <w:b/>
          <w:szCs w:val="22"/>
        </w:rPr>
      </w:pPr>
    </w:p>
    <w:p w:rsidR="005614FA" w:rsidRPr="00B02A93" w:rsidP="005614FA" w14:paraId="5D9244B0" w14:textId="0E8CCC4A">
      <w:pPr>
        <w:autoSpaceDE w:val="0"/>
        <w:autoSpaceDN w:val="0"/>
        <w:adjustRightInd w:val="0"/>
        <w:jc w:val="center"/>
        <w:rPr>
          <w:b/>
          <w:szCs w:val="22"/>
        </w:rPr>
      </w:pPr>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r w:rsidR="00C84CB7">
        <w:rPr>
          <w:b/>
          <w:szCs w:val="22"/>
        </w:rPr>
        <w:t>236</w:t>
      </w:r>
    </w:p>
    <w:p w:rsidR="005614FA" w:rsidRPr="00B02A93" w:rsidP="005614FA" w14:paraId="4F620B5F" w14:textId="77777777">
      <w:pPr>
        <w:widowControl/>
        <w:suppressAutoHyphens/>
        <w:rPr>
          <w:b/>
        </w:rPr>
      </w:pPr>
    </w:p>
    <w:p w:rsidR="002E5941" w:rsidRPr="00B02A93" w:rsidP="001C6F20" w14:paraId="7F5B29E1" w14:textId="2EB4F101">
      <w:pPr>
        <w:widowControl/>
        <w:autoSpaceDE w:val="0"/>
        <w:autoSpaceDN w:val="0"/>
        <w:adjustRightInd w:val="0"/>
        <w:spacing w:after="120"/>
        <w:ind w:firstLine="720"/>
        <w:rPr>
          <w:snapToGrid/>
          <w:kern w:val="0"/>
          <w:szCs w:val="22"/>
        </w:rPr>
      </w:pPr>
      <w:r w:rsidRPr="00B02A93">
        <w:rPr>
          <w:snapToGrid/>
          <w:kern w:val="0"/>
          <w:szCs w:val="22"/>
        </w:rPr>
        <w:t>By this Public Notice, the Wireline Competition Bureau</w:t>
      </w:r>
      <w:r w:rsidR="00756EBC">
        <w:rPr>
          <w:snapToGrid/>
          <w:kern w:val="0"/>
          <w:szCs w:val="22"/>
        </w:rPr>
        <w:t xml:space="preserve"> </w:t>
      </w:r>
      <w:r w:rsidR="002958B1">
        <w:rPr>
          <w:snapToGrid/>
          <w:kern w:val="0"/>
          <w:szCs w:val="22"/>
        </w:rPr>
        <w:t xml:space="preserve">(Bureau) </w:t>
      </w:r>
      <w:r w:rsidRPr="00B02A93">
        <w:rPr>
          <w:snapToGrid/>
          <w:kern w:val="0"/>
          <w:szCs w:val="22"/>
        </w:rPr>
        <w:t>grant</w:t>
      </w:r>
      <w:r w:rsidR="00257E30">
        <w:rPr>
          <w:snapToGrid/>
          <w:kern w:val="0"/>
          <w:szCs w:val="22"/>
        </w:rPr>
        <w:t>s</w:t>
      </w:r>
      <w:r w:rsidRPr="00B02A93">
        <w:rPr>
          <w:snapToGrid/>
          <w:kern w:val="0"/>
          <w:szCs w:val="22"/>
        </w:rPr>
        <w:t xml:space="preserve"> </w:t>
      </w:r>
      <w:r w:rsidRPr="00B02A93" w:rsidR="008774D9">
        <w:rPr>
          <w:snapToGrid/>
          <w:kern w:val="0"/>
          <w:szCs w:val="22"/>
        </w:rPr>
        <w:t>a</w:t>
      </w:r>
      <w:r w:rsidR="00135644">
        <w:rPr>
          <w:snapToGrid/>
          <w:kern w:val="0"/>
          <w:szCs w:val="22"/>
        </w:rPr>
        <w:t>n</w:t>
      </w:r>
      <w:r w:rsidR="00C84CB7">
        <w:rPr>
          <w:snapToGrid/>
          <w:kern w:val="0"/>
          <w:szCs w:val="22"/>
        </w:rPr>
        <w:t xml:space="preserve"> </w:t>
      </w:r>
      <w:r w:rsidRPr="00B02A93" w:rsidR="008774D9">
        <w:rPr>
          <w:snapToGrid/>
          <w:kern w:val="0"/>
          <w:szCs w:val="22"/>
        </w:rPr>
        <w:t>application</w:t>
      </w:r>
      <w:r>
        <w:rPr>
          <w:rStyle w:val="FootnoteReference"/>
          <w:szCs w:val="22"/>
        </w:rPr>
        <w:footnoteReference w:id="3"/>
      </w:r>
      <w:r w:rsidRPr="00B02A93" w:rsidR="008774D9">
        <w:rPr>
          <w:snapToGrid/>
          <w:kern w:val="0"/>
          <w:szCs w:val="22"/>
        </w:rPr>
        <w:t xml:space="preserve"> filed by </w:t>
      </w:r>
      <w:r w:rsidR="00C84CB7">
        <w:rPr>
          <w:snapToGrid/>
          <w:kern w:val="0"/>
          <w:szCs w:val="22"/>
        </w:rPr>
        <w:t>Point Broadband, LLC</w:t>
      </w:r>
      <w:r w:rsidRPr="00B02A93" w:rsidR="008774D9">
        <w:rPr>
          <w:snapToGrid/>
          <w:kern w:val="0"/>
          <w:szCs w:val="22"/>
        </w:rPr>
        <w:t xml:space="preserve"> </w:t>
      </w:r>
      <w:r w:rsidR="00C84CB7">
        <w:rPr>
          <w:snapToGrid/>
          <w:kern w:val="0"/>
          <w:szCs w:val="22"/>
        </w:rPr>
        <w:t>(Transferor</w:t>
      </w:r>
      <w:r w:rsidRPr="00B02A93" w:rsidR="008774D9">
        <w:rPr>
          <w:snapToGrid/>
          <w:kern w:val="0"/>
          <w:szCs w:val="22"/>
        </w:rPr>
        <w:t>)</w:t>
      </w:r>
      <w:r w:rsidR="00C84CB7">
        <w:rPr>
          <w:szCs w:val="22"/>
        </w:rPr>
        <w:t xml:space="preserve"> </w:t>
      </w:r>
      <w:r w:rsidR="00A74D70">
        <w:rPr>
          <w:szCs w:val="22"/>
        </w:rPr>
        <w:t xml:space="preserve">and </w:t>
      </w:r>
      <w:r w:rsidR="00A33E9C">
        <w:rPr>
          <w:szCs w:val="22"/>
        </w:rPr>
        <w:t>P</w:t>
      </w:r>
      <w:r w:rsidR="00E66D2C">
        <w:rPr>
          <w:szCs w:val="22"/>
        </w:rPr>
        <w:t>oint Broadband Acquisition, LLC (Point Acquisition) (together, Applicants)</w:t>
      </w:r>
      <w:r w:rsidR="009D6B11">
        <w:rPr>
          <w:szCs w:val="22"/>
        </w:rPr>
        <w:t xml:space="preserve"> to transfer control of Transferor’s </w:t>
      </w:r>
      <w:r w:rsidR="00C84CB7">
        <w:rPr>
          <w:szCs w:val="22"/>
        </w:rPr>
        <w:t>wholly owned subsidiary, Point Broadband Fiber Holding, LLC (Point Fiber), and Point Fiber’s subsidiaries:  Point Broadband of Opelika, LLC, Sunset Digital Communications LLC, and Sunset Fiber, LLC (the Licensees), to Point Acquisition</w:t>
      </w:r>
      <w:r w:rsidRPr="00E554BA" w:rsidR="00C84CB7">
        <w:rPr>
          <w:szCs w:val="22"/>
        </w:rPr>
        <w:t>.</w:t>
      </w:r>
      <w:r>
        <w:rPr>
          <w:rStyle w:val="FootnoteReference"/>
          <w:szCs w:val="22"/>
        </w:rPr>
        <w:footnoteReference w:id="4"/>
      </w:r>
      <w:r w:rsidRPr="00E554BA" w:rsidR="00C84CB7">
        <w:rPr>
          <w:szCs w:val="22"/>
        </w:rPr>
        <w:t xml:space="preserve">  </w:t>
      </w:r>
      <w:r w:rsidR="00C84CB7">
        <w:rPr>
          <w:szCs w:val="22"/>
        </w:rPr>
        <w:t xml:space="preserve"> </w:t>
      </w:r>
    </w:p>
    <w:p w:rsidR="005614FA" w:rsidRPr="00B02A93" w:rsidP="001C6F20" w14:paraId="67628BEE" w14:textId="3DE99193">
      <w:pPr>
        <w:widowControl/>
        <w:autoSpaceDE w:val="0"/>
        <w:autoSpaceDN w:val="0"/>
        <w:adjustRightInd w:val="0"/>
        <w:spacing w:after="120"/>
        <w:ind w:firstLine="720"/>
        <w:rPr>
          <w:snapToGrid/>
          <w:kern w:val="0"/>
          <w:szCs w:val="22"/>
        </w:rPr>
      </w:pPr>
      <w:r w:rsidRPr="00B02A93">
        <w:rPr>
          <w:szCs w:val="22"/>
        </w:rPr>
        <w:t xml:space="preserve">On </w:t>
      </w:r>
      <w:r w:rsidR="00C84CB7">
        <w:rPr>
          <w:szCs w:val="22"/>
        </w:rPr>
        <w:t>June 23</w:t>
      </w:r>
      <w:r w:rsidRPr="00B02A93">
        <w:rPr>
          <w:szCs w:val="22"/>
        </w:rPr>
        <w:t>, 2021, the Bureau released a public notice seeking comment on the Application.</w:t>
      </w:r>
      <w:r>
        <w:rPr>
          <w:rStyle w:val="FootnoteReference"/>
          <w:szCs w:val="22"/>
        </w:rPr>
        <w:footnoteReference w:id="5"/>
      </w:r>
      <w:r w:rsidRPr="00B02A93">
        <w:rPr>
          <w:szCs w:val="22"/>
        </w:rPr>
        <w:t xml:space="preserve">  </w:t>
      </w:r>
      <w:r w:rsidRPr="00B02A93" w:rsidR="00AB3596">
        <w:rPr>
          <w:szCs w:val="22"/>
        </w:rPr>
        <w:t xml:space="preserve"> The Bureau </w:t>
      </w:r>
      <w:r w:rsidRPr="00B02A93">
        <w:rPr>
          <w:szCs w:val="22"/>
        </w:rPr>
        <w:t>did not receive comments or petitions in opposition</w:t>
      </w:r>
      <w:r w:rsidR="002F7521">
        <w:rPr>
          <w:szCs w:val="22"/>
        </w:rPr>
        <w:t xml:space="preserve"> to </w:t>
      </w:r>
      <w:r w:rsidR="002078B3">
        <w:rPr>
          <w:szCs w:val="22"/>
        </w:rPr>
        <w:t xml:space="preserve">the </w:t>
      </w:r>
      <w:r w:rsidRPr="00B02A93">
        <w:rPr>
          <w:szCs w:val="22"/>
        </w:rPr>
        <w:t>Application.</w:t>
      </w:r>
      <w:r w:rsidRPr="00B02A93" w:rsidR="0085777F">
        <w:rPr>
          <w:snapToGrid/>
          <w:kern w:val="0"/>
          <w:szCs w:val="22"/>
        </w:rPr>
        <w:t xml:space="preserve"> </w:t>
      </w:r>
    </w:p>
    <w:p w:rsidR="008D5B54" w:rsidRPr="00B02A93" w:rsidP="00132378"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C84CB7" w:rsidP="00C84CB7" w14:paraId="1AE23248" w14:textId="74034EF8">
      <w:pPr>
        <w:autoSpaceDE w:val="0"/>
        <w:autoSpaceDN w:val="0"/>
        <w:adjustRightInd w:val="0"/>
        <w:spacing w:after="240"/>
        <w:ind w:firstLine="720"/>
        <w:rPr>
          <w:szCs w:val="22"/>
        </w:rPr>
      </w:pPr>
      <w:r>
        <w:rPr>
          <w:szCs w:val="22"/>
        </w:rPr>
        <w:t>Transferor is a holding company registered as a limited liability company in Georgia.</w:t>
      </w:r>
      <w:r>
        <w:rPr>
          <w:rStyle w:val="FootnoteReference"/>
          <w:szCs w:val="22"/>
        </w:rPr>
        <w:footnoteReference w:id="6"/>
      </w:r>
      <w:r>
        <w:rPr>
          <w:szCs w:val="22"/>
        </w:rPr>
        <w:t xml:space="preserve">  Through a separate holding company, Point Broadband Capital, LLC, Transferor holds a 100% interest in Point Fiber.</w:t>
      </w:r>
      <w:r>
        <w:rPr>
          <w:rStyle w:val="FootnoteReference"/>
          <w:szCs w:val="22"/>
        </w:rPr>
        <w:footnoteReference w:id="7"/>
      </w:r>
      <w:r>
        <w:rPr>
          <w:szCs w:val="22"/>
        </w:rPr>
        <w:t xml:space="preserve">  Applicants state that Point Fiber holds a 100% interest in all three </w:t>
      </w:r>
      <w:r w:rsidR="00025BD1">
        <w:rPr>
          <w:szCs w:val="22"/>
        </w:rPr>
        <w:t>L</w:t>
      </w:r>
      <w:r>
        <w:rPr>
          <w:szCs w:val="22"/>
        </w:rPr>
        <w:t>icensees.</w:t>
      </w:r>
      <w:r>
        <w:rPr>
          <w:rStyle w:val="FootnoteReference"/>
          <w:szCs w:val="22"/>
        </w:rPr>
        <w:footnoteReference w:id="8"/>
      </w:r>
      <w:r>
        <w:rPr>
          <w:szCs w:val="22"/>
        </w:rPr>
        <w:t xml:space="preserve"> </w:t>
      </w:r>
      <w:r w:rsidR="00135644">
        <w:rPr>
          <w:szCs w:val="22"/>
        </w:rPr>
        <w:t xml:space="preserve"> </w:t>
      </w:r>
      <w:r>
        <w:rPr>
          <w:szCs w:val="22"/>
        </w:rPr>
        <w:t>The Licensees are all Delaware limited liability companies and offer competitive telecommunications services in Tennessee and Virginia</w:t>
      </w:r>
      <w:r w:rsidR="00135644">
        <w:rPr>
          <w:szCs w:val="22"/>
        </w:rPr>
        <w:t>, in addition to VoIP service in several other states</w:t>
      </w:r>
      <w:r>
        <w:rPr>
          <w:szCs w:val="22"/>
        </w:rPr>
        <w:t>.</w:t>
      </w:r>
      <w:r>
        <w:rPr>
          <w:rStyle w:val="FootnoteReference"/>
          <w:szCs w:val="22"/>
        </w:rPr>
        <w:footnoteReference w:id="9"/>
      </w:r>
      <w:r>
        <w:rPr>
          <w:szCs w:val="22"/>
        </w:rPr>
        <w:t xml:space="preserve">  </w:t>
      </w:r>
    </w:p>
    <w:p w:rsidR="00C84CB7" w:rsidRPr="007E03E5" w:rsidP="00C84CB7" w14:paraId="72AFC381" w14:textId="31F24842">
      <w:pPr>
        <w:autoSpaceDE w:val="0"/>
        <w:autoSpaceDN w:val="0"/>
        <w:adjustRightInd w:val="0"/>
        <w:spacing w:after="240"/>
        <w:ind w:firstLine="720"/>
        <w:rPr>
          <w:szCs w:val="22"/>
        </w:rPr>
      </w:pPr>
      <w:r>
        <w:rPr>
          <w:szCs w:val="22"/>
        </w:rPr>
        <w:t>Point Acquisition</w:t>
      </w:r>
      <w:r w:rsidRPr="00485DD1">
        <w:rPr>
          <w:szCs w:val="22"/>
        </w:rPr>
        <w:t xml:space="preserve"> is a</w:t>
      </w:r>
      <w:r>
        <w:rPr>
          <w:szCs w:val="22"/>
        </w:rPr>
        <w:t xml:space="preserve"> </w:t>
      </w:r>
      <w:r w:rsidRPr="00485DD1">
        <w:rPr>
          <w:szCs w:val="22"/>
        </w:rPr>
        <w:t xml:space="preserve">Delaware limited liability company created </w:t>
      </w:r>
      <w:r>
        <w:rPr>
          <w:szCs w:val="22"/>
        </w:rPr>
        <w:t xml:space="preserve">specifically </w:t>
      </w:r>
      <w:r w:rsidRPr="00485DD1">
        <w:rPr>
          <w:szCs w:val="22"/>
        </w:rPr>
        <w:t xml:space="preserve">for the purposes of this proposed transaction to become the new parent </w:t>
      </w:r>
      <w:r>
        <w:rPr>
          <w:szCs w:val="22"/>
        </w:rPr>
        <w:t xml:space="preserve">company of </w:t>
      </w:r>
      <w:r w:rsidRPr="00485DD1">
        <w:rPr>
          <w:szCs w:val="22"/>
        </w:rPr>
        <w:t>the Licensees.</w:t>
      </w:r>
      <w:r>
        <w:rPr>
          <w:rStyle w:val="FootnoteReference"/>
          <w:szCs w:val="22"/>
        </w:rPr>
        <w:footnoteReference w:id="10"/>
      </w:r>
      <w:r w:rsidRPr="00485DD1">
        <w:rPr>
          <w:szCs w:val="22"/>
        </w:rPr>
        <w:t xml:space="preserve"> </w:t>
      </w:r>
      <w:r>
        <w:rPr>
          <w:szCs w:val="22"/>
        </w:rPr>
        <w:t xml:space="preserve"> Post-transaction, Applicants state that Point Fiber would continue to hold a 100% ownership interest in all three Licensees.</w:t>
      </w:r>
      <w:r>
        <w:rPr>
          <w:rStyle w:val="FootnoteReference"/>
          <w:szCs w:val="22"/>
        </w:rPr>
        <w:footnoteReference w:id="11"/>
      </w:r>
      <w:r>
        <w:rPr>
          <w:szCs w:val="22"/>
        </w:rPr>
        <w:t xml:space="preserve">  Point Fiber would then be entirely owned by Point Acquisition.</w:t>
      </w:r>
      <w:r>
        <w:rPr>
          <w:rStyle w:val="FootnoteReference"/>
          <w:szCs w:val="22"/>
        </w:rPr>
        <w:footnoteReference w:id="12"/>
      </w:r>
      <w:r>
        <w:rPr>
          <w:szCs w:val="22"/>
        </w:rPr>
        <w:t xml:space="preserve">  Point Acquisition</w:t>
      </w:r>
      <w:r w:rsidRPr="00485DD1">
        <w:rPr>
          <w:szCs w:val="22"/>
        </w:rPr>
        <w:t xml:space="preserve"> is managed by GTCR, LLC (GTCR), a </w:t>
      </w:r>
      <w:r>
        <w:rPr>
          <w:szCs w:val="22"/>
        </w:rPr>
        <w:t xml:space="preserve">U.S.-based </w:t>
      </w:r>
      <w:r w:rsidRPr="00485DD1">
        <w:rPr>
          <w:szCs w:val="22"/>
        </w:rPr>
        <w:t xml:space="preserve">private equity </w:t>
      </w:r>
      <w:r>
        <w:rPr>
          <w:szCs w:val="22"/>
        </w:rPr>
        <w:t>firm, with the following Delaware entities having specified ownership interests in Point Acquisition, GTCR Fund XIII/B LP (Fund XIII/B) (51.7%) and GTCR Fund XIII/C LP (Fund XIII/C) (20%)</w:t>
      </w:r>
      <w:r w:rsidRPr="00485DD1">
        <w:rPr>
          <w:szCs w:val="22"/>
        </w:rPr>
        <w:t>.</w:t>
      </w:r>
      <w:r>
        <w:rPr>
          <w:rStyle w:val="FootnoteReference"/>
          <w:szCs w:val="22"/>
        </w:rPr>
        <w:footnoteReference w:id="13"/>
      </w:r>
      <w:r w:rsidRPr="00485DD1">
        <w:rPr>
          <w:szCs w:val="22"/>
        </w:rPr>
        <w:t xml:space="preserve"> </w:t>
      </w:r>
      <w:r>
        <w:rPr>
          <w:szCs w:val="22"/>
        </w:rPr>
        <w:t xml:space="preserve"> </w:t>
      </w:r>
    </w:p>
    <w:p w:rsidR="0053387F" w:rsidP="00C84CB7" w14:paraId="019E29B7" w14:textId="2FA33778">
      <w:pPr>
        <w:autoSpaceDE w:val="0"/>
        <w:autoSpaceDN w:val="0"/>
        <w:adjustRightInd w:val="0"/>
        <w:spacing w:after="120"/>
        <w:ind w:firstLine="720"/>
        <w:rPr>
          <w:bCs/>
          <w:szCs w:val="22"/>
        </w:rPr>
      </w:pPr>
      <w:r>
        <w:rPr>
          <w:bCs/>
          <w:szCs w:val="22"/>
        </w:rPr>
        <w:t>Applicants entered into a Purchase Agreement</w:t>
      </w:r>
      <w:r w:rsidR="006E6B9A">
        <w:rPr>
          <w:bCs/>
          <w:szCs w:val="22"/>
        </w:rPr>
        <w:t xml:space="preserve"> (Agreement)</w:t>
      </w:r>
      <w:r>
        <w:rPr>
          <w:bCs/>
          <w:szCs w:val="22"/>
        </w:rPr>
        <w:t xml:space="preserve"> on March 12, 2021.</w:t>
      </w:r>
      <w:r>
        <w:rPr>
          <w:rStyle w:val="FootnoteReference"/>
          <w:bCs/>
          <w:szCs w:val="22"/>
        </w:rPr>
        <w:footnoteReference w:id="14"/>
      </w:r>
      <w:r w:rsidR="006E6B9A">
        <w:rPr>
          <w:bCs/>
          <w:szCs w:val="22"/>
        </w:rPr>
        <w:t xml:space="preserve">  Pursuant to this Agreement, Point Acquisition will acquire direct control of Point </w:t>
      </w:r>
      <w:r w:rsidR="00B10DE5">
        <w:rPr>
          <w:bCs/>
          <w:szCs w:val="22"/>
        </w:rPr>
        <w:t xml:space="preserve">Fiber and indirect control over </w:t>
      </w:r>
      <w:r w:rsidR="00B0042A">
        <w:rPr>
          <w:bCs/>
          <w:szCs w:val="22"/>
        </w:rPr>
        <w:t>Licensees</w:t>
      </w:r>
      <w:r w:rsidR="00B10DE5">
        <w:rPr>
          <w:bCs/>
          <w:szCs w:val="22"/>
        </w:rPr>
        <w:t>.</w:t>
      </w:r>
      <w:r>
        <w:rPr>
          <w:rStyle w:val="FootnoteReference"/>
          <w:bCs/>
          <w:szCs w:val="22"/>
        </w:rPr>
        <w:footnoteReference w:id="15"/>
      </w:r>
      <w:r w:rsidR="00B10DE5">
        <w:rPr>
          <w:bCs/>
          <w:szCs w:val="22"/>
        </w:rPr>
        <w:t xml:space="preserve"> </w:t>
      </w:r>
      <w:r w:rsidR="003C0A28">
        <w:rPr>
          <w:bCs/>
          <w:szCs w:val="22"/>
        </w:rPr>
        <w:t xml:space="preserve"> Point Fiber </w:t>
      </w:r>
      <w:r w:rsidR="00457499">
        <w:rPr>
          <w:bCs/>
          <w:szCs w:val="22"/>
        </w:rPr>
        <w:t>was authorized to receive</w:t>
      </w:r>
      <w:r w:rsidR="00441B3C">
        <w:rPr>
          <w:bCs/>
          <w:szCs w:val="22"/>
        </w:rPr>
        <w:t xml:space="preserve"> Rural Digital Opportunity Fund (Auction 904) </w:t>
      </w:r>
      <w:r w:rsidR="00457499">
        <w:rPr>
          <w:bCs/>
          <w:szCs w:val="22"/>
        </w:rPr>
        <w:t xml:space="preserve">support </w:t>
      </w:r>
      <w:r w:rsidR="00441B3C">
        <w:rPr>
          <w:bCs/>
          <w:szCs w:val="22"/>
        </w:rPr>
        <w:t xml:space="preserve">and </w:t>
      </w:r>
      <w:r w:rsidR="00135644">
        <w:rPr>
          <w:bCs/>
          <w:szCs w:val="22"/>
        </w:rPr>
        <w:t xml:space="preserve">receives Universal Service Funding (USF) through </w:t>
      </w:r>
      <w:r w:rsidR="00441B3C">
        <w:rPr>
          <w:bCs/>
          <w:szCs w:val="22"/>
        </w:rPr>
        <w:t xml:space="preserve">the Connect America Fund Phase II </w:t>
      </w:r>
      <w:r w:rsidR="00A9262C">
        <w:rPr>
          <w:bCs/>
          <w:szCs w:val="22"/>
        </w:rPr>
        <w:t>a</w:t>
      </w:r>
      <w:r w:rsidR="00441B3C">
        <w:rPr>
          <w:bCs/>
          <w:szCs w:val="22"/>
        </w:rPr>
        <w:t>uction</w:t>
      </w:r>
      <w:r w:rsidR="00EB28CF">
        <w:rPr>
          <w:bCs/>
          <w:szCs w:val="22"/>
        </w:rPr>
        <w:t xml:space="preserve"> (CAF-II).</w:t>
      </w:r>
      <w:r>
        <w:rPr>
          <w:rStyle w:val="FootnoteReference"/>
          <w:bCs/>
          <w:szCs w:val="22"/>
        </w:rPr>
        <w:footnoteReference w:id="16"/>
      </w:r>
      <w:r w:rsidR="00EB28CF">
        <w:rPr>
          <w:bCs/>
          <w:szCs w:val="22"/>
        </w:rPr>
        <w:t xml:space="preserve">  Applicants state that this transaction will not </w:t>
      </w:r>
      <w:r w:rsidR="009054E8">
        <w:rPr>
          <w:bCs/>
          <w:szCs w:val="22"/>
        </w:rPr>
        <w:t xml:space="preserve">adversely </w:t>
      </w:r>
      <w:r w:rsidR="00092431">
        <w:rPr>
          <w:bCs/>
          <w:szCs w:val="22"/>
        </w:rPr>
        <w:t>impact</w:t>
      </w:r>
      <w:r w:rsidR="009054E8">
        <w:rPr>
          <w:bCs/>
          <w:szCs w:val="22"/>
        </w:rPr>
        <w:t xml:space="preserve"> any buildout obligations associated with this funding.</w:t>
      </w:r>
      <w:r>
        <w:rPr>
          <w:rStyle w:val="FootnoteReference"/>
          <w:bCs/>
          <w:szCs w:val="22"/>
        </w:rPr>
        <w:footnoteReference w:id="17"/>
      </w:r>
      <w:r w:rsidR="009054E8">
        <w:rPr>
          <w:bCs/>
          <w:szCs w:val="22"/>
        </w:rPr>
        <w:t xml:space="preserve"> </w:t>
      </w:r>
    </w:p>
    <w:p w:rsidR="00C84CB7" w:rsidP="00C84CB7" w14:paraId="5BEC136A" w14:textId="2934BA28">
      <w:pPr>
        <w:autoSpaceDE w:val="0"/>
        <w:autoSpaceDN w:val="0"/>
        <w:adjustRightInd w:val="0"/>
        <w:spacing w:after="120"/>
        <w:ind w:firstLine="720"/>
      </w:pPr>
      <w:r w:rsidRPr="00D17873">
        <w:rPr>
          <w:bCs/>
          <w:szCs w:val="22"/>
        </w:rPr>
        <w:t xml:space="preserve">Applicants assert that a grant of the </w:t>
      </w:r>
      <w:r>
        <w:rPr>
          <w:bCs/>
          <w:szCs w:val="22"/>
        </w:rPr>
        <w:t>A</w:t>
      </w:r>
      <w:r w:rsidRPr="00D17873">
        <w:rPr>
          <w:bCs/>
          <w:szCs w:val="22"/>
        </w:rPr>
        <w:t>pplication would serve the public interest, convenience, and necessity.</w:t>
      </w:r>
      <w:r>
        <w:rPr>
          <w:rStyle w:val="FootnoteReference"/>
          <w:bCs/>
          <w:szCs w:val="22"/>
        </w:rPr>
        <w:footnoteReference w:id="18"/>
      </w:r>
      <w:r>
        <w:rPr>
          <w:bCs/>
          <w:szCs w:val="22"/>
        </w:rPr>
        <w:t xml:space="preserve">  </w:t>
      </w:r>
      <w:r w:rsidR="00457499">
        <w:rPr>
          <w:bCs/>
          <w:szCs w:val="22"/>
        </w:rPr>
        <w:t>O</w:t>
      </w:r>
      <w:r w:rsidR="002C6348">
        <w:rPr>
          <w:bCs/>
          <w:szCs w:val="22"/>
        </w:rPr>
        <w:t>n</w:t>
      </w:r>
      <w:r w:rsidR="00457499">
        <w:rPr>
          <w:bCs/>
          <w:szCs w:val="22"/>
        </w:rPr>
        <w:t xml:space="preserve"> September 15, 2021, </w:t>
      </w:r>
      <w:r w:rsidRPr="7B6157F7">
        <w:t xml:space="preserve">Point Fiber </w:t>
      </w:r>
      <w:r w:rsidR="00B00C3A">
        <w:t>was authorized to receive</w:t>
      </w:r>
      <w:r w:rsidRPr="7B6157F7">
        <w:t xml:space="preserve"> Auction 904 </w:t>
      </w:r>
      <w:r w:rsidR="00B00C3A">
        <w:t>support</w:t>
      </w:r>
      <w:r>
        <w:t>,</w:t>
      </w:r>
      <w:r w:rsidRPr="7B6157F7">
        <w:t xml:space="preserve"> and</w:t>
      </w:r>
      <w:r>
        <w:rPr>
          <w:szCs w:val="22"/>
        </w:rPr>
        <w:t xml:space="preserve"> </w:t>
      </w:r>
      <w:r w:rsidRPr="7B6157F7">
        <w:t xml:space="preserve">Applicants </w:t>
      </w:r>
      <w:r>
        <w:t>“</w:t>
      </w:r>
      <w:r w:rsidRPr="7B6157F7">
        <w:t>seek to consummate the proposed transaction promptly after Point Fiber is authorized for support by the Commission.</w:t>
      </w:r>
      <w:r>
        <w:t>”</w:t>
      </w:r>
      <w:r>
        <w:rPr>
          <w:rStyle w:val="FootnoteReference"/>
        </w:rPr>
        <w:footnoteReference w:id="19"/>
      </w:r>
      <w:r>
        <w:rPr>
          <w:szCs w:val="22"/>
        </w:rPr>
        <w:t xml:space="preserve">  </w:t>
      </w:r>
      <w:r w:rsidRPr="7B6157F7">
        <w:t xml:space="preserve">The Applicants state, after consummation of the proposed transaction, the Licensees will continue to exist and operate under the same names, and will continue to provide service pursuant to </w:t>
      </w:r>
      <w:r>
        <w:t>“</w:t>
      </w:r>
      <w:r w:rsidRPr="7B6157F7">
        <w:t>then-existing rates, terms, and conditions for the near term.</w:t>
      </w:r>
      <w:r>
        <w:t>”</w:t>
      </w:r>
      <w:r>
        <w:rPr>
          <w:rStyle w:val="FootnoteReference"/>
        </w:rPr>
        <w:footnoteReference w:id="20"/>
      </w:r>
      <w:r>
        <w:rPr>
          <w:szCs w:val="22"/>
        </w:rPr>
        <w:t xml:space="preserve">  </w:t>
      </w:r>
      <w:r w:rsidRPr="7B6157F7">
        <w:t>The Applicants</w:t>
      </w:r>
      <w:r>
        <w:rPr>
          <w:szCs w:val="22"/>
        </w:rPr>
        <w:t xml:space="preserve"> </w:t>
      </w:r>
      <w:r>
        <w:t xml:space="preserve">further </w:t>
      </w:r>
      <w:r w:rsidRPr="7B6157F7">
        <w:t xml:space="preserve">state </w:t>
      </w:r>
      <w:r>
        <w:t xml:space="preserve">that </w:t>
      </w:r>
      <w:r w:rsidRPr="7B6157F7">
        <w:t>certain key personnel of the Licensees, including existing management, will continue to work with the Licensees, which will also facilitate the transition to the new ownership structure.</w:t>
      </w:r>
      <w:r>
        <w:rPr>
          <w:rStyle w:val="FootnoteReference"/>
        </w:rPr>
        <w:footnoteReference w:id="21"/>
      </w:r>
      <w:r>
        <w:rPr>
          <w:szCs w:val="22"/>
        </w:rPr>
        <w:t xml:space="preserve"> </w:t>
      </w:r>
    </w:p>
    <w:p w:rsidR="00FC6E66" w:rsidP="00132378" w14:paraId="6B53F8FA" w14:textId="77777777">
      <w:pPr>
        <w:widowControl/>
        <w:autoSpaceDE w:val="0"/>
        <w:autoSpaceDN w:val="0"/>
        <w:adjustRightInd w:val="0"/>
        <w:spacing w:after="120"/>
        <w:rPr>
          <w:b/>
          <w:bCs/>
          <w:szCs w:val="22"/>
          <w:u w:val="single"/>
        </w:rPr>
      </w:pPr>
    </w:p>
    <w:p w:rsidR="00FC6E66" w:rsidP="00132378" w14:paraId="41EDCF23" w14:textId="77777777">
      <w:pPr>
        <w:widowControl/>
        <w:autoSpaceDE w:val="0"/>
        <w:autoSpaceDN w:val="0"/>
        <w:adjustRightInd w:val="0"/>
        <w:spacing w:after="120"/>
        <w:rPr>
          <w:b/>
          <w:bCs/>
          <w:szCs w:val="22"/>
          <w:u w:val="single"/>
        </w:rPr>
      </w:pPr>
    </w:p>
    <w:p w:rsidR="008D5B54" w:rsidRPr="00B02A93" w:rsidP="00132378" w14:paraId="460F2DA2" w14:textId="0F837A0C">
      <w:pPr>
        <w:widowControl/>
        <w:autoSpaceDE w:val="0"/>
        <w:autoSpaceDN w:val="0"/>
        <w:adjustRightInd w:val="0"/>
        <w:spacing w:after="120"/>
        <w:rPr>
          <w:b/>
          <w:bCs/>
          <w:szCs w:val="22"/>
          <w:u w:val="single"/>
        </w:rPr>
      </w:pPr>
      <w:r w:rsidRPr="00B02A93">
        <w:rPr>
          <w:b/>
          <w:bCs/>
          <w:szCs w:val="22"/>
          <w:u w:val="single"/>
        </w:rPr>
        <w:t>Discussion</w:t>
      </w:r>
    </w:p>
    <w:p w:rsidR="00447D22" w:rsidRPr="00EF3D8E" w:rsidP="00EF3D8E" w14:paraId="27286588" w14:textId="3DF98158">
      <w:pPr>
        <w:widowControl/>
        <w:autoSpaceDE w:val="0"/>
        <w:autoSpaceDN w:val="0"/>
        <w:adjustRightInd w:val="0"/>
        <w:spacing w:after="120"/>
        <w:ind w:firstLine="720"/>
        <w:rPr>
          <w:snapToGrid/>
          <w:kern w:val="0"/>
          <w:szCs w:val="22"/>
        </w:rPr>
      </w:pPr>
      <w:r w:rsidRPr="00B02A93">
        <w:rPr>
          <w:szCs w:val="22"/>
        </w:rPr>
        <w:t xml:space="preserve">We find, upon </w:t>
      </w:r>
      <w:r w:rsidRPr="001A7655">
        <w:rPr>
          <w:szCs w:val="22"/>
        </w:rPr>
        <w:t xml:space="preserve">consideration </w:t>
      </w:r>
      <w:r w:rsidRPr="00B02A93">
        <w:rPr>
          <w:szCs w:val="22"/>
        </w:rPr>
        <w:t>of the record, that grant of the Application will serve the public interest, convenience, and necessity.</w:t>
      </w:r>
      <w:r>
        <w:rPr>
          <w:szCs w:val="22"/>
          <w:vertAlign w:val="superscript"/>
        </w:rPr>
        <w:footnoteReference w:id="22"/>
      </w:r>
      <w:r w:rsidRPr="00B02A93">
        <w:rPr>
          <w:szCs w:val="22"/>
        </w:rPr>
        <w:t xml:space="preserve">  </w:t>
      </w:r>
      <w:r w:rsidR="0017566C">
        <w:rPr>
          <w:szCs w:val="22"/>
        </w:rPr>
        <w:t xml:space="preserve">The Commission has authorized </w:t>
      </w:r>
      <w:r w:rsidR="00747230">
        <w:rPr>
          <w:szCs w:val="22"/>
        </w:rPr>
        <w:t xml:space="preserve">Point </w:t>
      </w:r>
      <w:r w:rsidR="000724AD">
        <w:rPr>
          <w:szCs w:val="22"/>
        </w:rPr>
        <w:t xml:space="preserve">Fiber </w:t>
      </w:r>
      <w:r>
        <w:rPr>
          <w:snapToGrid/>
          <w:kern w:val="0"/>
          <w:szCs w:val="22"/>
        </w:rPr>
        <w:t xml:space="preserve">to receive </w:t>
      </w:r>
      <w:r w:rsidR="00A45DD0">
        <w:rPr>
          <w:snapToGrid/>
          <w:kern w:val="0"/>
          <w:szCs w:val="22"/>
        </w:rPr>
        <w:t xml:space="preserve">both </w:t>
      </w:r>
      <w:r w:rsidR="00C85AF8">
        <w:rPr>
          <w:snapToGrid/>
          <w:kern w:val="0"/>
          <w:szCs w:val="22"/>
        </w:rPr>
        <w:t xml:space="preserve">RDOF </w:t>
      </w:r>
      <w:r w:rsidR="00A45DD0">
        <w:rPr>
          <w:snapToGrid/>
          <w:kern w:val="0"/>
          <w:szCs w:val="22"/>
        </w:rPr>
        <w:t>and CAF II support.</w:t>
      </w:r>
      <w:r>
        <w:rPr>
          <w:rStyle w:val="FootnoteReference"/>
          <w:snapToGrid/>
          <w:kern w:val="0"/>
          <w:szCs w:val="22"/>
        </w:rPr>
        <w:footnoteReference w:id="23"/>
      </w:r>
      <w:r w:rsidR="00A45DD0">
        <w:rPr>
          <w:snapToGrid/>
          <w:kern w:val="0"/>
          <w:szCs w:val="22"/>
        </w:rPr>
        <w:t xml:space="preserve">  Applicants state that Point Fiber’s </w:t>
      </w:r>
      <w:r w:rsidR="001E75C2">
        <w:rPr>
          <w:snapToGrid/>
          <w:kern w:val="0"/>
          <w:szCs w:val="22"/>
        </w:rPr>
        <w:t xml:space="preserve">buildout to meet its </w:t>
      </w:r>
      <w:r w:rsidR="00A45DD0">
        <w:rPr>
          <w:snapToGrid/>
          <w:kern w:val="0"/>
          <w:szCs w:val="22"/>
        </w:rPr>
        <w:t xml:space="preserve">CAF-II </w:t>
      </w:r>
      <w:r w:rsidR="001E75C2">
        <w:rPr>
          <w:snapToGrid/>
          <w:kern w:val="0"/>
          <w:szCs w:val="22"/>
        </w:rPr>
        <w:t>deployment obligations is already underway.</w:t>
      </w:r>
      <w:r>
        <w:rPr>
          <w:rStyle w:val="FootnoteReference"/>
          <w:snapToGrid/>
          <w:kern w:val="0"/>
          <w:szCs w:val="22"/>
        </w:rPr>
        <w:footnoteReference w:id="24"/>
      </w:r>
      <w:r w:rsidR="00A45DD0">
        <w:rPr>
          <w:rStyle w:val="FootnoteReference"/>
          <w:snapToGrid/>
          <w:kern w:val="0"/>
          <w:szCs w:val="22"/>
        </w:rPr>
        <w:t xml:space="preserve">  </w:t>
      </w:r>
      <w:r w:rsidR="00A45DD0">
        <w:rPr>
          <w:snapToGrid/>
          <w:kern w:val="0"/>
          <w:szCs w:val="22"/>
        </w:rPr>
        <w:t xml:space="preserve">We emphasize that </w:t>
      </w:r>
      <w:r w:rsidR="00C85AF8">
        <w:rPr>
          <w:snapToGrid/>
          <w:kern w:val="0"/>
          <w:szCs w:val="22"/>
        </w:rPr>
        <w:t>Point Fiber remains financially and technically obligated to meet all public interest and performance obligations associated with the receipt of CAF-II and RDOF funding in accordance with the Commission’s p</w:t>
      </w:r>
      <w:r w:rsidR="00025BD1">
        <w:rPr>
          <w:snapToGrid/>
          <w:kern w:val="0"/>
          <w:szCs w:val="22"/>
        </w:rPr>
        <w:t>r</w:t>
      </w:r>
      <w:r w:rsidR="00C85AF8">
        <w:rPr>
          <w:snapToGrid/>
          <w:kern w:val="0"/>
          <w:szCs w:val="22"/>
        </w:rPr>
        <w:t>e-transaction approval of its qualifications, and we</w:t>
      </w:r>
      <w:r w:rsidR="0017566C">
        <w:rPr>
          <w:snapToGrid/>
          <w:kern w:val="0"/>
          <w:szCs w:val="22"/>
        </w:rPr>
        <w:t xml:space="preserve"> expect that the proposed transaction will not negatively impact </w:t>
      </w:r>
      <w:r w:rsidR="00C85AF8">
        <w:rPr>
          <w:snapToGrid/>
          <w:kern w:val="0"/>
          <w:szCs w:val="22"/>
        </w:rPr>
        <w:t>these obligations</w:t>
      </w:r>
      <w:r w:rsidR="001E75C2">
        <w:rPr>
          <w:snapToGrid/>
          <w:kern w:val="0"/>
          <w:szCs w:val="22"/>
        </w:rPr>
        <w:t>.</w:t>
      </w:r>
      <w:r w:rsidRPr="00D81F91" w:rsidR="001E75C2">
        <w:rPr>
          <w:bCs/>
          <w:snapToGrid/>
          <w:kern w:val="0"/>
          <w:szCs w:val="22"/>
        </w:rPr>
        <w:t xml:space="preserve"> </w:t>
      </w:r>
      <w:r w:rsidR="001E75C2">
        <w:rPr>
          <w:bCs/>
          <w:snapToGrid/>
          <w:kern w:val="0"/>
          <w:szCs w:val="22"/>
        </w:rPr>
        <w:t xml:space="preserve"> </w:t>
      </w:r>
      <w:r w:rsidR="001E75C2">
        <w:rPr>
          <w:snapToGrid/>
          <w:kern w:val="0"/>
          <w:szCs w:val="22"/>
        </w:rPr>
        <w:t xml:space="preserve">To that end, </w:t>
      </w:r>
      <w:r w:rsidR="0017566C">
        <w:rPr>
          <w:snapToGrid/>
          <w:kern w:val="0"/>
          <w:szCs w:val="22"/>
        </w:rPr>
        <w:t xml:space="preserve">Applicants have </w:t>
      </w:r>
      <w:r w:rsidR="0014551C">
        <w:rPr>
          <w:snapToGrid/>
          <w:kern w:val="0"/>
          <w:szCs w:val="22"/>
        </w:rPr>
        <w:t xml:space="preserve">confirmed </w:t>
      </w:r>
      <w:r w:rsidR="0017566C">
        <w:rPr>
          <w:snapToGrid/>
          <w:kern w:val="0"/>
          <w:szCs w:val="22"/>
        </w:rPr>
        <w:t xml:space="preserve">that the </w:t>
      </w:r>
      <w:r w:rsidR="00AC59EC">
        <w:rPr>
          <w:snapToGrid/>
          <w:kern w:val="0"/>
          <w:szCs w:val="22"/>
        </w:rPr>
        <w:t>“</w:t>
      </w:r>
      <w:r w:rsidR="0017566C">
        <w:rPr>
          <w:snapToGrid/>
          <w:kern w:val="0"/>
          <w:szCs w:val="22"/>
        </w:rPr>
        <w:t>management team that demonstrated the necessary industry experience to qualify to obtain CAF-II Auction and RDOF funding will remain in place.”</w:t>
      </w:r>
      <w:r>
        <w:rPr>
          <w:rStyle w:val="FootnoteReference"/>
          <w:snapToGrid/>
          <w:kern w:val="0"/>
          <w:szCs w:val="22"/>
        </w:rPr>
        <w:footnoteReference w:id="25"/>
      </w:r>
      <w:r w:rsidR="0017566C">
        <w:rPr>
          <w:snapToGrid/>
          <w:kern w:val="0"/>
          <w:szCs w:val="22"/>
        </w:rPr>
        <w:t xml:space="preserve">  </w:t>
      </w:r>
      <w:r w:rsidR="004C57A4">
        <w:rPr>
          <w:snapToGrid/>
          <w:kern w:val="0"/>
          <w:szCs w:val="22"/>
        </w:rPr>
        <w:t>They</w:t>
      </w:r>
      <w:r w:rsidR="0017566C">
        <w:rPr>
          <w:snapToGrid/>
          <w:kern w:val="0"/>
          <w:szCs w:val="22"/>
        </w:rPr>
        <w:t xml:space="preserve"> have also </w:t>
      </w:r>
      <w:r w:rsidR="00C34F82">
        <w:rPr>
          <w:snapToGrid/>
          <w:kern w:val="0"/>
          <w:szCs w:val="22"/>
        </w:rPr>
        <w:t>confirmed</w:t>
      </w:r>
      <w:r w:rsidR="0017566C">
        <w:rPr>
          <w:snapToGrid/>
          <w:kern w:val="0"/>
          <w:szCs w:val="22"/>
        </w:rPr>
        <w:t xml:space="preserve"> that the transaction </w:t>
      </w:r>
      <w:r w:rsidR="004C57A4">
        <w:rPr>
          <w:snapToGrid/>
          <w:kern w:val="0"/>
          <w:szCs w:val="22"/>
        </w:rPr>
        <w:t>“</w:t>
      </w:r>
      <w:r w:rsidR="0017566C">
        <w:rPr>
          <w:snapToGrid/>
          <w:kern w:val="0"/>
          <w:szCs w:val="22"/>
        </w:rPr>
        <w:t>will</w:t>
      </w:r>
      <w:r w:rsidR="004C57A4">
        <w:rPr>
          <w:snapToGrid/>
          <w:kern w:val="0"/>
          <w:szCs w:val="22"/>
        </w:rPr>
        <w:t xml:space="preserve"> </w:t>
      </w:r>
      <w:r w:rsidR="0017566C">
        <w:rPr>
          <w:snapToGrid/>
          <w:kern w:val="0"/>
          <w:szCs w:val="22"/>
        </w:rPr>
        <w:t xml:space="preserve">not </w:t>
      </w:r>
      <w:r w:rsidR="00861822">
        <w:rPr>
          <w:snapToGrid/>
          <w:kern w:val="0"/>
          <w:szCs w:val="22"/>
        </w:rPr>
        <w:t>result in any alteration to the buildout plans submitted to the Commission in order to qualify for CAF-II Auction and RDOF Auction funding.”</w:t>
      </w:r>
      <w:r>
        <w:rPr>
          <w:rStyle w:val="FootnoteReference"/>
          <w:snapToGrid/>
          <w:kern w:val="0"/>
          <w:szCs w:val="22"/>
        </w:rPr>
        <w:footnoteReference w:id="26"/>
      </w:r>
      <w:r w:rsidR="0017566C">
        <w:rPr>
          <w:snapToGrid/>
          <w:kern w:val="0"/>
          <w:szCs w:val="22"/>
        </w:rPr>
        <w:t xml:space="preserve">  </w:t>
      </w:r>
      <w:r w:rsidR="004C57A4">
        <w:rPr>
          <w:snapToGrid/>
          <w:kern w:val="0"/>
          <w:szCs w:val="22"/>
        </w:rPr>
        <w:t xml:space="preserve">We recognize that </w:t>
      </w:r>
      <w:r w:rsidR="00C34F82">
        <w:rPr>
          <w:snapToGrid/>
          <w:kern w:val="0"/>
          <w:szCs w:val="22"/>
        </w:rPr>
        <w:t xml:space="preserve">Point Acquisition may offer Point Fiber </w:t>
      </w:r>
      <w:r w:rsidR="00861822">
        <w:rPr>
          <w:snapToGrid/>
          <w:kern w:val="0"/>
          <w:szCs w:val="22"/>
        </w:rPr>
        <w:t xml:space="preserve">the benefit of </w:t>
      </w:r>
      <w:r w:rsidR="00C34F82">
        <w:rPr>
          <w:snapToGrid/>
          <w:kern w:val="0"/>
          <w:szCs w:val="22"/>
        </w:rPr>
        <w:t>certain industry experience</w:t>
      </w:r>
      <w:r w:rsidR="00AC59EC">
        <w:rPr>
          <w:snapToGrid/>
          <w:kern w:val="0"/>
          <w:szCs w:val="22"/>
        </w:rPr>
        <w:t xml:space="preserve">, as a result of </w:t>
      </w:r>
      <w:r w:rsidR="00861822">
        <w:rPr>
          <w:snapToGrid/>
          <w:kern w:val="0"/>
          <w:szCs w:val="22"/>
        </w:rPr>
        <w:t xml:space="preserve">GTCR’s </w:t>
      </w:r>
      <w:r w:rsidR="0014551C">
        <w:rPr>
          <w:snapToGrid/>
          <w:kern w:val="0"/>
          <w:szCs w:val="22"/>
        </w:rPr>
        <w:t xml:space="preserve">prior </w:t>
      </w:r>
      <w:r w:rsidR="00861822">
        <w:rPr>
          <w:snapToGrid/>
          <w:kern w:val="0"/>
          <w:szCs w:val="22"/>
        </w:rPr>
        <w:t>investment in o</w:t>
      </w:r>
      <w:r w:rsidR="00AC59EC">
        <w:rPr>
          <w:snapToGrid/>
          <w:kern w:val="0"/>
          <w:szCs w:val="22"/>
        </w:rPr>
        <w:t>ther telecommunications providers,</w:t>
      </w:r>
      <w:r w:rsidR="00C34F82">
        <w:rPr>
          <w:snapToGrid/>
          <w:kern w:val="0"/>
          <w:szCs w:val="22"/>
        </w:rPr>
        <w:t xml:space="preserve"> a</w:t>
      </w:r>
      <w:r w:rsidR="00861822">
        <w:rPr>
          <w:snapToGrid/>
          <w:kern w:val="0"/>
          <w:szCs w:val="22"/>
        </w:rPr>
        <w:t>s well as a</w:t>
      </w:r>
      <w:r w:rsidR="00AC59EC">
        <w:rPr>
          <w:snapToGrid/>
          <w:kern w:val="0"/>
          <w:szCs w:val="22"/>
        </w:rPr>
        <w:t xml:space="preserve">dditional </w:t>
      </w:r>
      <w:r w:rsidR="00C34F82">
        <w:rPr>
          <w:snapToGrid/>
          <w:kern w:val="0"/>
          <w:szCs w:val="22"/>
        </w:rPr>
        <w:t>financial resources</w:t>
      </w:r>
      <w:r w:rsidR="00C85AF8">
        <w:rPr>
          <w:snapToGrid/>
          <w:kern w:val="0"/>
          <w:szCs w:val="22"/>
        </w:rPr>
        <w:t xml:space="preserve"> </w:t>
      </w:r>
      <w:r w:rsidR="00C85AF8">
        <w:rPr>
          <w:color w:val="000000"/>
          <w:szCs w:val="22"/>
        </w:rPr>
        <w:t xml:space="preserve">to </w:t>
      </w:r>
      <w:r w:rsidR="00C85AF8">
        <w:rPr>
          <w:szCs w:val="22"/>
        </w:rPr>
        <w:t>accelerate Point Fiber’s network construction and service deployment</w:t>
      </w:r>
      <w:r w:rsidR="004C57A4">
        <w:rPr>
          <w:snapToGrid/>
          <w:kern w:val="0"/>
          <w:szCs w:val="22"/>
        </w:rPr>
        <w:t>.</w:t>
      </w:r>
      <w:r>
        <w:rPr>
          <w:rStyle w:val="FootnoteReference"/>
          <w:snapToGrid/>
          <w:kern w:val="0"/>
          <w:szCs w:val="22"/>
        </w:rPr>
        <w:footnoteReference w:id="27"/>
      </w:r>
      <w:r w:rsidR="004C57A4">
        <w:rPr>
          <w:snapToGrid/>
          <w:kern w:val="0"/>
          <w:szCs w:val="22"/>
        </w:rPr>
        <w:t xml:space="preserve"> </w:t>
      </w:r>
      <w:r w:rsidR="00861822">
        <w:rPr>
          <w:snapToGrid/>
          <w:kern w:val="0"/>
          <w:szCs w:val="22"/>
        </w:rPr>
        <w:t xml:space="preserve"> </w:t>
      </w:r>
      <w:r w:rsidR="004C57A4">
        <w:rPr>
          <w:bCs/>
          <w:snapToGrid/>
          <w:kern w:val="0"/>
          <w:szCs w:val="22"/>
        </w:rPr>
        <w:t xml:space="preserve">In light of Applicants’ commitments to meet </w:t>
      </w:r>
      <w:r w:rsidR="001E75C2">
        <w:rPr>
          <w:bCs/>
          <w:snapToGrid/>
          <w:kern w:val="0"/>
          <w:szCs w:val="22"/>
        </w:rPr>
        <w:t xml:space="preserve">Point Fiber’s funding </w:t>
      </w:r>
      <w:r w:rsidR="004C57A4">
        <w:rPr>
          <w:bCs/>
          <w:snapToGrid/>
          <w:kern w:val="0"/>
          <w:szCs w:val="22"/>
        </w:rPr>
        <w:t xml:space="preserve">obligations, the possible benefits that are likely to result from the proposed transaction, and the absence of </w:t>
      </w:r>
      <w:r w:rsidRPr="00880227">
        <w:rPr>
          <w:szCs w:val="22"/>
        </w:rPr>
        <w:t xml:space="preserve">competitive </w:t>
      </w:r>
      <w:r w:rsidR="004C57A4">
        <w:rPr>
          <w:szCs w:val="22"/>
        </w:rPr>
        <w:t xml:space="preserve">or other </w:t>
      </w:r>
      <w:r w:rsidRPr="00880227">
        <w:rPr>
          <w:szCs w:val="22"/>
        </w:rPr>
        <w:t xml:space="preserve">harms </w:t>
      </w:r>
      <w:r w:rsidR="004C57A4">
        <w:rPr>
          <w:szCs w:val="22"/>
        </w:rPr>
        <w:t>raised in the record</w:t>
      </w:r>
      <w:r w:rsidR="00165E2A">
        <w:rPr>
          <w:szCs w:val="22"/>
        </w:rPr>
        <w:t xml:space="preserve">, we find this transaction to be in the public interest.  </w:t>
      </w:r>
    </w:p>
    <w:p w:rsidR="00D06F09" w:rsidRPr="00D06F09" w:rsidP="0000222B" w14:paraId="7779A6DC" w14:textId="0F273AE9">
      <w:pPr>
        <w:widowControl/>
        <w:autoSpaceDE w:val="0"/>
        <w:autoSpaceDN w:val="0"/>
        <w:adjustRightInd w:val="0"/>
        <w:spacing w:after="120"/>
        <w:ind w:firstLine="720"/>
        <w:rPr>
          <w:sz w:val="12"/>
          <w:szCs w:val="1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w:t>
      </w:r>
      <w:r w:rsidR="0044678A">
        <w:rPr>
          <w:szCs w:val="22"/>
        </w:rPr>
        <w:t>.</w:t>
      </w:r>
      <w:r w:rsidRPr="00B02A93">
        <w:rPr>
          <w:szCs w:val="22"/>
        </w:rPr>
        <w:t>F</w:t>
      </w:r>
      <w:r w:rsidR="0044678A">
        <w:rPr>
          <w:szCs w:val="22"/>
        </w:rPr>
        <w:t>.</w:t>
      </w:r>
      <w:r w:rsidRPr="00B02A93">
        <w:rPr>
          <w:szCs w:val="22"/>
        </w:rPr>
        <w:t>R</w:t>
      </w:r>
      <w:r w:rsidR="0044678A">
        <w:rPr>
          <w:szCs w:val="22"/>
        </w:rPr>
        <w:t>.</w:t>
      </w:r>
      <w:r w:rsidRPr="00B02A93">
        <w:rPr>
          <w:szCs w:val="22"/>
        </w:rPr>
        <w:t xml:space="preserve"> §§ 0.91, 0.291, 63.03, and 63.04, the Bureau hereby grants the Application discussed in this Public </w:t>
      </w:r>
      <w:r w:rsidR="0000222B">
        <w:rPr>
          <w:szCs w:val="22"/>
        </w:rPr>
        <w:t>Notice.</w:t>
      </w:r>
    </w:p>
    <w:p w:rsidR="002D7CCE" w:rsidRPr="00B02A93" w:rsidP="00D06F09" w14:paraId="110330C6" w14:textId="63E75A2C">
      <w:pPr>
        <w:widowControl/>
        <w:autoSpaceDE w:val="0"/>
        <w:autoSpaceDN w:val="0"/>
        <w:adjustRightInd w:val="0"/>
        <w:spacing w:after="120"/>
        <w:ind w:firstLine="720"/>
        <w:rPr>
          <w:szCs w:val="22"/>
        </w:rPr>
      </w:pPr>
      <w:r w:rsidRPr="00B02A93">
        <w:rPr>
          <w:szCs w:val="22"/>
        </w:rPr>
        <w:t xml:space="preserve"> Pursuant to section 1.103 of the Commission's rules, 47 C.F.R. § 1.103, the grant is effective upon release of this Public Notice.</w:t>
      </w:r>
      <w:r>
        <w:rPr>
          <w:rStyle w:val="FootnoteReference"/>
          <w:szCs w:val="22"/>
        </w:rPr>
        <w:footnoteReference w:id="28"/>
      </w:r>
      <w:r w:rsidRPr="00B02A93">
        <w:rPr>
          <w:szCs w:val="22"/>
        </w:rPr>
        <w:t xml:space="preserve">  Petitions for reconsideration under section 1.106 or applications for </w:t>
      </w:r>
      <w:r w:rsidRPr="00B02A93">
        <w:rPr>
          <w:szCs w:val="22"/>
        </w:rPr>
        <w:t>review under section 1.115 of the Commission's rules, 47 C.F.R. §§ 1.106, 1.115, may be filed within 30 days of the date of this Public Notice.</w:t>
      </w:r>
      <w:bookmarkStart w:id="0" w:name="FN[FN9]"/>
      <w:bookmarkStart w:id="1" w:name="sp_999_1"/>
      <w:bookmarkStart w:id="2" w:name="SDU_1"/>
      <w:bookmarkEnd w:id="0"/>
      <w:bookmarkEnd w:id="1"/>
      <w:bookmarkEnd w:id="2"/>
    </w:p>
    <w:p w:rsidR="002D7CCE" w:rsidRPr="00B02A93" w:rsidP="00986B91" w14:paraId="4272D04E" w14:textId="4283A4F5">
      <w:pPr>
        <w:ind w:firstLine="720"/>
        <w:rPr>
          <w:szCs w:val="22"/>
        </w:rPr>
      </w:pPr>
      <w:bookmarkStart w:id="3" w:name="sp_999_2"/>
      <w:bookmarkStart w:id="4" w:name="SDU_2"/>
      <w:bookmarkEnd w:id="3"/>
      <w:bookmarkEnd w:id="4"/>
      <w:r w:rsidRPr="00B02A93">
        <w:rPr>
          <w:szCs w:val="22"/>
        </w:rPr>
        <w:t xml:space="preserve">For further information, please contact </w:t>
      </w:r>
      <w:r w:rsidR="00410921">
        <w:rPr>
          <w:szCs w:val="22"/>
        </w:rPr>
        <w:t>Jodie May</w:t>
      </w:r>
      <w:r w:rsidRPr="00B02A93">
        <w:rPr>
          <w:szCs w:val="22"/>
        </w:rPr>
        <w:t>, Wireline Competition Bureau, Competition Policy Division,</w:t>
      </w:r>
      <w:r w:rsidR="00410921">
        <w:rPr>
          <w:szCs w:val="22"/>
        </w:rPr>
        <w:t xml:space="preserve"> </w:t>
      </w:r>
      <w:r w:rsidR="00FC6E66">
        <w:rPr>
          <w:szCs w:val="22"/>
        </w:rPr>
        <w:t>(202) 418-0913</w:t>
      </w:r>
      <w:r w:rsidR="00CE2113">
        <w:rPr>
          <w:szCs w:val="22"/>
        </w:rPr>
        <w:t xml:space="preserve">. </w:t>
      </w:r>
    </w:p>
    <w:p w:rsidR="002D7CCE" w:rsidRPr="00B02A93" w:rsidP="002D7CCE" w14:paraId="49AE18E7" w14:textId="77777777">
      <w:pPr>
        <w:pStyle w:val="Default"/>
        <w:rPr>
          <w:color w:val="auto"/>
          <w:sz w:val="22"/>
          <w:szCs w:val="22"/>
        </w:rPr>
      </w:pPr>
    </w:p>
    <w:p w:rsidR="002D7CCE" w:rsidRPr="00B02A93" w:rsidP="002D7CCE" w14:paraId="36FE2438" w14:textId="77777777">
      <w:pPr>
        <w:pStyle w:val="Default"/>
        <w:jc w:val="center"/>
        <w:rPr>
          <w:b/>
          <w:bCs/>
          <w:color w:val="auto"/>
          <w:sz w:val="22"/>
          <w:szCs w:val="22"/>
        </w:rPr>
      </w:pPr>
      <w:r w:rsidRPr="00B02A93">
        <w:rPr>
          <w:b/>
          <w:bCs/>
          <w:color w:val="auto"/>
          <w:sz w:val="22"/>
          <w:szCs w:val="22"/>
        </w:rPr>
        <w:t>-FCC-</w:t>
      </w:r>
    </w:p>
    <w:p w:rsidR="002D7CCE" w:rsidRPr="00B02A93" w:rsidP="006F4636" w14:paraId="4EC04B10" w14:textId="77777777">
      <w:pPr>
        <w:pStyle w:val="Default"/>
        <w:ind w:firstLine="720"/>
        <w:rPr>
          <w:color w:val="auto"/>
          <w:szCs w:val="22"/>
        </w:rPr>
      </w:pPr>
    </w:p>
    <w:p w:rsidR="006F4636" w:rsidRPr="00B02A93" w:rsidP="00EC2DFD" w14:paraId="420C9308" w14:textId="77777777">
      <w:pPr>
        <w:pStyle w:val="Default"/>
        <w:ind w:firstLine="720"/>
        <w:rPr>
          <w:color w:val="auto"/>
          <w:sz w:val="22"/>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297D" w14:paraId="662F1508" w14:textId="77777777">
      <w:r>
        <w:separator/>
      </w:r>
    </w:p>
  </w:footnote>
  <w:footnote w:type="continuationSeparator" w:id="1">
    <w:p w:rsidR="0024297D" w14:paraId="30A645FA" w14:textId="77777777">
      <w:pPr>
        <w:rPr>
          <w:sz w:val="20"/>
        </w:rPr>
      </w:pPr>
      <w:r>
        <w:rPr>
          <w:sz w:val="20"/>
        </w:rPr>
        <w:t xml:space="preserve">(Continued from previous page)  </w:t>
      </w:r>
      <w:r>
        <w:rPr>
          <w:sz w:val="20"/>
        </w:rPr>
        <w:separator/>
      </w:r>
    </w:p>
  </w:footnote>
  <w:footnote w:type="continuationNotice" w:id="2">
    <w:p w:rsidR="0024297D" w:rsidP="00910F12" w14:paraId="62E440E7" w14:textId="77777777">
      <w:pPr>
        <w:jc w:val="right"/>
        <w:rPr>
          <w:sz w:val="20"/>
        </w:rPr>
      </w:pPr>
      <w:r>
        <w:rPr>
          <w:sz w:val="20"/>
        </w:rPr>
        <w:t>(continued….)</w:t>
      </w:r>
    </w:p>
  </w:footnote>
  <w:footnote w:id="3">
    <w:p w:rsidR="00C84CB7" w:rsidRPr="00C25666" w:rsidP="00C84CB7" w14:paraId="02D25B62" w14:textId="56CF73A6">
      <w:pPr>
        <w:pStyle w:val="FootnoteText"/>
      </w:pPr>
      <w:r w:rsidRPr="00C25666">
        <w:rPr>
          <w:rStyle w:val="FootnoteReference"/>
        </w:rPr>
        <w:footnoteRef/>
      </w:r>
      <w:r w:rsidRPr="00C25666">
        <w:t xml:space="preserve"> Joint Domestic and International Application of Point Broadband, LLC and Point Broadband Acquisition, LLC for Grant of Authority Pursuant to Section 214 of the Communications Act of 1934, as Amended, and Section 63 of the Commission’s Rules to Complete a Transfer of Control, WC Docket No. 21-236 (filed Jun. 2, 2021), </w:t>
      </w:r>
      <w:hyperlink r:id="rId1" w:history="1">
        <w:r w:rsidRPr="00C25666">
          <w:rPr>
            <w:rStyle w:val="Hyperlink"/>
          </w:rPr>
          <w:t>https://ecfsapi.fcc.gov/file/10602226363779/Final%206-2-2021%20-%20Point%20-%20GTCR</w:t>
        </w:r>
        <w:r w:rsidRPr="00C25666">
          <w:rPr>
            <w:rStyle w:val="Hyperlink"/>
          </w:rPr>
          <w:br/>
          <w:t>%20Domestic%20214%20Application.pdf</w:t>
        </w:r>
      </w:hyperlink>
      <w:r w:rsidRPr="00C25666">
        <w:t xml:space="preserve"> (Application). </w:t>
      </w:r>
      <w:r>
        <w:t xml:space="preserve"> </w:t>
      </w:r>
    </w:p>
  </w:footnote>
  <w:footnote w:id="4">
    <w:p w:rsidR="00C84CB7" w:rsidRPr="00C25666" w:rsidP="00C84CB7" w14:paraId="67708D42" w14:textId="57BAB42B">
      <w:pPr>
        <w:spacing w:after="120"/>
        <w:rPr>
          <w:sz w:val="20"/>
        </w:rPr>
      </w:pPr>
      <w:r w:rsidRPr="00C25666">
        <w:rPr>
          <w:rStyle w:val="FootnoteReference"/>
          <w:sz w:val="20"/>
        </w:rPr>
        <w:footnoteRef/>
      </w:r>
      <w:r w:rsidRPr="00C25666">
        <w:rPr>
          <w:sz w:val="20"/>
        </w:rPr>
        <w:t xml:space="preserve"> </w:t>
      </w:r>
      <w:r w:rsidRPr="00C25666">
        <w:rPr>
          <w:i/>
          <w:sz w:val="20"/>
        </w:rPr>
        <w:t>See</w:t>
      </w:r>
      <w:r w:rsidRPr="00C25666">
        <w:rPr>
          <w:sz w:val="20"/>
        </w:rPr>
        <w:t xml:space="preserve"> 47 U.S.C. § 214; 47 CFR §§ 63.03-04</w:t>
      </w:r>
      <w:r>
        <w:rPr>
          <w:sz w:val="20"/>
        </w:rPr>
        <w:t xml:space="preserve">.  </w:t>
      </w:r>
      <w:r w:rsidRPr="00C25666">
        <w:rPr>
          <w:sz w:val="20"/>
        </w:rPr>
        <w:t xml:space="preserve">Applicants </w:t>
      </w:r>
      <w:r w:rsidR="00972B39">
        <w:rPr>
          <w:sz w:val="20"/>
        </w:rPr>
        <w:t xml:space="preserve">also </w:t>
      </w:r>
      <w:r w:rsidRPr="00C25666">
        <w:rPr>
          <w:sz w:val="20"/>
        </w:rPr>
        <w:t>fil</w:t>
      </w:r>
      <w:r w:rsidR="00972B39">
        <w:rPr>
          <w:sz w:val="20"/>
        </w:rPr>
        <w:t xml:space="preserve">ed </w:t>
      </w:r>
      <w:r w:rsidRPr="00C25666">
        <w:rPr>
          <w:sz w:val="20"/>
        </w:rPr>
        <w:t xml:space="preserve">applications for the transfer of control of </w:t>
      </w:r>
      <w:r w:rsidR="00972B39">
        <w:rPr>
          <w:sz w:val="20"/>
        </w:rPr>
        <w:t xml:space="preserve">international and </w:t>
      </w:r>
      <w:r w:rsidRPr="00C25666">
        <w:rPr>
          <w:sz w:val="20"/>
        </w:rPr>
        <w:t xml:space="preserve">wireless services.  On June 11, 2021, </w:t>
      </w:r>
      <w:r w:rsidR="00525169">
        <w:rPr>
          <w:sz w:val="20"/>
        </w:rPr>
        <w:t>A</w:t>
      </w:r>
      <w:r w:rsidRPr="00C25666">
        <w:rPr>
          <w:sz w:val="20"/>
        </w:rPr>
        <w:t xml:space="preserve">pplicants filed a supplement to their domestic section 214 application.  </w:t>
      </w:r>
      <w:r w:rsidR="00972B39">
        <w:rPr>
          <w:sz w:val="20"/>
        </w:rPr>
        <w:t xml:space="preserve">Letter from Matthew S. DelNero and Thomas G. Parisi, Counsel for Point Acquisition, and Stephen E. Coran, Counsel for Transferor, to Marlene Dortch, Secretary, FCC, WC Docket No. 21-236 (filed June 11, 2021) (Supplement).  </w:t>
      </w:r>
      <w:r w:rsidRPr="00C25666">
        <w:rPr>
          <w:sz w:val="20"/>
        </w:rPr>
        <w:t>Any action on th</w:t>
      </w:r>
      <w:r>
        <w:rPr>
          <w:sz w:val="20"/>
        </w:rPr>
        <w:t>e</w:t>
      </w:r>
      <w:r w:rsidRPr="00C25666">
        <w:rPr>
          <w:sz w:val="20"/>
        </w:rPr>
        <w:t xml:space="preserve"> </w:t>
      </w:r>
      <w:r w:rsidR="00B81771">
        <w:rPr>
          <w:sz w:val="20"/>
        </w:rPr>
        <w:t xml:space="preserve">domestic </w:t>
      </w:r>
      <w:r w:rsidRPr="00C25666">
        <w:rPr>
          <w:sz w:val="20"/>
        </w:rPr>
        <w:t>section 214 application is without prejudice to Commission action on other related, pending applications.</w:t>
      </w:r>
    </w:p>
  </w:footnote>
  <w:footnote w:id="5">
    <w:p w:rsidR="008774D9" w:rsidP="008774D9" w14:paraId="45CA48F1" w14:textId="0A4976C3">
      <w:pPr>
        <w:pStyle w:val="FootnoteText"/>
      </w:pPr>
      <w:r>
        <w:rPr>
          <w:rStyle w:val="FootnoteReference"/>
        </w:rPr>
        <w:footnoteRef/>
      </w:r>
      <w:r>
        <w:t xml:space="preserve"> </w:t>
      </w:r>
      <w:r w:rsidR="00C84CB7">
        <w:rPr>
          <w:i/>
          <w:iCs/>
        </w:rPr>
        <w:t>Application Filed for the Transfer of Control of Subsidiaries of Point Broadband, LLC to Point Broadband Acquisition, LLC</w:t>
      </w:r>
      <w:r w:rsidR="00C84CB7">
        <w:t>,</w:t>
      </w:r>
      <w:r w:rsidRPr="00207939">
        <w:t xml:space="preserve"> WC Docket No. 2</w:t>
      </w:r>
      <w:r>
        <w:t>1</w:t>
      </w:r>
      <w:r w:rsidRPr="00207939">
        <w:t>-</w:t>
      </w:r>
      <w:r w:rsidR="00C84CB7">
        <w:t>236</w:t>
      </w:r>
      <w:r>
        <w:t>, Public Notice, DA 21-</w:t>
      </w:r>
      <w:r w:rsidR="00C84CB7">
        <w:t>737</w:t>
      </w:r>
      <w:r w:rsidRPr="008670A1">
        <w:t xml:space="preserve"> </w:t>
      </w:r>
      <w:r>
        <w:t>(WCB</w:t>
      </w:r>
      <w:r w:rsidR="00972B39">
        <w:t>/IB</w:t>
      </w:r>
      <w:r>
        <w:t xml:space="preserve"> 2021).     </w:t>
      </w:r>
    </w:p>
  </w:footnote>
  <w:footnote w:id="6">
    <w:p w:rsidR="00C84CB7" w:rsidRPr="00C25666" w:rsidP="00C84CB7" w14:paraId="0AB1A48D" w14:textId="77777777">
      <w:pPr>
        <w:pStyle w:val="FootnoteText"/>
      </w:pPr>
      <w:r w:rsidRPr="00C25666">
        <w:rPr>
          <w:rStyle w:val="FootnoteReference"/>
        </w:rPr>
        <w:footnoteRef/>
      </w:r>
      <w:r w:rsidRPr="00C25666">
        <w:t xml:space="preserve"> Application at 3.</w:t>
      </w:r>
    </w:p>
  </w:footnote>
  <w:footnote w:id="7">
    <w:p w:rsidR="00C84CB7" w:rsidRPr="00C25666" w:rsidP="00C84CB7" w14:paraId="5C025CEF" w14:textId="77777777">
      <w:pPr>
        <w:pStyle w:val="FootnoteText"/>
      </w:pPr>
      <w:r w:rsidRPr="00C25666">
        <w:rPr>
          <w:rStyle w:val="FootnoteReference"/>
        </w:rPr>
        <w:footnoteRef/>
      </w:r>
      <w:r w:rsidRPr="00C25666">
        <w:t xml:space="preserve"> </w:t>
      </w:r>
      <w:r w:rsidRPr="00C25666">
        <w:rPr>
          <w:i/>
          <w:iCs/>
        </w:rPr>
        <w:t>Id.</w:t>
      </w:r>
      <w:r w:rsidRPr="00C25666">
        <w:t xml:space="preserve"> at 10. </w:t>
      </w:r>
    </w:p>
  </w:footnote>
  <w:footnote w:id="8">
    <w:p w:rsidR="00C84CB7" w:rsidRPr="00C25666" w:rsidP="00C84CB7" w14:paraId="61B42100" w14:textId="77777777">
      <w:pPr>
        <w:pStyle w:val="FootnoteText"/>
        <w:rPr>
          <w:i/>
          <w:iCs/>
        </w:rPr>
      </w:pPr>
      <w:r w:rsidRPr="00C25666">
        <w:rPr>
          <w:rStyle w:val="FootnoteReference"/>
        </w:rPr>
        <w:footnoteRef/>
      </w:r>
      <w:r w:rsidRPr="00C25666">
        <w:t xml:space="preserve"> </w:t>
      </w:r>
      <w:r w:rsidRPr="00C25666">
        <w:rPr>
          <w:i/>
          <w:iCs/>
        </w:rPr>
        <w:t>Id.</w:t>
      </w:r>
    </w:p>
  </w:footnote>
  <w:footnote w:id="9">
    <w:p w:rsidR="00C84CB7" w:rsidRPr="00C25666" w:rsidP="00C84CB7" w14:paraId="5662F795" w14:textId="77777777">
      <w:pPr>
        <w:pStyle w:val="FootnoteText"/>
      </w:pPr>
      <w:r w:rsidRPr="00C25666">
        <w:rPr>
          <w:rStyle w:val="FootnoteReference"/>
        </w:rPr>
        <w:footnoteRef/>
      </w:r>
      <w:r w:rsidRPr="00C25666">
        <w:t xml:space="preserve"> </w:t>
      </w:r>
      <w:r w:rsidRPr="00C25666">
        <w:rPr>
          <w:i/>
          <w:iCs/>
        </w:rPr>
        <w:t>Id.</w:t>
      </w:r>
      <w:r w:rsidRPr="00C25666">
        <w:t xml:space="preserve"> at 3. </w:t>
      </w:r>
    </w:p>
  </w:footnote>
  <w:footnote w:id="10">
    <w:p w:rsidR="00C84CB7" w:rsidRPr="00C25666" w:rsidP="00C84CB7" w14:paraId="5DA7B8E7" w14:textId="77777777">
      <w:pPr>
        <w:pStyle w:val="FootnoteText"/>
      </w:pPr>
      <w:r w:rsidRPr="00C25666">
        <w:rPr>
          <w:rStyle w:val="FootnoteReference"/>
        </w:rPr>
        <w:footnoteRef/>
      </w:r>
      <w:r w:rsidRPr="00C25666">
        <w:t xml:space="preserve"> </w:t>
      </w:r>
      <w:r w:rsidRPr="00C25666">
        <w:rPr>
          <w:i/>
          <w:iCs/>
        </w:rPr>
        <w:t>Id.</w:t>
      </w:r>
      <w:r w:rsidRPr="00C25666">
        <w:t xml:space="preserve"> at 3. </w:t>
      </w:r>
    </w:p>
  </w:footnote>
  <w:footnote w:id="11">
    <w:p w:rsidR="00C84CB7" w:rsidRPr="00C25666" w:rsidP="00C84CB7" w14:paraId="066D4E6A" w14:textId="77777777">
      <w:pPr>
        <w:pStyle w:val="FootnoteText"/>
      </w:pPr>
      <w:r w:rsidRPr="00C25666">
        <w:rPr>
          <w:rStyle w:val="FootnoteReference"/>
        </w:rPr>
        <w:footnoteRef/>
      </w:r>
      <w:r w:rsidRPr="00C25666">
        <w:t xml:space="preserve"> </w:t>
      </w:r>
      <w:r w:rsidRPr="00C25666">
        <w:rPr>
          <w:i/>
          <w:iCs/>
        </w:rPr>
        <w:t>Id.</w:t>
      </w:r>
      <w:r w:rsidRPr="00C25666">
        <w:t xml:space="preserve"> at 11. </w:t>
      </w:r>
    </w:p>
  </w:footnote>
  <w:footnote w:id="12">
    <w:p w:rsidR="00C84CB7" w:rsidRPr="00C25666" w:rsidP="00C84CB7" w14:paraId="2A65D97A" w14:textId="77777777">
      <w:pPr>
        <w:pStyle w:val="FootnoteText"/>
      </w:pPr>
      <w:r w:rsidRPr="00C25666">
        <w:rPr>
          <w:rStyle w:val="FootnoteReference"/>
        </w:rPr>
        <w:footnoteRef/>
      </w:r>
      <w:r w:rsidRPr="00C25666">
        <w:t xml:space="preserve"> </w:t>
      </w:r>
      <w:r>
        <w:rPr>
          <w:i/>
          <w:iCs/>
        </w:rPr>
        <w:t xml:space="preserve">Id. </w:t>
      </w:r>
      <w:r w:rsidRPr="00C25666">
        <w:t xml:space="preserve">at 11. </w:t>
      </w:r>
    </w:p>
  </w:footnote>
  <w:footnote w:id="13">
    <w:p w:rsidR="00C84CB7" w:rsidRPr="00C25666" w:rsidP="00C84CB7" w14:paraId="2054F42A" w14:textId="52DD129F">
      <w:pPr>
        <w:pStyle w:val="FootnoteText"/>
      </w:pPr>
      <w:r w:rsidRPr="00C25666">
        <w:rPr>
          <w:rStyle w:val="FootnoteReference"/>
        </w:rPr>
        <w:footnoteRef/>
      </w:r>
      <w:r w:rsidRPr="00C25666">
        <w:t xml:space="preserve"> </w:t>
      </w:r>
      <w:r w:rsidRPr="00C25666">
        <w:rPr>
          <w:i/>
          <w:iCs/>
        </w:rPr>
        <w:t>Id.</w:t>
      </w:r>
      <w:r w:rsidRPr="00C25666">
        <w:t xml:space="preserve"> at 3</w:t>
      </w:r>
      <w:r>
        <w:t>, 11-12</w:t>
      </w:r>
      <w:r w:rsidRPr="00C25666">
        <w:t xml:space="preserve">. </w:t>
      </w:r>
      <w:r>
        <w:t xml:space="preserve">The general partner of Fund XIII/B is GTCR Partners XIII/B LP (Partners XIII/B), and the general partner of Fund XIII/C is GTCR Partners XIII/A&amp;C LP (Partners XIII/A&amp;C).  </w:t>
      </w:r>
      <w:r>
        <w:rPr>
          <w:i/>
          <w:iCs/>
        </w:rPr>
        <w:t>Id</w:t>
      </w:r>
      <w:r>
        <w:t xml:space="preserve">. at 11-12. </w:t>
      </w:r>
      <w:r>
        <w:rPr>
          <w:i/>
          <w:iCs/>
        </w:rPr>
        <w:t xml:space="preserve"> </w:t>
      </w:r>
      <w:r w:rsidRPr="007C3551">
        <w:t xml:space="preserve">The </w:t>
      </w:r>
      <w:r>
        <w:t xml:space="preserve">general partner of Partners XIII/B and Partners XIII/A&amp;C is GTCR Investment XIII LLC, control of which is held by Mark M. Anderson, Craig A. Bondy, Aaron D. Cohen, Sean L. Cunningham, Benjamin J. Daverman, David A. Donnini, Dean S. Mihas, and Collin E. Roche, all U.S. citizens.  </w:t>
      </w:r>
      <w:r w:rsidRPr="007C3551">
        <w:rPr>
          <w:i/>
          <w:iCs/>
        </w:rPr>
        <w:t>Id</w:t>
      </w:r>
      <w:r>
        <w:t xml:space="preserve">.  </w:t>
      </w:r>
      <w:r w:rsidRPr="007C3551">
        <w:t>All</w:t>
      </w:r>
      <w:r>
        <w:t xml:space="preserve"> entities are U.S.-based.  </w:t>
      </w:r>
      <w:r>
        <w:rPr>
          <w:i/>
          <w:iCs/>
        </w:rPr>
        <w:t>Id</w:t>
      </w:r>
      <w:r>
        <w:t>.</w:t>
      </w:r>
      <w:r>
        <w:rPr>
          <w:i/>
          <w:iCs/>
        </w:rPr>
        <w:t xml:space="preserve"> </w:t>
      </w:r>
      <w:r>
        <w:t xml:space="preserve">Applicants state that GTCR has a controlling interest in Onvoy Holdings, Inc. and its subsidiaries, which provide competitive telecommunications services in all 50 states, the District of Columbia, Puerto Rico, and the U.S. Virgin Islands.  </w:t>
      </w:r>
      <w:r>
        <w:rPr>
          <w:i/>
          <w:iCs/>
        </w:rPr>
        <w:t>Id</w:t>
      </w:r>
      <w:r>
        <w:t xml:space="preserve">. at 12-13.  GTCR has filed pending applications to transfer control of these entities to Sinch US Holding Inc.  </w:t>
      </w:r>
      <w:r w:rsidRPr="000D0D16">
        <w:rPr>
          <w:i/>
          <w:iCs/>
        </w:rPr>
        <w:t>Applications Filed for the Transfer of Control of Onvoy Holdings, Inc. to Sinch US Holding Inc</w:t>
      </w:r>
      <w:r>
        <w:t>., WC Docket No. 21-131, Public Notice, DA 21-575 (WCB/IB/WTB</w:t>
      </w:r>
      <w:r w:rsidR="001348F2">
        <w:t xml:space="preserve"> </w:t>
      </w:r>
      <w:r>
        <w:t xml:space="preserve">2021). </w:t>
      </w:r>
    </w:p>
  </w:footnote>
  <w:footnote w:id="14">
    <w:p w:rsidR="00EF0CEF" w14:paraId="42D9BC07" w14:textId="0C6AA93C">
      <w:pPr>
        <w:pStyle w:val="FootnoteText"/>
      </w:pPr>
      <w:r>
        <w:rPr>
          <w:rStyle w:val="FootnoteReference"/>
        </w:rPr>
        <w:footnoteRef/>
      </w:r>
      <w:r>
        <w:t xml:space="preserve"> </w:t>
      </w:r>
      <w:r w:rsidR="006E6B9A">
        <w:t>Application at 4.</w:t>
      </w:r>
    </w:p>
  </w:footnote>
  <w:footnote w:id="15">
    <w:p w:rsidR="00B10DE5" w:rsidRPr="00B10DE5" w14:paraId="0C04C8DB" w14:textId="3346F433">
      <w:pPr>
        <w:pStyle w:val="FootnoteText"/>
      </w:pPr>
      <w:r>
        <w:rPr>
          <w:rStyle w:val="FootnoteReference"/>
        </w:rPr>
        <w:footnoteRef/>
      </w:r>
      <w:r>
        <w:t xml:space="preserve"> </w:t>
      </w:r>
      <w:r>
        <w:rPr>
          <w:i/>
          <w:iCs/>
        </w:rPr>
        <w:t>Id.</w:t>
      </w:r>
    </w:p>
  </w:footnote>
  <w:footnote w:id="16">
    <w:p w:rsidR="00EB28CF" w14:paraId="73C34F56" w14:textId="1E4B2CDF">
      <w:pPr>
        <w:pStyle w:val="FootnoteText"/>
      </w:pPr>
      <w:r>
        <w:rPr>
          <w:rStyle w:val="FootnoteReference"/>
        </w:rPr>
        <w:footnoteRef/>
      </w:r>
      <w:r>
        <w:t xml:space="preserve"> </w:t>
      </w:r>
      <w:r w:rsidR="00DB6AC7">
        <w:rPr>
          <w:i/>
          <w:iCs/>
        </w:rPr>
        <w:t>Id</w:t>
      </w:r>
      <w:r w:rsidR="00DB6AC7">
        <w:t xml:space="preserve">. </w:t>
      </w:r>
      <w:r>
        <w:t xml:space="preserve">at </w:t>
      </w:r>
      <w:r w:rsidR="00FC6E66">
        <w:t>5-</w:t>
      </w:r>
      <w:r>
        <w:t>6</w:t>
      </w:r>
      <w:r w:rsidR="00B00C3A">
        <w:t xml:space="preserve">; </w:t>
      </w:r>
      <w:r w:rsidR="00B00C3A">
        <w:rPr>
          <w:i/>
          <w:iCs/>
        </w:rPr>
        <w:t>RDOF Support Authorized for 466 Winning Bids</w:t>
      </w:r>
      <w:r w:rsidR="00B00C3A">
        <w:t>, AU Docket No. 20-34, WC Docket No. 19-126, WC Docket No. 10-90, Public Notice, Attach. A (Authorized Recipients Summary) (WCB/OEA 2021) (</w:t>
      </w:r>
      <w:r w:rsidRPr="00D5495C" w:rsidR="00B00C3A">
        <w:rPr>
          <w:i/>
          <w:iCs/>
        </w:rPr>
        <w:t>RDOF 1</w:t>
      </w:r>
      <w:r w:rsidRPr="00D5495C" w:rsidR="00B00C3A">
        <w:rPr>
          <w:i/>
          <w:iCs/>
          <w:vertAlign w:val="superscript"/>
        </w:rPr>
        <w:t>st</w:t>
      </w:r>
      <w:r w:rsidRPr="00D5495C" w:rsidR="00B00C3A">
        <w:rPr>
          <w:i/>
          <w:iCs/>
        </w:rPr>
        <w:t xml:space="preserve"> Authorization PN</w:t>
      </w:r>
      <w:r w:rsidR="00B00C3A">
        <w:t>).</w:t>
      </w:r>
    </w:p>
  </w:footnote>
  <w:footnote w:id="17">
    <w:p w:rsidR="009054E8" w:rsidRPr="009054E8" w14:paraId="0A098CFB" w14:textId="6DF9C621">
      <w:pPr>
        <w:pStyle w:val="FootnoteText"/>
      </w:pPr>
      <w:r>
        <w:rPr>
          <w:rStyle w:val="FootnoteReference"/>
        </w:rPr>
        <w:footnoteRef/>
      </w:r>
      <w:r>
        <w:t xml:space="preserve"> </w:t>
      </w:r>
      <w:r w:rsidR="00B00C3A">
        <w:t>Application</w:t>
      </w:r>
      <w:r>
        <w:rPr>
          <w:i/>
          <w:iCs/>
        </w:rPr>
        <w:t xml:space="preserve"> </w:t>
      </w:r>
      <w:r>
        <w:t xml:space="preserve">at 7. </w:t>
      </w:r>
    </w:p>
  </w:footnote>
  <w:footnote w:id="18">
    <w:p w:rsidR="00C84CB7" w:rsidRPr="000D0D16" w:rsidP="00C84CB7" w14:paraId="7627B6BD" w14:textId="4C42C986">
      <w:pPr>
        <w:pStyle w:val="FootnoteText"/>
      </w:pPr>
      <w:r>
        <w:rPr>
          <w:rStyle w:val="FootnoteReference"/>
        </w:rPr>
        <w:footnoteRef/>
      </w:r>
      <w:r>
        <w:t xml:space="preserve"> </w:t>
      </w:r>
      <w:r w:rsidR="00DB6AC7">
        <w:rPr>
          <w:i/>
          <w:iCs/>
        </w:rPr>
        <w:t>Id</w:t>
      </w:r>
      <w:r w:rsidR="00DB6AC7">
        <w:t>. at</w:t>
      </w:r>
      <w:r w:rsidRPr="000D0D16">
        <w:t xml:space="preserve"> 5-7.</w:t>
      </w:r>
    </w:p>
  </w:footnote>
  <w:footnote w:id="19">
    <w:p w:rsidR="00C84CB7" w:rsidRPr="000D0D16" w:rsidP="00C84CB7" w14:paraId="6C9A5570" w14:textId="6E8EE93A">
      <w:pPr>
        <w:pStyle w:val="FootnoteText"/>
      </w:pPr>
      <w:r w:rsidRPr="00C25666">
        <w:rPr>
          <w:rStyle w:val="FootnoteReference"/>
        </w:rPr>
        <w:footnoteRef/>
      </w:r>
      <w:r w:rsidRPr="00C25666">
        <w:t xml:space="preserve"> </w:t>
      </w:r>
      <w:r w:rsidRPr="00C25666">
        <w:rPr>
          <w:i/>
          <w:iCs/>
        </w:rPr>
        <w:t>Id.</w:t>
      </w:r>
      <w:r w:rsidR="00B00C3A">
        <w:t xml:space="preserve"> at 4</w:t>
      </w:r>
      <w:r w:rsidR="00B00C3A">
        <w:rPr>
          <w:i/>
          <w:iCs/>
        </w:rPr>
        <w:t>; RDOF 1</w:t>
      </w:r>
      <w:r w:rsidRPr="00D5495C" w:rsidR="00B00C3A">
        <w:rPr>
          <w:i/>
          <w:iCs/>
          <w:vertAlign w:val="superscript"/>
        </w:rPr>
        <w:t>st</w:t>
      </w:r>
      <w:r w:rsidR="00B00C3A">
        <w:rPr>
          <w:i/>
          <w:iCs/>
        </w:rPr>
        <w:t xml:space="preserve"> Authorization PN, </w:t>
      </w:r>
      <w:r w:rsidR="00B00C3A">
        <w:t>Attach. A.</w:t>
      </w:r>
      <w:r>
        <w:rPr>
          <w:i/>
          <w:iCs/>
        </w:rPr>
        <w:t xml:space="preserve">  </w:t>
      </w:r>
    </w:p>
  </w:footnote>
  <w:footnote w:id="20">
    <w:p w:rsidR="00C84CB7" w:rsidRPr="00C25666" w:rsidP="00C84CB7" w14:paraId="77CC8F5D" w14:textId="610B19B6">
      <w:pPr>
        <w:pStyle w:val="FootnoteText"/>
      </w:pPr>
      <w:r w:rsidRPr="00C25666">
        <w:rPr>
          <w:rStyle w:val="FootnoteReference"/>
        </w:rPr>
        <w:footnoteRef/>
      </w:r>
      <w:r w:rsidRPr="00C25666">
        <w:t xml:space="preserve"> </w:t>
      </w:r>
      <w:r w:rsidR="00B00C3A">
        <w:t>Application</w:t>
      </w:r>
      <w:r w:rsidRPr="00C25666">
        <w:t xml:space="preserve"> at 4. </w:t>
      </w:r>
    </w:p>
  </w:footnote>
  <w:footnote w:id="21">
    <w:p w:rsidR="00C84CB7" w:rsidRPr="00C25666" w:rsidP="00C84CB7" w14:paraId="7DA4CF5A" w14:textId="77777777">
      <w:pPr>
        <w:pStyle w:val="FootnoteText"/>
        <w:rPr>
          <w:i/>
          <w:iCs/>
        </w:rPr>
      </w:pPr>
      <w:r w:rsidRPr="00C25666">
        <w:rPr>
          <w:rStyle w:val="FootnoteReference"/>
        </w:rPr>
        <w:footnoteRef/>
      </w:r>
      <w:r w:rsidRPr="00C25666">
        <w:t xml:space="preserve"> </w:t>
      </w:r>
      <w:r w:rsidRPr="00C25666">
        <w:rPr>
          <w:i/>
          <w:iCs/>
        </w:rPr>
        <w:t>Id.</w:t>
      </w:r>
    </w:p>
  </w:footnote>
  <w:footnote w:id="22">
    <w:p w:rsidR="0014064D" w:rsidP="0014064D" w14:paraId="5B300B69" w14:textId="4382FF99">
      <w:pPr>
        <w:pStyle w:val="FootnoteText"/>
      </w:pPr>
      <w:r>
        <w:rPr>
          <w:rStyle w:val="FootnoteReference"/>
        </w:rPr>
        <w:footnoteRef/>
      </w:r>
      <w:r>
        <w:t xml:space="preserve"> 47 U.S.C. § 214(a); 47 C.F.R. § 63.03. </w:t>
      </w:r>
      <w:r w:rsidR="00A45DD0">
        <w:rPr>
          <w:i/>
          <w:iCs/>
        </w:rPr>
        <w:t>See Telecommunications Carriers Eligible for Universal Service Support</w:t>
      </w:r>
      <w:r w:rsidR="00A45DD0">
        <w:t xml:space="preserve">, WC Docket No. 09-197, </w:t>
      </w:r>
      <w:r w:rsidR="00A45DD0">
        <w:rPr>
          <w:i/>
          <w:iCs/>
        </w:rPr>
        <w:t>Connect America Fund</w:t>
      </w:r>
      <w:r w:rsidR="00A45DD0">
        <w:t>, WC Docket No. 10-90, Order, DA 21-663, para. 30 (WCB 2021)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t xml:space="preserve"> </w:t>
      </w:r>
    </w:p>
  </w:footnote>
  <w:footnote w:id="23">
    <w:p w:rsidR="00A45DD0" w:rsidRPr="0017566C" w:rsidP="00A45DD0" w14:paraId="5D300BFC" w14:textId="191A0924">
      <w:pPr>
        <w:pStyle w:val="FootnoteText"/>
      </w:pPr>
      <w:r>
        <w:rPr>
          <w:rStyle w:val="FootnoteReference"/>
        </w:rPr>
        <w:footnoteRef/>
      </w:r>
      <w:r>
        <w:t xml:space="preserve"> Application at 5-6. </w:t>
      </w:r>
      <w:r>
        <w:rPr>
          <w:i/>
          <w:iCs/>
        </w:rPr>
        <w:t xml:space="preserve">see </w:t>
      </w:r>
      <w:r w:rsidR="00B00C3A">
        <w:rPr>
          <w:i/>
          <w:iCs/>
        </w:rPr>
        <w:t>RDOF 1</w:t>
      </w:r>
      <w:r w:rsidRPr="00D5495C" w:rsidR="00B00C3A">
        <w:rPr>
          <w:i/>
          <w:iCs/>
          <w:vertAlign w:val="superscript"/>
        </w:rPr>
        <w:t>st</w:t>
      </w:r>
      <w:r w:rsidR="00B00C3A">
        <w:rPr>
          <w:i/>
          <w:iCs/>
        </w:rPr>
        <w:t xml:space="preserve"> Authorization PN </w:t>
      </w:r>
      <w:r w:rsidRPr="00410921">
        <w:t>at 1-9 and Attach. A</w:t>
      </w:r>
      <w:r>
        <w:t xml:space="preserve"> (listing authorized Auction 904 long-form applicants and describing their required service milestones and other obligations); </w:t>
      </w:r>
      <w:r w:rsidRPr="00A93BBB">
        <w:rPr>
          <w:i/>
          <w:iCs/>
        </w:rPr>
        <w:t>Connect America Fund Phase II Auction Support Authorized for 387 Winning Bids</w:t>
      </w:r>
      <w:r>
        <w:t>, AU Docket No. 17-182, WC Docket No. 10-90, Public Notice, 34 FCC Rcd 9406, 9407-11, Attach. A (Authorized Long-Form Applicants and Winning Bids) (WCB 2019) (listing authorized Auction 903 long-form applicants and describing their required service milestones and other obligations).</w:t>
      </w:r>
    </w:p>
  </w:footnote>
  <w:footnote w:id="24">
    <w:p w:rsidR="00A45DD0" w:rsidRPr="00A45DD0" w14:paraId="301B3C3E" w14:textId="2483C221">
      <w:pPr>
        <w:pStyle w:val="FootnoteText"/>
      </w:pPr>
      <w:r>
        <w:rPr>
          <w:rStyle w:val="FootnoteReference"/>
        </w:rPr>
        <w:footnoteRef/>
      </w:r>
      <w:r>
        <w:t xml:space="preserve"> </w:t>
      </w:r>
      <w:r w:rsidR="00FC6E66">
        <w:t>Application</w:t>
      </w:r>
      <w:r>
        <w:t xml:space="preserve"> at 6-7.</w:t>
      </w:r>
    </w:p>
  </w:footnote>
  <w:footnote w:id="25">
    <w:p w:rsidR="0017566C" w14:paraId="7726E7EF" w14:textId="136C45A1">
      <w:pPr>
        <w:pStyle w:val="FootnoteText"/>
      </w:pPr>
      <w:r>
        <w:rPr>
          <w:rStyle w:val="FootnoteReference"/>
        </w:rPr>
        <w:footnoteRef/>
      </w:r>
      <w:r>
        <w:t xml:space="preserve"> Supplement at 1.</w:t>
      </w:r>
    </w:p>
  </w:footnote>
  <w:footnote w:id="26">
    <w:p w:rsidR="00AC59EC" w14:paraId="611E4A6D" w14:textId="4F5C2F1C">
      <w:pPr>
        <w:pStyle w:val="FootnoteText"/>
      </w:pPr>
      <w:r>
        <w:rPr>
          <w:rStyle w:val="FootnoteReference"/>
        </w:rPr>
        <w:footnoteRef/>
      </w:r>
      <w:r w:rsidR="00FC6E66">
        <w:t xml:space="preserve"> </w:t>
      </w:r>
      <w:r w:rsidR="00FC6E66">
        <w:rPr>
          <w:i/>
          <w:iCs/>
        </w:rPr>
        <w:t>Id</w:t>
      </w:r>
      <w:r w:rsidR="00FC6E66">
        <w:t>.</w:t>
      </w:r>
    </w:p>
  </w:footnote>
  <w:footnote w:id="27">
    <w:p w:rsidR="004C57A4" w:rsidRPr="0014551C" w:rsidP="004C57A4" w14:paraId="6B1C6A34" w14:textId="76DFB2EF">
      <w:pPr>
        <w:pStyle w:val="FootnoteText"/>
      </w:pPr>
      <w:r>
        <w:rPr>
          <w:rStyle w:val="FootnoteReference"/>
        </w:rPr>
        <w:footnoteRef/>
      </w:r>
      <w:r>
        <w:t xml:space="preserve"> Application at 3-4 (referencing GTCR’s prior investments since 2000 in 125 technology, media, and telecommunications entities with a combined purchase price of over $25 billion).  As stated above, GTCR-managed funds have a current controlling interest in Onvoy Holdings Inc. for which GTCR has entered into a proposed transaction to transfer that carrier and its affiliates operating in 50 states.   </w:t>
      </w:r>
      <w:r>
        <w:rPr>
          <w:i/>
          <w:iCs/>
        </w:rPr>
        <w:t>Id.</w:t>
      </w:r>
      <w:r>
        <w:t xml:space="preserve"> at 12-13.</w:t>
      </w:r>
    </w:p>
  </w:footnote>
  <w:footnote w:id="28">
    <w:p w:rsidR="00972B39" w14:paraId="3D7B3E54" w14:textId="507BFEA3">
      <w:pPr>
        <w:pStyle w:val="FootnoteText"/>
      </w:pPr>
      <w:r>
        <w:rPr>
          <w:rStyle w:val="FootnoteReference"/>
        </w:rPr>
        <w:footnoteRef/>
      </w:r>
      <w:r>
        <w:t xml:space="preserve"> We direct Applicants to submit, within 30 days of closing the proposed transaction, a notice in WC Docket No. 21-236 that the proposed transaction has closed with the consummation date, and also provide a courtesy copy of the notice to hcinfo@usac.org.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22B"/>
    <w:rsid w:val="000025FE"/>
    <w:rsid w:val="00005C82"/>
    <w:rsid w:val="000072CE"/>
    <w:rsid w:val="000109B1"/>
    <w:rsid w:val="00011ED7"/>
    <w:rsid w:val="00013A8B"/>
    <w:rsid w:val="000157A9"/>
    <w:rsid w:val="00016BF1"/>
    <w:rsid w:val="00021252"/>
    <w:rsid w:val="00021445"/>
    <w:rsid w:val="00023E9D"/>
    <w:rsid w:val="0002579D"/>
    <w:rsid w:val="00025BD1"/>
    <w:rsid w:val="000326B7"/>
    <w:rsid w:val="00036039"/>
    <w:rsid w:val="00037F90"/>
    <w:rsid w:val="00040D06"/>
    <w:rsid w:val="000418EE"/>
    <w:rsid w:val="00042D10"/>
    <w:rsid w:val="00044FC2"/>
    <w:rsid w:val="0004637E"/>
    <w:rsid w:val="000505D6"/>
    <w:rsid w:val="00052C36"/>
    <w:rsid w:val="00052D7C"/>
    <w:rsid w:val="000578D9"/>
    <w:rsid w:val="000630A2"/>
    <w:rsid w:val="0006453A"/>
    <w:rsid w:val="000654FE"/>
    <w:rsid w:val="00065885"/>
    <w:rsid w:val="000724AD"/>
    <w:rsid w:val="0007304F"/>
    <w:rsid w:val="0007741B"/>
    <w:rsid w:val="000875BF"/>
    <w:rsid w:val="00090879"/>
    <w:rsid w:val="00092431"/>
    <w:rsid w:val="000929A6"/>
    <w:rsid w:val="00095E72"/>
    <w:rsid w:val="00096D8C"/>
    <w:rsid w:val="000A15E0"/>
    <w:rsid w:val="000A43AA"/>
    <w:rsid w:val="000A715F"/>
    <w:rsid w:val="000A719C"/>
    <w:rsid w:val="000B206F"/>
    <w:rsid w:val="000B3A1F"/>
    <w:rsid w:val="000B5082"/>
    <w:rsid w:val="000B5D03"/>
    <w:rsid w:val="000B6581"/>
    <w:rsid w:val="000B7562"/>
    <w:rsid w:val="000C0B65"/>
    <w:rsid w:val="000C1001"/>
    <w:rsid w:val="000C43BA"/>
    <w:rsid w:val="000C5DEF"/>
    <w:rsid w:val="000D0D16"/>
    <w:rsid w:val="000D50EB"/>
    <w:rsid w:val="000D5BC1"/>
    <w:rsid w:val="000D7CAA"/>
    <w:rsid w:val="000E1A64"/>
    <w:rsid w:val="000E340C"/>
    <w:rsid w:val="000E3D42"/>
    <w:rsid w:val="000E5884"/>
    <w:rsid w:val="000E6601"/>
    <w:rsid w:val="000F248A"/>
    <w:rsid w:val="000F3EAA"/>
    <w:rsid w:val="000F4C4E"/>
    <w:rsid w:val="000F652F"/>
    <w:rsid w:val="000F70F5"/>
    <w:rsid w:val="000F7336"/>
    <w:rsid w:val="000F7AFB"/>
    <w:rsid w:val="00103CFD"/>
    <w:rsid w:val="001050B1"/>
    <w:rsid w:val="001073A5"/>
    <w:rsid w:val="00107713"/>
    <w:rsid w:val="001137A6"/>
    <w:rsid w:val="00114C73"/>
    <w:rsid w:val="00116C3F"/>
    <w:rsid w:val="00122BD5"/>
    <w:rsid w:val="0012361D"/>
    <w:rsid w:val="00125C60"/>
    <w:rsid w:val="001265C3"/>
    <w:rsid w:val="00132378"/>
    <w:rsid w:val="0013301F"/>
    <w:rsid w:val="001330FF"/>
    <w:rsid w:val="001348F2"/>
    <w:rsid w:val="00135644"/>
    <w:rsid w:val="00135F54"/>
    <w:rsid w:val="00136137"/>
    <w:rsid w:val="0014064D"/>
    <w:rsid w:val="001415BA"/>
    <w:rsid w:val="00144A2D"/>
    <w:rsid w:val="0014551C"/>
    <w:rsid w:val="00150B91"/>
    <w:rsid w:val="001539F3"/>
    <w:rsid w:val="001541A8"/>
    <w:rsid w:val="00154EB8"/>
    <w:rsid w:val="00161259"/>
    <w:rsid w:val="00164F1D"/>
    <w:rsid w:val="00164FFA"/>
    <w:rsid w:val="00165E2A"/>
    <w:rsid w:val="00171F2B"/>
    <w:rsid w:val="0017566C"/>
    <w:rsid w:val="001807A4"/>
    <w:rsid w:val="00181174"/>
    <w:rsid w:val="00181795"/>
    <w:rsid w:val="00183949"/>
    <w:rsid w:val="001856A8"/>
    <w:rsid w:val="001963EE"/>
    <w:rsid w:val="001975FA"/>
    <w:rsid w:val="001979D9"/>
    <w:rsid w:val="001A0E9C"/>
    <w:rsid w:val="001A312A"/>
    <w:rsid w:val="001A3A79"/>
    <w:rsid w:val="001A6361"/>
    <w:rsid w:val="001A7655"/>
    <w:rsid w:val="001B158F"/>
    <w:rsid w:val="001C4655"/>
    <w:rsid w:val="001C6F20"/>
    <w:rsid w:val="001D052E"/>
    <w:rsid w:val="001D0A43"/>
    <w:rsid w:val="001D6BCF"/>
    <w:rsid w:val="001E01CA"/>
    <w:rsid w:val="001E397D"/>
    <w:rsid w:val="001E410D"/>
    <w:rsid w:val="001E75C2"/>
    <w:rsid w:val="001F1CB2"/>
    <w:rsid w:val="001F1FC6"/>
    <w:rsid w:val="001F1FF1"/>
    <w:rsid w:val="001F3582"/>
    <w:rsid w:val="001F5903"/>
    <w:rsid w:val="001F731B"/>
    <w:rsid w:val="001F795B"/>
    <w:rsid w:val="002025E9"/>
    <w:rsid w:val="002027F0"/>
    <w:rsid w:val="002035D2"/>
    <w:rsid w:val="00203604"/>
    <w:rsid w:val="00203A09"/>
    <w:rsid w:val="002049B9"/>
    <w:rsid w:val="00204D99"/>
    <w:rsid w:val="002060D9"/>
    <w:rsid w:val="00206137"/>
    <w:rsid w:val="002078B3"/>
    <w:rsid w:val="002078DE"/>
    <w:rsid w:val="00207939"/>
    <w:rsid w:val="00215AF2"/>
    <w:rsid w:val="0021655B"/>
    <w:rsid w:val="00224DB8"/>
    <w:rsid w:val="0022664E"/>
    <w:rsid w:val="00226822"/>
    <w:rsid w:val="00227E61"/>
    <w:rsid w:val="00230331"/>
    <w:rsid w:val="002334CD"/>
    <w:rsid w:val="00240A9F"/>
    <w:rsid w:val="0024297D"/>
    <w:rsid w:val="00242F44"/>
    <w:rsid w:val="00243092"/>
    <w:rsid w:val="00245087"/>
    <w:rsid w:val="002456F6"/>
    <w:rsid w:val="0025072B"/>
    <w:rsid w:val="0025082C"/>
    <w:rsid w:val="00252AB1"/>
    <w:rsid w:val="00253923"/>
    <w:rsid w:val="00254E19"/>
    <w:rsid w:val="002557CC"/>
    <w:rsid w:val="00256D48"/>
    <w:rsid w:val="002572DC"/>
    <w:rsid w:val="00257E30"/>
    <w:rsid w:val="00260594"/>
    <w:rsid w:val="002610EC"/>
    <w:rsid w:val="00264313"/>
    <w:rsid w:val="00264F4E"/>
    <w:rsid w:val="00265992"/>
    <w:rsid w:val="00273BAD"/>
    <w:rsid w:val="00274366"/>
    <w:rsid w:val="00276C04"/>
    <w:rsid w:val="00280975"/>
    <w:rsid w:val="00281B21"/>
    <w:rsid w:val="00282714"/>
    <w:rsid w:val="00285017"/>
    <w:rsid w:val="00286468"/>
    <w:rsid w:val="002958B1"/>
    <w:rsid w:val="002979E3"/>
    <w:rsid w:val="002A03DD"/>
    <w:rsid w:val="002A087D"/>
    <w:rsid w:val="002A11B4"/>
    <w:rsid w:val="002A2D2E"/>
    <w:rsid w:val="002A6D6A"/>
    <w:rsid w:val="002B0207"/>
    <w:rsid w:val="002B0351"/>
    <w:rsid w:val="002B4C9C"/>
    <w:rsid w:val="002B54FB"/>
    <w:rsid w:val="002B5E88"/>
    <w:rsid w:val="002B7763"/>
    <w:rsid w:val="002C1AF9"/>
    <w:rsid w:val="002C5846"/>
    <w:rsid w:val="002C6348"/>
    <w:rsid w:val="002D2146"/>
    <w:rsid w:val="002D447E"/>
    <w:rsid w:val="002D6286"/>
    <w:rsid w:val="002D62DD"/>
    <w:rsid w:val="002D7A48"/>
    <w:rsid w:val="002D7CCE"/>
    <w:rsid w:val="002E5941"/>
    <w:rsid w:val="002F2339"/>
    <w:rsid w:val="002F4819"/>
    <w:rsid w:val="002F7221"/>
    <w:rsid w:val="002F7521"/>
    <w:rsid w:val="003028B1"/>
    <w:rsid w:val="00307030"/>
    <w:rsid w:val="0031328E"/>
    <w:rsid w:val="003169D5"/>
    <w:rsid w:val="003231F8"/>
    <w:rsid w:val="0032799C"/>
    <w:rsid w:val="00327A84"/>
    <w:rsid w:val="0033308B"/>
    <w:rsid w:val="00334D34"/>
    <w:rsid w:val="00337EDD"/>
    <w:rsid w:val="00343749"/>
    <w:rsid w:val="00344102"/>
    <w:rsid w:val="00351B89"/>
    <w:rsid w:val="00351E93"/>
    <w:rsid w:val="00353A57"/>
    <w:rsid w:val="00353EAF"/>
    <w:rsid w:val="00357D50"/>
    <w:rsid w:val="003602FC"/>
    <w:rsid w:val="003609F7"/>
    <w:rsid w:val="00366291"/>
    <w:rsid w:val="00367E60"/>
    <w:rsid w:val="00376E27"/>
    <w:rsid w:val="00377C00"/>
    <w:rsid w:val="00377F86"/>
    <w:rsid w:val="003816CE"/>
    <w:rsid w:val="00381FE8"/>
    <w:rsid w:val="00385229"/>
    <w:rsid w:val="0038758C"/>
    <w:rsid w:val="00387EAB"/>
    <w:rsid w:val="003925DC"/>
    <w:rsid w:val="003942C1"/>
    <w:rsid w:val="00395F38"/>
    <w:rsid w:val="0039668F"/>
    <w:rsid w:val="00396E41"/>
    <w:rsid w:val="003A1093"/>
    <w:rsid w:val="003A2225"/>
    <w:rsid w:val="003A2F1B"/>
    <w:rsid w:val="003A3FC6"/>
    <w:rsid w:val="003A49D1"/>
    <w:rsid w:val="003A67F6"/>
    <w:rsid w:val="003B0550"/>
    <w:rsid w:val="003B06B7"/>
    <w:rsid w:val="003B18C4"/>
    <w:rsid w:val="003B28FF"/>
    <w:rsid w:val="003B366F"/>
    <w:rsid w:val="003B694F"/>
    <w:rsid w:val="003B7D0E"/>
    <w:rsid w:val="003C0A28"/>
    <w:rsid w:val="003C2436"/>
    <w:rsid w:val="003C47B1"/>
    <w:rsid w:val="003C48AB"/>
    <w:rsid w:val="003C589A"/>
    <w:rsid w:val="003C77F1"/>
    <w:rsid w:val="003D2256"/>
    <w:rsid w:val="003E5ACA"/>
    <w:rsid w:val="003E7B6C"/>
    <w:rsid w:val="003F0EF2"/>
    <w:rsid w:val="003F171C"/>
    <w:rsid w:val="003F1EE9"/>
    <w:rsid w:val="004004AF"/>
    <w:rsid w:val="00402A03"/>
    <w:rsid w:val="00403231"/>
    <w:rsid w:val="00410921"/>
    <w:rsid w:val="00412582"/>
    <w:rsid w:val="00412FC5"/>
    <w:rsid w:val="00413423"/>
    <w:rsid w:val="00415CF3"/>
    <w:rsid w:val="00415EFC"/>
    <w:rsid w:val="00420182"/>
    <w:rsid w:val="00422276"/>
    <w:rsid w:val="00422B9A"/>
    <w:rsid w:val="004242F1"/>
    <w:rsid w:val="004243FE"/>
    <w:rsid w:val="00427D15"/>
    <w:rsid w:val="00431EBD"/>
    <w:rsid w:val="00432406"/>
    <w:rsid w:val="0043254C"/>
    <w:rsid w:val="00432569"/>
    <w:rsid w:val="00437716"/>
    <w:rsid w:val="00441312"/>
    <w:rsid w:val="00441B3C"/>
    <w:rsid w:val="00445A00"/>
    <w:rsid w:val="0044678A"/>
    <w:rsid w:val="00447D22"/>
    <w:rsid w:val="00451B0F"/>
    <w:rsid w:val="004551E4"/>
    <w:rsid w:val="00455621"/>
    <w:rsid w:val="00456CBE"/>
    <w:rsid w:val="004570A3"/>
    <w:rsid w:val="00457499"/>
    <w:rsid w:val="0046125F"/>
    <w:rsid w:val="00462520"/>
    <w:rsid w:val="00466B8E"/>
    <w:rsid w:val="0046783E"/>
    <w:rsid w:val="00467C77"/>
    <w:rsid w:val="00470E9D"/>
    <w:rsid w:val="00471CE2"/>
    <w:rsid w:val="00472C46"/>
    <w:rsid w:val="00475073"/>
    <w:rsid w:val="00475591"/>
    <w:rsid w:val="00475AE7"/>
    <w:rsid w:val="004806FB"/>
    <w:rsid w:val="00485DD1"/>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57A4"/>
    <w:rsid w:val="004C70FB"/>
    <w:rsid w:val="004D22C3"/>
    <w:rsid w:val="004D362E"/>
    <w:rsid w:val="004D5869"/>
    <w:rsid w:val="004D6C60"/>
    <w:rsid w:val="004D7C16"/>
    <w:rsid w:val="004E4A22"/>
    <w:rsid w:val="004E72B7"/>
    <w:rsid w:val="004F35CA"/>
    <w:rsid w:val="004F4239"/>
    <w:rsid w:val="004F60EC"/>
    <w:rsid w:val="004F737A"/>
    <w:rsid w:val="0050167C"/>
    <w:rsid w:val="00501F12"/>
    <w:rsid w:val="005053A7"/>
    <w:rsid w:val="00506C61"/>
    <w:rsid w:val="005106C5"/>
    <w:rsid w:val="00511968"/>
    <w:rsid w:val="005123BE"/>
    <w:rsid w:val="00516819"/>
    <w:rsid w:val="00516C98"/>
    <w:rsid w:val="0052214B"/>
    <w:rsid w:val="00523F0D"/>
    <w:rsid w:val="00524B7D"/>
    <w:rsid w:val="00525169"/>
    <w:rsid w:val="00525F91"/>
    <w:rsid w:val="00532BEA"/>
    <w:rsid w:val="0053387F"/>
    <w:rsid w:val="005357B8"/>
    <w:rsid w:val="00536CF8"/>
    <w:rsid w:val="0054043D"/>
    <w:rsid w:val="00545A19"/>
    <w:rsid w:val="0054650E"/>
    <w:rsid w:val="00550354"/>
    <w:rsid w:val="00552A15"/>
    <w:rsid w:val="00552AF3"/>
    <w:rsid w:val="0055614C"/>
    <w:rsid w:val="005614FA"/>
    <w:rsid w:val="00563C1F"/>
    <w:rsid w:val="00564FFA"/>
    <w:rsid w:val="00577322"/>
    <w:rsid w:val="00577BFF"/>
    <w:rsid w:val="00581C61"/>
    <w:rsid w:val="00582BAF"/>
    <w:rsid w:val="00584B7F"/>
    <w:rsid w:val="00595381"/>
    <w:rsid w:val="0059746C"/>
    <w:rsid w:val="005A0BF4"/>
    <w:rsid w:val="005A3062"/>
    <w:rsid w:val="005A31B2"/>
    <w:rsid w:val="005A445D"/>
    <w:rsid w:val="005A4610"/>
    <w:rsid w:val="005B3EC2"/>
    <w:rsid w:val="005B5B7B"/>
    <w:rsid w:val="005C24D8"/>
    <w:rsid w:val="005C680A"/>
    <w:rsid w:val="005C7EF4"/>
    <w:rsid w:val="005D0403"/>
    <w:rsid w:val="005D092D"/>
    <w:rsid w:val="005D0A49"/>
    <w:rsid w:val="005D0EA4"/>
    <w:rsid w:val="005E347C"/>
    <w:rsid w:val="005E49DF"/>
    <w:rsid w:val="005E58F0"/>
    <w:rsid w:val="005E5F6A"/>
    <w:rsid w:val="005E74A9"/>
    <w:rsid w:val="005F0449"/>
    <w:rsid w:val="005F4263"/>
    <w:rsid w:val="005F572F"/>
    <w:rsid w:val="00603CBE"/>
    <w:rsid w:val="00607BA5"/>
    <w:rsid w:val="006126AF"/>
    <w:rsid w:val="00615C48"/>
    <w:rsid w:val="00620DBB"/>
    <w:rsid w:val="00620F82"/>
    <w:rsid w:val="00621457"/>
    <w:rsid w:val="00625270"/>
    <w:rsid w:val="00626EB6"/>
    <w:rsid w:val="006275B0"/>
    <w:rsid w:val="00630790"/>
    <w:rsid w:val="00631B71"/>
    <w:rsid w:val="006353A3"/>
    <w:rsid w:val="00637E27"/>
    <w:rsid w:val="00642E7B"/>
    <w:rsid w:val="00643878"/>
    <w:rsid w:val="00644B2C"/>
    <w:rsid w:val="00655D03"/>
    <w:rsid w:val="00660386"/>
    <w:rsid w:val="00661A1F"/>
    <w:rsid w:val="00663CEB"/>
    <w:rsid w:val="00664AB4"/>
    <w:rsid w:val="006650A4"/>
    <w:rsid w:val="006665E6"/>
    <w:rsid w:val="00673C03"/>
    <w:rsid w:val="00675E8A"/>
    <w:rsid w:val="0068023C"/>
    <w:rsid w:val="00683F84"/>
    <w:rsid w:val="00684738"/>
    <w:rsid w:val="0068763E"/>
    <w:rsid w:val="006901C6"/>
    <w:rsid w:val="00694196"/>
    <w:rsid w:val="00694C92"/>
    <w:rsid w:val="006953EE"/>
    <w:rsid w:val="0069577D"/>
    <w:rsid w:val="006972E8"/>
    <w:rsid w:val="006A467F"/>
    <w:rsid w:val="006A6A81"/>
    <w:rsid w:val="006B2F55"/>
    <w:rsid w:val="006B5D0A"/>
    <w:rsid w:val="006B6F46"/>
    <w:rsid w:val="006C47FA"/>
    <w:rsid w:val="006C7A94"/>
    <w:rsid w:val="006D0FAA"/>
    <w:rsid w:val="006D40DD"/>
    <w:rsid w:val="006D660A"/>
    <w:rsid w:val="006D6AFD"/>
    <w:rsid w:val="006D760F"/>
    <w:rsid w:val="006D7B2B"/>
    <w:rsid w:val="006E26AF"/>
    <w:rsid w:val="006E57B3"/>
    <w:rsid w:val="006E6B9A"/>
    <w:rsid w:val="006F1183"/>
    <w:rsid w:val="006F3559"/>
    <w:rsid w:val="006F4636"/>
    <w:rsid w:val="006F7393"/>
    <w:rsid w:val="00701094"/>
    <w:rsid w:val="007019B6"/>
    <w:rsid w:val="007019FF"/>
    <w:rsid w:val="0070224F"/>
    <w:rsid w:val="00703BB5"/>
    <w:rsid w:val="0070486C"/>
    <w:rsid w:val="007115F7"/>
    <w:rsid w:val="007164EB"/>
    <w:rsid w:val="007178B4"/>
    <w:rsid w:val="00717B07"/>
    <w:rsid w:val="00725674"/>
    <w:rsid w:val="00726F80"/>
    <w:rsid w:val="00731C3E"/>
    <w:rsid w:val="00735B84"/>
    <w:rsid w:val="00740AD9"/>
    <w:rsid w:val="00740F37"/>
    <w:rsid w:val="00744F93"/>
    <w:rsid w:val="00746393"/>
    <w:rsid w:val="00746759"/>
    <w:rsid w:val="00747230"/>
    <w:rsid w:val="00756EBC"/>
    <w:rsid w:val="00762FC4"/>
    <w:rsid w:val="007668C8"/>
    <w:rsid w:val="00770F47"/>
    <w:rsid w:val="00775097"/>
    <w:rsid w:val="00780E7D"/>
    <w:rsid w:val="00785689"/>
    <w:rsid w:val="00792664"/>
    <w:rsid w:val="0079754B"/>
    <w:rsid w:val="007A0B06"/>
    <w:rsid w:val="007A1E6D"/>
    <w:rsid w:val="007A29A0"/>
    <w:rsid w:val="007B1170"/>
    <w:rsid w:val="007B1F0E"/>
    <w:rsid w:val="007B72F9"/>
    <w:rsid w:val="007B7C16"/>
    <w:rsid w:val="007C179B"/>
    <w:rsid w:val="007C2228"/>
    <w:rsid w:val="007C3551"/>
    <w:rsid w:val="007C4371"/>
    <w:rsid w:val="007C5078"/>
    <w:rsid w:val="007C53B3"/>
    <w:rsid w:val="007C674D"/>
    <w:rsid w:val="007D3761"/>
    <w:rsid w:val="007D4842"/>
    <w:rsid w:val="007D4DB7"/>
    <w:rsid w:val="007D6054"/>
    <w:rsid w:val="007E03E5"/>
    <w:rsid w:val="007E32AB"/>
    <w:rsid w:val="007F0701"/>
    <w:rsid w:val="007F0DBB"/>
    <w:rsid w:val="007F1D7C"/>
    <w:rsid w:val="007F29ED"/>
    <w:rsid w:val="007F400A"/>
    <w:rsid w:val="007F40C5"/>
    <w:rsid w:val="007F4D42"/>
    <w:rsid w:val="007F5818"/>
    <w:rsid w:val="007F5C59"/>
    <w:rsid w:val="00800267"/>
    <w:rsid w:val="00801AAA"/>
    <w:rsid w:val="00801FDC"/>
    <w:rsid w:val="00805401"/>
    <w:rsid w:val="008068FD"/>
    <w:rsid w:val="00822CE0"/>
    <w:rsid w:val="00825E7D"/>
    <w:rsid w:val="008271E2"/>
    <w:rsid w:val="008275B8"/>
    <w:rsid w:val="0083155B"/>
    <w:rsid w:val="008338CE"/>
    <w:rsid w:val="00835AB1"/>
    <w:rsid w:val="00837C62"/>
    <w:rsid w:val="00841404"/>
    <w:rsid w:val="00841AB1"/>
    <w:rsid w:val="00844109"/>
    <w:rsid w:val="0084412A"/>
    <w:rsid w:val="00845944"/>
    <w:rsid w:val="00851E64"/>
    <w:rsid w:val="008550B5"/>
    <w:rsid w:val="0085777F"/>
    <w:rsid w:val="0086068D"/>
    <w:rsid w:val="00861822"/>
    <w:rsid w:val="00861958"/>
    <w:rsid w:val="0086597B"/>
    <w:rsid w:val="008670A1"/>
    <w:rsid w:val="00867CFB"/>
    <w:rsid w:val="00872701"/>
    <w:rsid w:val="008759A0"/>
    <w:rsid w:val="008774D9"/>
    <w:rsid w:val="00880227"/>
    <w:rsid w:val="00880549"/>
    <w:rsid w:val="00880961"/>
    <w:rsid w:val="008823A6"/>
    <w:rsid w:val="00885346"/>
    <w:rsid w:val="008860DF"/>
    <w:rsid w:val="008865BD"/>
    <w:rsid w:val="00890537"/>
    <w:rsid w:val="008928B0"/>
    <w:rsid w:val="00892BEE"/>
    <w:rsid w:val="00893955"/>
    <w:rsid w:val="008969B3"/>
    <w:rsid w:val="0089722C"/>
    <w:rsid w:val="008A5F0D"/>
    <w:rsid w:val="008A6865"/>
    <w:rsid w:val="008A72A2"/>
    <w:rsid w:val="008B3790"/>
    <w:rsid w:val="008B3951"/>
    <w:rsid w:val="008B3DC7"/>
    <w:rsid w:val="008B4CC9"/>
    <w:rsid w:val="008B51AD"/>
    <w:rsid w:val="008C0043"/>
    <w:rsid w:val="008C09B2"/>
    <w:rsid w:val="008C1A0F"/>
    <w:rsid w:val="008C1DAA"/>
    <w:rsid w:val="008C22FD"/>
    <w:rsid w:val="008C2513"/>
    <w:rsid w:val="008C5059"/>
    <w:rsid w:val="008D327D"/>
    <w:rsid w:val="008D5B54"/>
    <w:rsid w:val="008D5EA0"/>
    <w:rsid w:val="008D6240"/>
    <w:rsid w:val="008E5D2B"/>
    <w:rsid w:val="008F58CF"/>
    <w:rsid w:val="008F7C26"/>
    <w:rsid w:val="00902F76"/>
    <w:rsid w:val="0090545D"/>
    <w:rsid w:val="009054E8"/>
    <w:rsid w:val="00910F12"/>
    <w:rsid w:val="00913041"/>
    <w:rsid w:val="0091539A"/>
    <w:rsid w:val="0091650F"/>
    <w:rsid w:val="00922696"/>
    <w:rsid w:val="00923F59"/>
    <w:rsid w:val="00925ACF"/>
    <w:rsid w:val="00926397"/>
    <w:rsid w:val="00926503"/>
    <w:rsid w:val="0092692D"/>
    <w:rsid w:val="00926C1D"/>
    <w:rsid w:val="00930ECF"/>
    <w:rsid w:val="00931CEB"/>
    <w:rsid w:val="0093267F"/>
    <w:rsid w:val="009432A3"/>
    <w:rsid w:val="00943407"/>
    <w:rsid w:val="00943B23"/>
    <w:rsid w:val="00946DF9"/>
    <w:rsid w:val="0095053C"/>
    <w:rsid w:val="0095057C"/>
    <w:rsid w:val="00955EA2"/>
    <w:rsid w:val="0096037E"/>
    <w:rsid w:val="00967271"/>
    <w:rsid w:val="00970A34"/>
    <w:rsid w:val="009713DD"/>
    <w:rsid w:val="00972B39"/>
    <w:rsid w:val="00976129"/>
    <w:rsid w:val="009801F8"/>
    <w:rsid w:val="009838BC"/>
    <w:rsid w:val="00983A14"/>
    <w:rsid w:val="00983EE2"/>
    <w:rsid w:val="00986B91"/>
    <w:rsid w:val="00987966"/>
    <w:rsid w:val="00987A27"/>
    <w:rsid w:val="009901F7"/>
    <w:rsid w:val="009929EC"/>
    <w:rsid w:val="0099720B"/>
    <w:rsid w:val="009A65B8"/>
    <w:rsid w:val="009A685A"/>
    <w:rsid w:val="009B3988"/>
    <w:rsid w:val="009B63B0"/>
    <w:rsid w:val="009C13CB"/>
    <w:rsid w:val="009C2EC9"/>
    <w:rsid w:val="009C448A"/>
    <w:rsid w:val="009C73EF"/>
    <w:rsid w:val="009D175D"/>
    <w:rsid w:val="009D2AC9"/>
    <w:rsid w:val="009D36AB"/>
    <w:rsid w:val="009D6B11"/>
    <w:rsid w:val="009D708B"/>
    <w:rsid w:val="009E0A80"/>
    <w:rsid w:val="009F1761"/>
    <w:rsid w:val="009F71A2"/>
    <w:rsid w:val="00A029B6"/>
    <w:rsid w:val="00A03FAC"/>
    <w:rsid w:val="00A06E7E"/>
    <w:rsid w:val="00A105E6"/>
    <w:rsid w:val="00A13CE2"/>
    <w:rsid w:val="00A13DDC"/>
    <w:rsid w:val="00A1615A"/>
    <w:rsid w:val="00A164EA"/>
    <w:rsid w:val="00A22D46"/>
    <w:rsid w:val="00A239D2"/>
    <w:rsid w:val="00A255D7"/>
    <w:rsid w:val="00A30968"/>
    <w:rsid w:val="00A32C6E"/>
    <w:rsid w:val="00A33E9C"/>
    <w:rsid w:val="00A351CE"/>
    <w:rsid w:val="00A36733"/>
    <w:rsid w:val="00A40309"/>
    <w:rsid w:val="00A42060"/>
    <w:rsid w:val="00A45DD0"/>
    <w:rsid w:val="00A45F4F"/>
    <w:rsid w:val="00A5137A"/>
    <w:rsid w:val="00A51758"/>
    <w:rsid w:val="00A554EE"/>
    <w:rsid w:val="00A600A9"/>
    <w:rsid w:val="00A61E25"/>
    <w:rsid w:val="00A6263A"/>
    <w:rsid w:val="00A6329B"/>
    <w:rsid w:val="00A6538C"/>
    <w:rsid w:val="00A663DB"/>
    <w:rsid w:val="00A7404D"/>
    <w:rsid w:val="00A74D70"/>
    <w:rsid w:val="00A77268"/>
    <w:rsid w:val="00A84BCC"/>
    <w:rsid w:val="00A85063"/>
    <w:rsid w:val="00A8620D"/>
    <w:rsid w:val="00A86681"/>
    <w:rsid w:val="00A866AC"/>
    <w:rsid w:val="00A90ABC"/>
    <w:rsid w:val="00A922E8"/>
    <w:rsid w:val="00A9262C"/>
    <w:rsid w:val="00A92F17"/>
    <w:rsid w:val="00A93BBB"/>
    <w:rsid w:val="00A950E2"/>
    <w:rsid w:val="00A95C94"/>
    <w:rsid w:val="00AA020D"/>
    <w:rsid w:val="00AA2C76"/>
    <w:rsid w:val="00AA412A"/>
    <w:rsid w:val="00AA52F2"/>
    <w:rsid w:val="00AA55B7"/>
    <w:rsid w:val="00AA5B9E"/>
    <w:rsid w:val="00AB2109"/>
    <w:rsid w:val="00AB2407"/>
    <w:rsid w:val="00AB3596"/>
    <w:rsid w:val="00AB53DF"/>
    <w:rsid w:val="00AB61ED"/>
    <w:rsid w:val="00AB7889"/>
    <w:rsid w:val="00AC4DB3"/>
    <w:rsid w:val="00AC59EC"/>
    <w:rsid w:val="00AC669A"/>
    <w:rsid w:val="00AD3257"/>
    <w:rsid w:val="00AD50D4"/>
    <w:rsid w:val="00AD62E9"/>
    <w:rsid w:val="00AE1813"/>
    <w:rsid w:val="00AE3030"/>
    <w:rsid w:val="00AE3C92"/>
    <w:rsid w:val="00AE47E9"/>
    <w:rsid w:val="00AE522A"/>
    <w:rsid w:val="00AF2B5C"/>
    <w:rsid w:val="00B0042A"/>
    <w:rsid w:val="00B00C3A"/>
    <w:rsid w:val="00B021EE"/>
    <w:rsid w:val="00B02A93"/>
    <w:rsid w:val="00B07E5C"/>
    <w:rsid w:val="00B10DE5"/>
    <w:rsid w:val="00B17836"/>
    <w:rsid w:val="00B17B13"/>
    <w:rsid w:val="00B238E7"/>
    <w:rsid w:val="00B31B86"/>
    <w:rsid w:val="00B326E3"/>
    <w:rsid w:val="00B334D7"/>
    <w:rsid w:val="00B3351F"/>
    <w:rsid w:val="00B368CC"/>
    <w:rsid w:val="00B36901"/>
    <w:rsid w:val="00B402F4"/>
    <w:rsid w:val="00B43169"/>
    <w:rsid w:val="00B44339"/>
    <w:rsid w:val="00B464B2"/>
    <w:rsid w:val="00B47261"/>
    <w:rsid w:val="00B5389B"/>
    <w:rsid w:val="00B549D5"/>
    <w:rsid w:val="00B61C60"/>
    <w:rsid w:val="00B7124D"/>
    <w:rsid w:val="00B721C8"/>
    <w:rsid w:val="00B73C0C"/>
    <w:rsid w:val="00B74EB4"/>
    <w:rsid w:val="00B77AB8"/>
    <w:rsid w:val="00B811F7"/>
    <w:rsid w:val="00B81771"/>
    <w:rsid w:val="00B82285"/>
    <w:rsid w:val="00B848FE"/>
    <w:rsid w:val="00B84BD2"/>
    <w:rsid w:val="00B84CD9"/>
    <w:rsid w:val="00B905AA"/>
    <w:rsid w:val="00B90BD1"/>
    <w:rsid w:val="00B93375"/>
    <w:rsid w:val="00B959E6"/>
    <w:rsid w:val="00B97BD5"/>
    <w:rsid w:val="00BA1134"/>
    <w:rsid w:val="00BA1383"/>
    <w:rsid w:val="00BA196F"/>
    <w:rsid w:val="00BA4A23"/>
    <w:rsid w:val="00BA5DC6"/>
    <w:rsid w:val="00BA6196"/>
    <w:rsid w:val="00BA7043"/>
    <w:rsid w:val="00BB0D65"/>
    <w:rsid w:val="00BB2DCC"/>
    <w:rsid w:val="00BB4022"/>
    <w:rsid w:val="00BB6496"/>
    <w:rsid w:val="00BB6DCE"/>
    <w:rsid w:val="00BC6BB5"/>
    <w:rsid w:val="00BC6D8C"/>
    <w:rsid w:val="00BC76BB"/>
    <w:rsid w:val="00BD0A9B"/>
    <w:rsid w:val="00BD1F31"/>
    <w:rsid w:val="00BD332E"/>
    <w:rsid w:val="00BD38DB"/>
    <w:rsid w:val="00BD41D9"/>
    <w:rsid w:val="00BD4B59"/>
    <w:rsid w:val="00BD50BA"/>
    <w:rsid w:val="00BD5994"/>
    <w:rsid w:val="00BE1AA3"/>
    <w:rsid w:val="00BF4EC4"/>
    <w:rsid w:val="00C00B2A"/>
    <w:rsid w:val="00C01B19"/>
    <w:rsid w:val="00C0633C"/>
    <w:rsid w:val="00C07140"/>
    <w:rsid w:val="00C077E1"/>
    <w:rsid w:val="00C10E83"/>
    <w:rsid w:val="00C1189E"/>
    <w:rsid w:val="00C14E8F"/>
    <w:rsid w:val="00C16AF2"/>
    <w:rsid w:val="00C2261D"/>
    <w:rsid w:val="00C2475E"/>
    <w:rsid w:val="00C24DD2"/>
    <w:rsid w:val="00C25666"/>
    <w:rsid w:val="00C27664"/>
    <w:rsid w:val="00C27859"/>
    <w:rsid w:val="00C27EA3"/>
    <w:rsid w:val="00C31891"/>
    <w:rsid w:val="00C33898"/>
    <w:rsid w:val="00C34006"/>
    <w:rsid w:val="00C34F82"/>
    <w:rsid w:val="00C35272"/>
    <w:rsid w:val="00C360F5"/>
    <w:rsid w:val="00C367FB"/>
    <w:rsid w:val="00C41A27"/>
    <w:rsid w:val="00C426B1"/>
    <w:rsid w:val="00C43525"/>
    <w:rsid w:val="00C43AC6"/>
    <w:rsid w:val="00C4665E"/>
    <w:rsid w:val="00C47FF8"/>
    <w:rsid w:val="00C509AC"/>
    <w:rsid w:val="00C50A2E"/>
    <w:rsid w:val="00C55FF6"/>
    <w:rsid w:val="00C56B90"/>
    <w:rsid w:val="00C61BB7"/>
    <w:rsid w:val="00C621EC"/>
    <w:rsid w:val="00C70F5B"/>
    <w:rsid w:val="00C7200D"/>
    <w:rsid w:val="00C7218A"/>
    <w:rsid w:val="00C7222F"/>
    <w:rsid w:val="00C7392A"/>
    <w:rsid w:val="00C80924"/>
    <w:rsid w:val="00C82B6B"/>
    <w:rsid w:val="00C84CB7"/>
    <w:rsid w:val="00C850D8"/>
    <w:rsid w:val="00C85AF8"/>
    <w:rsid w:val="00C90D6A"/>
    <w:rsid w:val="00C96CB6"/>
    <w:rsid w:val="00CA5E0B"/>
    <w:rsid w:val="00CA63AF"/>
    <w:rsid w:val="00CB14D4"/>
    <w:rsid w:val="00CB4801"/>
    <w:rsid w:val="00CC3745"/>
    <w:rsid w:val="00CC4904"/>
    <w:rsid w:val="00CC60EB"/>
    <w:rsid w:val="00CC6A10"/>
    <w:rsid w:val="00CC72B6"/>
    <w:rsid w:val="00CD1437"/>
    <w:rsid w:val="00CD2FA0"/>
    <w:rsid w:val="00CD30B5"/>
    <w:rsid w:val="00CD5655"/>
    <w:rsid w:val="00CE2113"/>
    <w:rsid w:val="00CE359D"/>
    <w:rsid w:val="00CE3C68"/>
    <w:rsid w:val="00CF1A56"/>
    <w:rsid w:val="00D0218D"/>
    <w:rsid w:val="00D03809"/>
    <w:rsid w:val="00D04868"/>
    <w:rsid w:val="00D06F09"/>
    <w:rsid w:val="00D06FA2"/>
    <w:rsid w:val="00D12B3C"/>
    <w:rsid w:val="00D13707"/>
    <w:rsid w:val="00D17873"/>
    <w:rsid w:val="00D216CD"/>
    <w:rsid w:val="00D22B78"/>
    <w:rsid w:val="00D238CC"/>
    <w:rsid w:val="00D26EF4"/>
    <w:rsid w:val="00D32848"/>
    <w:rsid w:val="00D351CC"/>
    <w:rsid w:val="00D3650B"/>
    <w:rsid w:val="00D41B3B"/>
    <w:rsid w:val="00D45A14"/>
    <w:rsid w:val="00D501C6"/>
    <w:rsid w:val="00D5095E"/>
    <w:rsid w:val="00D51481"/>
    <w:rsid w:val="00D53ADF"/>
    <w:rsid w:val="00D541B7"/>
    <w:rsid w:val="00D5454A"/>
    <w:rsid w:val="00D5495C"/>
    <w:rsid w:val="00D6557E"/>
    <w:rsid w:val="00D6581B"/>
    <w:rsid w:val="00D7290A"/>
    <w:rsid w:val="00D74AEC"/>
    <w:rsid w:val="00D76953"/>
    <w:rsid w:val="00D806AA"/>
    <w:rsid w:val="00D8081B"/>
    <w:rsid w:val="00D80BEF"/>
    <w:rsid w:val="00D81F91"/>
    <w:rsid w:val="00D8472B"/>
    <w:rsid w:val="00D84C22"/>
    <w:rsid w:val="00D851AB"/>
    <w:rsid w:val="00D85EF5"/>
    <w:rsid w:val="00D90DAC"/>
    <w:rsid w:val="00DA07AA"/>
    <w:rsid w:val="00DA2529"/>
    <w:rsid w:val="00DA455F"/>
    <w:rsid w:val="00DA77F0"/>
    <w:rsid w:val="00DB130A"/>
    <w:rsid w:val="00DB36BF"/>
    <w:rsid w:val="00DB54CA"/>
    <w:rsid w:val="00DB5AC1"/>
    <w:rsid w:val="00DB6527"/>
    <w:rsid w:val="00DB6AC7"/>
    <w:rsid w:val="00DC10A1"/>
    <w:rsid w:val="00DC44DE"/>
    <w:rsid w:val="00DC4D66"/>
    <w:rsid w:val="00DC53B1"/>
    <w:rsid w:val="00DC56D1"/>
    <w:rsid w:val="00DC655F"/>
    <w:rsid w:val="00DC7BAE"/>
    <w:rsid w:val="00DD0336"/>
    <w:rsid w:val="00DD0F22"/>
    <w:rsid w:val="00DD6C7F"/>
    <w:rsid w:val="00DD7EBD"/>
    <w:rsid w:val="00DE0D04"/>
    <w:rsid w:val="00DE4B07"/>
    <w:rsid w:val="00DF1B24"/>
    <w:rsid w:val="00DF4E87"/>
    <w:rsid w:val="00DF62B6"/>
    <w:rsid w:val="00E04D5A"/>
    <w:rsid w:val="00E07225"/>
    <w:rsid w:val="00E155B7"/>
    <w:rsid w:val="00E15AD6"/>
    <w:rsid w:val="00E15F88"/>
    <w:rsid w:val="00E17865"/>
    <w:rsid w:val="00E21870"/>
    <w:rsid w:val="00E262F3"/>
    <w:rsid w:val="00E27214"/>
    <w:rsid w:val="00E336E6"/>
    <w:rsid w:val="00E3399D"/>
    <w:rsid w:val="00E4245C"/>
    <w:rsid w:val="00E504A8"/>
    <w:rsid w:val="00E50F11"/>
    <w:rsid w:val="00E5409F"/>
    <w:rsid w:val="00E554BA"/>
    <w:rsid w:val="00E61137"/>
    <w:rsid w:val="00E63E9C"/>
    <w:rsid w:val="00E65904"/>
    <w:rsid w:val="00E66D2C"/>
    <w:rsid w:val="00E70C9B"/>
    <w:rsid w:val="00E72298"/>
    <w:rsid w:val="00E73463"/>
    <w:rsid w:val="00E743F2"/>
    <w:rsid w:val="00E74F67"/>
    <w:rsid w:val="00E77864"/>
    <w:rsid w:val="00E85276"/>
    <w:rsid w:val="00E87847"/>
    <w:rsid w:val="00E96AC2"/>
    <w:rsid w:val="00E96B4B"/>
    <w:rsid w:val="00E9794F"/>
    <w:rsid w:val="00EA003B"/>
    <w:rsid w:val="00EA1D70"/>
    <w:rsid w:val="00EA5DC5"/>
    <w:rsid w:val="00EB08CE"/>
    <w:rsid w:val="00EB17F9"/>
    <w:rsid w:val="00EB28CF"/>
    <w:rsid w:val="00EB2C44"/>
    <w:rsid w:val="00EC0185"/>
    <w:rsid w:val="00EC0BF7"/>
    <w:rsid w:val="00EC195C"/>
    <w:rsid w:val="00EC2DFD"/>
    <w:rsid w:val="00EC5A87"/>
    <w:rsid w:val="00EC68BF"/>
    <w:rsid w:val="00ED05B6"/>
    <w:rsid w:val="00ED11B3"/>
    <w:rsid w:val="00ED33DB"/>
    <w:rsid w:val="00ED3D49"/>
    <w:rsid w:val="00ED61CE"/>
    <w:rsid w:val="00ED6F96"/>
    <w:rsid w:val="00EE0028"/>
    <w:rsid w:val="00EE4BF4"/>
    <w:rsid w:val="00EE6ADD"/>
    <w:rsid w:val="00EF064F"/>
    <w:rsid w:val="00EF0CEF"/>
    <w:rsid w:val="00EF3D8E"/>
    <w:rsid w:val="00EF5C69"/>
    <w:rsid w:val="00EF5E4D"/>
    <w:rsid w:val="00F021FA"/>
    <w:rsid w:val="00F03EE6"/>
    <w:rsid w:val="00F051B1"/>
    <w:rsid w:val="00F10131"/>
    <w:rsid w:val="00F10428"/>
    <w:rsid w:val="00F11F96"/>
    <w:rsid w:val="00F13114"/>
    <w:rsid w:val="00F13E8E"/>
    <w:rsid w:val="00F14D69"/>
    <w:rsid w:val="00F1632C"/>
    <w:rsid w:val="00F23D30"/>
    <w:rsid w:val="00F243B7"/>
    <w:rsid w:val="00F304C0"/>
    <w:rsid w:val="00F311FC"/>
    <w:rsid w:val="00F322CA"/>
    <w:rsid w:val="00F37BD3"/>
    <w:rsid w:val="00F432AC"/>
    <w:rsid w:val="00F4366C"/>
    <w:rsid w:val="00F43E3B"/>
    <w:rsid w:val="00F446CC"/>
    <w:rsid w:val="00F46420"/>
    <w:rsid w:val="00F5223B"/>
    <w:rsid w:val="00F57ACA"/>
    <w:rsid w:val="00F61010"/>
    <w:rsid w:val="00F61F48"/>
    <w:rsid w:val="00F62E97"/>
    <w:rsid w:val="00F64209"/>
    <w:rsid w:val="00F65711"/>
    <w:rsid w:val="00F66D37"/>
    <w:rsid w:val="00F67726"/>
    <w:rsid w:val="00F72B31"/>
    <w:rsid w:val="00F73399"/>
    <w:rsid w:val="00F7410E"/>
    <w:rsid w:val="00F76515"/>
    <w:rsid w:val="00F84F68"/>
    <w:rsid w:val="00F93BF5"/>
    <w:rsid w:val="00F96438"/>
    <w:rsid w:val="00F96F63"/>
    <w:rsid w:val="00F9742C"/>
    <w:rsid w:val="00FA3284"/>
    <w:rsid w:val="00FB0C37"/>
    <w:rsid w:val="00FB1102"/>
    <w:rsid w:val="00FB2F91"/>
    <w:rsid w:val="00FB3EDD"/>
    <w:rsid w:val="00FB6AC1"/>
    <w:rsid w:val="00FC392C"/>
    <w:rsid w:val="00FC565D"/>
    <w:rsid w:val="00FC6E66"/>
    <w:rsid w:val="00FC7C2A"/>
    <w:rsid w:val="00FE1675"/>
    <w:rsid w:val="00FE56A1"/>
    <w:rsid w:val="00FE56C4"/>
    <w:rsid w:val="00FE583B"/>
    <w:rsid w:val="00FF4199"/>
    <w:rsid w:val="00FF6278"/>
    <w:rsid w:val="00FF682A"/>
    <w:rsid w:val="00FF7A37"/>
    <w:rsid w:val="75796D0F"/>
    <w:rsid w:val="7AC21DFE"/>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602226363779/Final%206-2-2021%20-%20Point%20-%20GTCR%20Domestic%20214%20Application.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