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821CD" w14:paraId="5ED4AE44" w14:textId="32291582">
      <w:pPr>
        <w:jc w:val="right"/>
        <w:rPr>
          <w:b/>
          <w:sz w:val="24"/>
        </w:rPr>
      </w:pPr>
      <w:r>
        <w:rPr>
          <w:b/>
          <w:sz w:val="24"/>
        </w:rPr>
        <w:t>DA 21-</w:t>
      </w:r>
      <w:r w:rsidR="00EF6F9F">
        <w:rPr>
          <w:b/>
          <w:sz w:val="24"/>
        </w:rPr>
        <w:t>1215</w:t>
      </w:r>
    </w:p>
    <w:p w:rsidR="00A821CD" w14:paraId="202E523A" w14:textId="7CB64F3D">
      <w:pPr>
        <w:spacing w:before="60"/>
        <w:jc w:val="right"/>
        <w:rPr>
          <w:b/>
          <w:sz w:val="24"/>
        </w:rPr>
      </w:pPr>
      <w:r>
        <w:rPr>
          <w:b/>
          <w:sz w:val="24"/>
        </w:rPr>
        <w:t xml:space="preserve">Released:  </w:t>
      </w:r>
      <w:r w:rsidR="00815C94">
        <w:rPr>
          <w:b/>
          <w:sz w:val="24"/>
        </w:rPr>
        <w:t xml:space="preserve">September </w:t>
      </w:r>
      <w:r w:rsidR="00EF6F9F">
        <w:rPr>
          <w:b/>
          <w:sz w:val="24"/>
        </w:rPr>
        <w:t>28</w:t>
      </w:r>
      <w:r w:rsidR="00815C94">
        <w:rPr>
          <w:b/>
          <w:sz w:val="24"/>
        </w:rPr>
        <w:t>, 2021</w:t>
      </w:r>
    </w:p>
    <w:p w:rsidR="00A821CD" w14:paraId="2C1547A6" w14:textId="77777777">
      <w:pPr>
        <w:jc w:val="right"/>
        <w:rPr>
          <w:sz w:val="24"/>
        </w:rPr>
      </w:pPr>
    </w:p>
    <w:p w:rsidR="00A821CD" w:rsidRPr="006225E7" w:rsidP="006225E7" w14:paraId="5A6C062B" w14:textId="7DD80FC6">
      <w:pPr>
        <w:spacing w:after="240"/>
        <w:jc w:val="center"/>
        <w:rPr>
          <w:rFonts w:ascii="Times New Roman Bold" w:hAnsi="Times New Roman Bold"/>
          <w:b/>
          <w:caps/>
          <w:sz w:val="24"/>
        </w:rPr>
      </w:pPr>
      <w:r>
        <w:rPr>
          <w:rFonts w:ascii="Times New Roman Bold" w:hAnsi="Times New Roman Bold"/>
          <w:b/>
          <w:caps/>
          <w:sz w:val="24"/>
        </w:rPr>
        <w:t xml:space="preserve">wireless telecommunications bureau reminds </w:t>
      </w:r>
      <w:r w:rsidR="008D5C1F">
        <w:rPr>
          <w:rFonts w:ascii="Times New Roman Bold" w:hAnsi="Times New Roman Bold"/>
          <w:b/>
          <w:caps/>
          <w:sz w:val="24"/>
        </w:rPr>
        <w:t xml:space="preserve">wireless </w:t>
      </w:r>
      <w:r>
        <w:rPr>
          <w:rFonts w:ascii="Times New Roman Bold" w:hAnsi="Times New Roman Bold"/>
          <w:b/>
          <w:caps/>
          <w:sz w:val="24"/>
        </w:rPr>
        <w:t xml:space="preserve">handset manufacturers and service providers of </w:t>
      </w:r>
      <w:r w:rsidR="007B3987">
        <w:rPr>
          <w:rFonts w:ascii="Times New Roman Bold" w:hAnsi="Times New Roman Bold"/>
          <w:b/>
          <w:caps/>
          <w:sz w:val="24"/>
        </w:rPr>
        <w:t xml:space="preserve">upcoming </w:t>
      </w:r>
      <w:r w:rsidR="00BA7D5B">
        <w:rPr>
          <w:rFonts w:ascii="Times New Roman Bold" w:hAnsi="Times New Roman Bold"/>
          <w:b/>
          <w:caps/>
          <w:sz w:val="24"/>
        </w:rPr>
        <w:t>change</w:t>
      </w:r>
      <w:r w:rsidR="007B3987">
        <w:rPr>
          <w:rFonts w:ascii="Times New Roman Bold" w:hAnsi="Times New Roman Bold"/>
          <w:b/>
          <w:caps/>
          <w:sz w:val="24"/>
        </w:rPr>
        <w:t>s</w:t>
      </w:r>
      <w:r w:rsidR="00BA7D5B">
        <w:rPr>
          <w:rFonts w:ascii="Times New Roman Bold" w:hAnsi="Times New Roman Bold"/>
          <w:b/>
          <w:caps/>
          <w:sz w:val="24"/>
        </w:rPr>
        <w:t xml:space="preserve"> </w:t>
      </w:r>
      <w:r w:rsidR="007B3987">
        <w:rPr>
          <w:rFonts w:ascii="Times New Roman Bold" w:hAnsi="Times New Roman Bold"/>
          <w:b/>
          <w:caps/>
          <w:sz w:val="24"/>
        </w:rPr>
        <w:t>to</w:t>
      </w:r>
      <w:r>
        <w:rPr>
          <w:rFonts w:ascii="Times New Roman Bold" w:hAnsi="Times New Roman Bold"/>
          <w:b/>
          <w:caps/>
          <w:sz w:val="24"/>
        </w:rPr>
        <w:t xml:space="preserve"> </w:t>
      </w:r>
      <w:r w:rsidR="007B3987">
        <w:rPr>
          <w:rFonts w:ascii="Times New Roman Bold" w:hAnsi="Times New Roman Bold"/>
          <w:b/>
          <w:caps/>
          <w:sz w:val="24"/>
        </w:rPr>
        <w:t xml:space="preserve">hearing aid compatibility </w:t>
      </w:r>
      <w:r>
        <w:rPr>
          <w:rFonts w:ascii="Times New Roman Bold" w:hAnsi="Times New Roman Bold"/>
          <w:b/>
          <w:caps/>
          <w:sz w:val="24"/>
        </w:rPr>
        <w:t>deployment benchmarks</w:t>
      </w:r>
    </w:p>
    <w:p w:rsidR="00A821CD" w14:paraId="7D357842" w14:textId="2F10E992">
      <w:pPr>
        <w:jc w:val="center"/>
        <w:rPr>
          <w:b/>
          <w:sz w:val="24"/>
        </w:rPr>
      </w:pPr>
      <w:r>
        <w:rPr>
          <w:b/>
          <w:sz w:val="24"/>
        </w:rPr>
        <w:t>WT Docket No</w:t>
      </w:r>
      <w:r w:rsidR="00763AD0">
        <w:rPr>
          <w:b/>
          <w:sz w:val="24"/>
        </w:rPr>
        <w:t>s</w:t>
      </w:r>
      <w:r>
        <w:rPr>
          <w:b/>
          <w:sz w:val="24"/>
        </w:rPr>
        <w:t>. 15-285</w:t>
      </w:r>
      <w:r w:rsidR="00763AD0">
        <w:rPr>
          <w:b/>
          <w:sz w:val="24"/>
        </w:rPr>
        <w:t>, 20-3</w:t>
      </w:r>
    </w:p>
    <w:p w:rsidR="00A821CD" w14:paraId="0753779D" w14:textId="77777777">
      <w:bookmarkStart w:id="0" w:name="TOChere"/>
    </w:p>
    <w:p w:rsidR="00A821CD" w14:paraId="28206A6C" w14:textId="1C2B1CA3">
      <w:r>
        <w:t xml:space="preserve">The Wireless Telecommunications Bureau reminds wireless handset manufacturers and service providers </w:t>
      </w:r>
      <w:r w:rsidR="00541877">
        <w:t>of</w:t>
      </w:r>
      <w:r>
        <w:t xml:space="preserve"> </w:t>
      </w:r>
      <w:r w:rsidR="00C633C0">
        <w:t xml:space="preserve">upcoming </w:t>
      </w:r>
      <w:r w:rsidR="0064250C">
        <w:t>increase</w:t>
      </w:r>
      <w:r w:rsidR="00C633C0">
        <w:t>s in</w:t>
      </w:r>
      <w:r>
        <w:t xml:space="preserve"> deployment benchmarks for hearing aid-compatible handsets.  </w:t>
      </w:r>
      <w:r w:rsidR="0064250C">
        <w:t xml:space="preserve">Specifically, </w:t>
      </w:r>
      <w:r w:rsidR="00C633C0">
        <w:t>t</w:t>
      </w:r>
      <w:r>
        <w:t>he benchmark</w:t>
      </w:r>
      <w:r w:rsidR="008D5C1F">
        <w:t xml:space="preserve"> </w:t>
      </w:r>
      <w:r>
        <w:t xml:space="preserve">for handset manufacturers will </w:t>
      </w:r>
      <w:r w:rsidR="008D5C1F">
        <w:t xml:space="preserve">increase </w:t>
      </w:r>
      <w:r>
        <w:t>from 66% to 85%</w:t>
      </w:r>
      <w:r w:rsidR="008D5C1F">
        <w:t xml:space="preserve"> on October 4, 2021</w:t>
      </w:r>
      <w:r w:rsidR="00C633C0">
        <w:t>,</w:t>
      </w:r>
      <w:r>
        <w:rPr>
          <w:rStyle w:val="FootnoteReference"/>
        </w:rPr>
        <w:footnoteReference w:id="3"/>
      </w:r>
      <w:r w:rsidR="00BA7D5B">
        <w:t xml:space="preserve"> </w:t>
      </w:r>
      <w:r w:rsidR="00C633C0">
        <w:t>and the benchmark for</w:t>
      </w:r>
      <w:r>
        <w:t xml:space="preserve"> Tier I service providers </w:t>
      </w:r>
      <w:r w:rsidR="00C633C0">
        <w:t xml:space="preserve">will increase from 66% to 85% </w:t>
      </w:r>
      <w:r>
        <w:t>on April 4, 2022.</w:t>
      </w:r>
      <w:r>
        <w:rPr>
          <w:rStyle w:val="FootnoteReference"/>
        </w:rPr>
        <w:footnoteReference w:id="4"/>
      </w:r>
      <w:r>
        <w:t xml:space="preserve">  For non-Tier I service providers, the benchmark will </w:t>
      </w:r>
      <w:r w:rsidR="008D5C1F">
        <w:t xml:space="preserve">increase </w:t>
      </w:r>
      <w:r>
        <w:t>from 66% to 85% on April 3, 2023.</w:t>
      </w:r>
      <w:r>
        <w:rPr>
          <w:rStyle w:val="FootnoteReference"/>
        </w:rPr>
        <w:footnoteReference w:id="5"/>
      </w:r>
    </w:p>
    <w:p w:rsidR="00A821CD" w14:paraId="7E9F8766" w14:textId="77777777"/>
    <w:bookmarkEnd w:id="0"/>
    <w:p w:rsidR="00E73BB7" w:rsidP="00E73BB7" w14:paraId="5E1176DA" w14:textId="1B6D5855">
      <w:r>
        <w:t>The</w:t>
      </w:r>
      <w:r>
        <w:t xml:space="preserve"> upcoming changes to the deployment benchmarks will ensure that at least 85% of </w:t>
      </w:r>
      <w:r w:rsidR="00541877">
        <w:t xml:space="preserve">covered </w:t>
      </w:r>
      <w:r>
        <w:t xml:space="preserve">wireless handsets are hearing aid-compatible in the near future.  The Commission adopted </w:t>
      </w:r>
      <w:r w:rsidR="00800F56">
        <w:t xml:space="preserve">a schedule for </w:t>
      </w:r>
      <w:r w:rsidR="00C633C0">
        <w:t>phased</w:t>
      </w:r>
      <w:r>
        <w:t xml:space="preserve"> increases after finding that the new benchmarks </w:t>
      </w:r>
      <w:r w:rsidR="005B6B4A">
        <w:t xml:space="preserve">would </w:t>
      </w:r>
      <w:r>
        <w:t>significantly benefit consumers by expanding access to hearing aid-compatible handsets.</w:t>
      </w:r>
      <w:r>
        <w:rPr>
          <w:rStyle w:val="FootnoteReference"/>
        </w:rPr>
        <w:footnoteReference w:id="6"/>
      </w:r>
      <w:r>
        <w:t xml:space="preserve">  The Commission </w:t>
      </w:r>
      <w:r w:rsidR="00236B70">
        <w:t xml:space="preserve">continues to assess whether further changes are needed to facilitate use of </w:t>
      </w:r>
      <w:r w:rsidR="009410BE">
        <w:t>wireless</w:t>
      </w:r>
      <w:r w:rsidR="00236B70">
        <w:t xml:space="preserve"> handsets by those with hearing loss</w:t>
      </w:r>
      <w:r w:rsidR="001E6CD2">
        <w:t>,</w:t>
      </w:r>
      <w:r w:rsidR="00AF1BA1">
        <w:t xml:space="preserve"> including</w:t>
      </w:r>
      <w:r w:rsidR="00236B70">
        <w:t xml:space="preserve"> whether to require </w:t>
      </w:r>
      <w:r>
        <w:t xml:space="preserve">100% of </w:t>
      </w:r>
      <w:r w:rsidR="00B72633">
        <w:t xml:space="preserve">covered </w:t>
      </w:r>
      <w:r>
        <w:t xml:space="preserve">handsets </w:t>
      </w:r>
      <w:r w:rsidR="00236B70">
        <w:t xml:space="preserve">to </w:t>
      </w:r>
      <w:r>
        <w:t>be hearing aid-compatible</w:t>
      </w:r>
      <w:r w:rsidR="00364EA0">
        <w:t>.</w:t>
      </w:r>
      <w:r>
        <w:rPr>
          <w:rStyle w:val="FootnoteReference"/>
        </w:rPr>
        <w:footnoteReference w:id="7"/>
      </w:r>
      <w:r w:rsidR="00F979ED">
        <w:t xml:space="preserve">  The Commission will also review the Hearing Aid Compatibility Task Force’s final report on this topic, which is due by December 31, 2022.</w:t>
      </w:r>
      <w:r>
        <w:rPr>
          <w:rStyle w:val="FootnoteReference"/>
        </w:rPr>
        <w:footnoteReference w:id="8"/>
      </w:r>
    </w:p>
    <w:p w:rsidR="005B6B4A" w:rsidP="00E73BB7" w14:paraId="065B4906" w14:textId="770D0C38"/>
    <w:p w:rsidR="00495852" w14:paraId="617A3A18" w14:textId="532D2AC8">
      <w:r>
        <w:t xml:space="preserve">The </w:t>
      </w:r>
      <w:r w:rsidR="00893A94">
        <w:t xml:space="preserve">Wireless Telecommunications Bureau </w:t>
      </w:r>
      <w:r>
        <w:t xml:space="preserve">reminds handset manufacturers and service providers that </w:t>
      </w:r>
      <w:r w:rsidR="00BA7D5B">
        <w:t xml:space="preserve">they must comply with the </w:t>
      </w:r>
      <w:r w:rsidR="007B3987">
        <w:t xml:space="preserve">new </w:t>
      </w:r>
      <w:r>
        <w:t xml:space="preserve">85% benchmark </w:t>
      </w:r>
      <w:r w:rsidR="00BA7D5B">
        <w:t xml:space="preserve">and </w:t>
      </w:r>
      <w:r w:rsidR="00893A94">
        <w:t xml:space="preserve">the Commission’s </w:t>
      </w:r>
      <w:r w:rsidR="007B3987">
        <w:t>other</w:t>
      </w:r>
      <w:r>
        <w:t xml:space="preserve"> hearing aid compatibility </w:t>
      </w:r>
      <w:r w:rsidR="00BA7D5B">
        <w:t>rules</w:t>
      </w:r>
      <w:r>
        <w:t>.</w:t>
      </w:r>
      <w:r>
        <w:rPr>
          <w:rStyle w:val="FootnoteReference"/>
        </w:rPr>
        <w:footnoteReference w:id="9"/>
      </w:r>
      <w:r>
        <w:t xml:space="preserve">  </w:t>
      </w:r>
      <w:r w:rsidR="00893A94">
        <w:t>Failing</w:t>
      </w:r>
      <w:r>
        <w:t xml:space="preserve"> to </w:t>
      </w:r>
      <w:r w:rsidR="00A67799">
        <w:t>comply</w:t>
      </w:r>
      <w:r>
        <w:t xml:space="preserve"> with the benchmark or other hearing aid compatibility </w:t>
      </w:r>
      <w:r w:rsidR="00BA7D5B">
        <w:t xml:space="preserve">rules </w:t>
      </w:r>
      <w:r>
        <w:t>could le</w:t>
      </w:r>
      <w:r w:rsidR="00A67799">
        <w:t>a</w:t>
      </w:r>
      <w:r>
        <w:t>d to enforcement proceedings and possible forfeitures.</w:t>
      </w:r>
    </w:p>
    <w:p w:rsidR="007935A9" w14:paraId="6A7F5D5B" w14:textId="332D60A6"/>
    <w:p w:rsidR="001F3C4A" w14:paraId="717B622D" w14:textId="09883010">
      <w:r w:rsidRPr="007935A9">
        <w:t xml:space="preserve">For further information, please contact </w:t>
      </w:r>
      <w:r>
        <w:t>Eli Johnson</w:t>
      </w:r>
      <w:r w:rsidRPr="007935A9">
        <w:t>, Wirel</w:t>
      </w:r>
      <w:r>
        <w:t xml:space="preserve">ess Telecommunications </w:t>
      </w:r>
      <w:r w:rsidRPr="007935A9">
        <w:t>Bureau at (202) 418-</w:t>
      </w:r>
      <w:r>
        <w:t xml:space="preserve">1395 or email: </w:t>
      </w:r>
      <w:hyperlink r:id="rId5" w:history="1">
        <w:r w:rsidRPr="00372A10">
          <w:rPr>
            <w:rStyle w:val="Hyperlink"/>
          </w:rPr>
          <w:t>eli.johnson@fcc.gov</w:t>
        </w:r>
      </w:hyperlink>
      <w:r>
        <w:t>.</w:t>
      </w:r>
    </w:p>
    <w:p w:rsidR="001F3C4A" w:rsidRPr="00CB2172" w:rsidP="00CB2172" w14:paraId="2D2F3CD1" w14:textId="6B414379">
      <w:pPr>
        <w:jc w:val="center"/>
        <w:rPr>
          <w:b/>
          <w:bCs/>
        </w:rPr>
      </w:pPr>
      <w:r w:rsidRPr="001F3C4A">
        <w:rPr>
          <w:b/>
          <w:bCs/>
        </w:rPr>
        <w:t>– FCC –</w:t>
      </w:r>
    </w:p>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21CD" w14:paraId="23D4E3D2" w14:textId="77777777">
    <w:pPr>
      <w:pStyle w:val="Footer"/>
      <w:framePr w:wrap="around" w:vAnchor="text" w:hAnchor="margin" w:xAlign="center" w:y="1"/>
    </w:pPr>
    <w:r>
      <w:fldChar w:fldCharType="begin"/>
    </w:r>
    <w:r>
      <w:instrText xml:space="preserve">PAGE  </w:instrText>
    </w:r>
    <w:r>
      <w:fldChar w:fldCharType="separate"/>
    </w:r>
    <w:r>
      <w:fldChar w:fldCharType="end"/>
    </w:r>
  </w:p>
  <w:p w:rsidR="00A821CD" w14:paraId="3934A2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21CD" w14:paraId="11CEE9D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21CD" w14:paraId="773AABD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A1F3B" w14:paraId="5AEE32DC" w14:textId="77777777">
      <w:r>
        <w:separator/>
      </w:r>
    </w:p>
  </w:footnote>
  <w:footnote w:type="continuationSeparator" w:id="1">
    <w:p w:rsidR="003A1F3B" w14:paraId="568D7075" w14:textId="77777777">
      <w:pPr>
        <w:rPr>
          <w:sz w:val="20"/>
        </w:rPr>
      </w:pPr>
      <w:r>
        <w:rPr>
          <w:sz w:val="20"/>
        </w:rPr>
        <w:t xml:space="preserve">(Continued from previous page)  </w:t>
      </w:r>
      <w:r>
        <w:rPr>
          <w:sz w:val="20"/>
        </w:rPr>
        <w:separator/>
      </w:r>
    </w:p>
  </w:footnote>
  <w:footnote w:type="continuationNotice" w:id="2">
    <w:p w:rsidR="003A1F3B" w14:paraId="6B1E6C9A" w14:textId="77777777">
      <w:pPr>
        <w:jc w:val="right"/>
        <w:rPr>
          <w:sz w:val="20"/>
        </w:rPr>
      </w:pPr>
      <w:r>
        <w:rPr>
          <w:sz w:val="20"/>
        </w:rPr>
        <w:t>(continued….)</w:t>
      </w:r>
    </w:p>
  </w:footnote>
  <w:footnote w:id="3">
    <w:p w:rsidR="008D5C1F" w14:paraId="5329A35F" w14:textId="64E225F3">
      <w:pPr>
        <w:pStyle w:val="FootnoteText"/>
      </w:pPr>
      <w:r>
        <w:rPr>
          <w:rStyle w:val="FootnoteReference"/>
        </w:rPr>
        <w:footnoteRef/>
      </w:r>
      <w:r>
        <w:t xml:space="preserve"> </w:t>
      </w:r>
      <w:r w:rsidRPr="008D5C1F">
        <w:t>47 CFR § 20.19(c)(1)(ii)</w:t>
      </w:r>
      <w:r w:rsidR="00742ABE">
        <w:t>.</w:t>
      </w:r>
    </w:p>
  </w:footnote>
  <w:footnote w:id="4">
    <w:p w:rsidR="001B6ACE" w14:paraId="2FE8C062" w14:textId="4CDCC3B6">
      <w:pPr>
        <w:pStyle w:val="FootnoteText"/>
      </w:pPr>
      <w:r>
        <w:rPr>
          <w:rStyle w:val="FootnoteReference"/>
        </w:rPr>
        <w:footnoteRef/>
      </w:r>
      <w:r>
        <w:t xml:space="preserve"> 47 CFR § 20.19(c)</w:t>
      </w:r>
      <w:r w:rsidR="00804340">
        <w:t>(2)(ii)</w:t>
      </w:r>
      <w:r>
        <w:t>.</w:t>
      </w:r>
    </w:p>
  </w:footnote>
  <w:footnote w:id="5">
    <w:p w:rsidR="00BD6831" w14:paraId="5963C2F2" w14:textId="5B6B5345">
      <w:pPr>
        <w:pStyle w:val="FootnoteText"/>
      </w:pPr>
      <w:r>
        <w:rPr>
          <w:rStyle w:val="FootnoteReference"/>
        </w:rPr>
        <w:footnoteRef/>
      </w:r>
      <w:r>
        <w:t xml:space="preserve"> 47 CFR § 20.19(c)(3)(ii).</w:t>
      </w:r>
    </w:p>
  </w:footnote>
  <w:footnote w:id="6">
    <w:p w:rsidR="005B6B4A" w:rsidP="005B6B4A" w14:paraId="3F6DA067" w14:textId="5F2FBF86">
      <w:pPr>
        <w:pStyle w:val="FootnoteText"/>
      </w:pPr>
      <w:r>
        <w:rPr>
          <w:rStyle w:val="FootnoteReference"/>
        </w:rPr>
        <w:footnoteRef/>
      </w:r>
      <w:r>
        <w:t xml:space="preserve"> </w:t>
      </w:r>
      <w:r w:rsidRPr="001E0E42">
        <w:rPr>
          <w:i/>
          <w:iCs/>
        </w:rPr>
        <w:t>Improvements to Benchmarks and Related Requirements Governing Hearing Aid-Compatible Mobile Handsets</w:t>
      </w:r>
      <w:r>
        <w:t>, WT Docket No. 15-285, Report and Order, 31 FCC Rcd 9336, 9345, para. 25 (2016)</w:t>
      </w:r>
      <w:r w:rsidR="00236B70">
        <w:t xml:space="preserve"> (</w:t>
      </w:r>
      <w:r w:rsidRPr="00EA589E" w:rsidR="00236B70">
        <w:rPr>
          <w:i/>
          <w:iCs/>
        </w:rPr>
        <w:t>Benchmark Order</w:t>
      </w:r>
      <w:r w:rsidR="00236B70">
        <w:t>)</w:t>
      </w:r>
      <w:r>
        <w:t>.</w:t>
      </w:r>
    </w:p>
  </w:footnote>
  <w:footnote w:id="7">
    <w:p w:rsidR="00F02976" w:rsidP="00F02976" w14:paraId="3D13C29C" w14:textId="4CE283DA">
      <w:pPr>
        <w:pStyle w:val="FootnoteText"/>
      </w:pPr>
      <w:r>
        <w:rPr>
          <w:rStyle w:val="FootnoteReference"/>
        </w:rPr>
        <w:footnoteRef/>
      </w:r>
      <w:r>
        <w:t xml:space="preserve"> </w:t>
      </w:r>
      <w:r w:rsidRPr="00EA589E">
        <w:rPr>
          <w:i/>
          <w:iCs/>
        </w:rPr>
        <w:t>See</w:t>
      </w:r>
      <w:r>
        <w:t xml:space="preserve"> </w:t>
      </w:r>
      <w:r w:rsidRPr="00AC038D">
        <w:rPr>
          <w:i/>
          <w:iCs/>
        </w:rPr>
        <w:t>Amend</w:t>
      </w:r>
      <w:r>
        <w:rPr>
          <w:i/>
          <w:iCs/>
        </w:rPr>
        <w:t>ment</w:t>
      </w:r>
      <w:r w:rsidRPr="00AC038D">
        <w:rPr>
          <w:i/>
          <w:iCs/>
        </w:rPr>
        <w:t xml:space="preserve"> </w:t>
      </w:r>
      <w:r>
        <w:rPr>
          <w:i/>
          <w:iCs/>
        </w:rPr>
        <w:t xml:space="preserve">of </w:t>
      </w:r>
      <w:r w:rsidRPr="00AC038D">
        <w:rPr>
          <w:i/>
          <w:iCs/>
        </w:rPr>
        <w:t>the Commission’s Rules Governing Standards for Hearing Aid-Compatible Handsets</w:t>
      </w:r>
      <w:r>
        <w:t xml:space="preserve">, WT Docket No. 20-3, Report and Order, 36 FCC Rcd 4566, </w:t>
      </w:r>
      <w:r w:rsidR="002A2D21">
        <w:t>4574-75, 4577-78,</w:t>
      </w:r>
      <w:r>
        <w:t xml:space="preserve"> paras</w:t>
      </w:r>
      <w:r w:rsidR="00FB03BF">
        <w:t>.</w:t>
      </w:r>
      <w:r>
        <w:t xml:space="preserve"> 19-20, 27-28 (2021) (</w:t>
      </w:r>
      <w:r>
        <w:rPr>
          <w:i/>
          <w:iCs/>
        </w:rPr>
        <w:t>2021</w:t>
      </w:r>
      <w:r w:rsidRPr="00EA589E">
        <w:rPr>
          <w:i/>
          <w:iCs/>
        </w:rPr>
        <w:t xml:space="preserve"> ANSI Standard Order</w:t>
      </w:r>
      <w:r>
        <w:t>)</w:t>
      </w:r>
      <w:r w:rsidRPr="00CB2172">
        <w:t>.</w:t>
      </w:r>
    </w:p>
  </w:footnote>
  <w:footnote w:id="8">
    <w:p w:rsidR="00F979ED" w:rsidP="00F979ED" w14:paraId="72E4441F" w14:textId="77777777">
      <w:pPr>
        <w:pStyle w:val="FootnoteText"/>
      </w:pPr>
      <w:r>
        <w:rPr>
          <w:rStyle w:val="FootnoteReference"/>
        </w:rPr>
        <w:footnoteRef/>
      </w:r>
      <w:r>
        <w:t xml:space="preserve"> </w:t>
      </w:r>
      <w:r w:rsidRPr="00EA589E">
        <w:rPr>
          <w:i/>
          <w:iCs/>
        </w:rPr>
        <w:t>See</w:t>
      </w:r>
      <w:r>
        <w:rPr>
          <w:i/>
          <w:iCs/>
        </w:rPr>
        <w:t xml:space="preserve"> 2021 </w:t>
      </w:r>
      <w:r w:rsidRPr="009442E8">
        <w:rPr>
          <w:i/>
          <w:iCs/>
        </w:rPr>
        <w:t>ANSI Standard Order</w:t>
      </w:r>
      <w:r>
        <w:t xml:space="preserve">, 36 FCC Rcd at 4577-78, paras. 27-28; </w:t>
      </w:r>
      <w:r w:rsidRPr="00EA589E">
        <w:rPr>
          <w:i/>
          <w:iCs/>
        </w:rPr>
        <w:t>Benchmark Order</w:t>
      </w:r>
      <w:r>
        <w:t xml:space="preserve">, 31 FCC Rcd </w:t>
      </w:r>
      <w:r w:rsidRPr="00CB2172">
        <w:t>at 9349, 9352-53, paras. 34, 41.</w:t>
      </w:r>
    </w:p>
  </w:footnote>
  <w:footnote w:id="9">
    <w:p w:rsidR="00AB647A" w14:paraId="0D3B5A99" w14:textId="74D24F42">
      <w:pPr>
        <w:pStyle w:val="FootnoteText"/>
      </w:pPr>
      <w:r>
        <w:rPr>
          <w:rStyle w:val="FootnoteReference"/>
        </w:rPr>
        <w:footnoteRef/>
      </w:r>
      <w:r>
        <w:t xml:space="preserve"> </w:t>
      </w:r>
      <w:r w:rsidRPr="00AB647A">
        <w:rPr>
          <w:i/>
          <w:iCs/>
        </w:rPr>
        <w:t>See</w:t>
      </w:r>
      <w:r>
        <w:t xml:space="preserve"> 47 CFR §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21CD" w14:paraId="0904FB6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21CD" w14:paraId="4B9A1D88"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A821CD" w14:paraId="726BBC86" w14:textId="575AC83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821CD" w14:paraId="2A2C63E1"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21CD" w14:paraId="5A01A306" w14:textId="2BC31680">
    <w:pPr>
      <w:pStyle w:val="Header"/>
    </w:pPr>
    <w:r>
      <w:rPr>
        <w:noProof/>
        <w:snapToGrid/>
      </w:rPr>
      <w:drawing>
        <wp:inline distT="0" distB="0" distL="0" distR="0">
          <wp:extent cx="5948680" cy="1425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8680" cy="1425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6FE"/>
    <w:rsid w:val="00025FAD"/>
    <w:rsid w:val="0003150C"/>
    <w:rsid w:val="00047438"/>
    <w:rsid w:val="000733E8"/>
    <w:rsid w:val="000A12FC"/>
    <w:rsid w:val="000B42BD"/>
    <w:rsid w:val="000D50BF"/>
    <w:rsid w:val="000F3B4E"/>
    <w:rsid w:val="00102446"/>
    <w:rsid w:val="00165830"/>
    <w:rsid w:val="001B6ACE"/>
    <w:rsid w:val="001E0E42"/>
    <w:rsid w:val="001E41C1"/>
    <w:rsid w:val="001E6CD2"/>
    <w:rsid w:val="001F3C4A"/>
    <w:rsid w:val="00217C8B"/>
    <w:rsid w:val="00234DA3"/>
    <w:rsid w:val="00236B70"/>
    <w:rsid w:val="00270F6E"/>
    <w:rsid w:val="00285784"/>
    <w:rsid w:val="002A2D21"/>
    <w:rsid w:val="002F1994"/>
    <w:rsid w:val="00364EA0"/>
    <w:rsid w:val="00372A10"/>
    <w:rsid w:val="003A1F3B"/>
    <w:rsid w:val="003D5A21"/>
    <w:rsid w:val="004018FD"/>
    <w:rsid w:val="00406EED"/>
    <w:rsid w:val="0047344A"/>
    <w:rsid w:val="0048377F"/>
    <w:rsid w:val="004918FE"/>
    <w:rsid w:val="00495852"/>
    <w:rsid w:val="004C4153"/>
    <w:rsid w:val="00517EA4"/>
    <w:rsid w:val="00541877"/>
    <w:rsid w:val="005B6B4A"/>
    <w:rsid w:val="005D0F42"/>
    <w:rsid w:val="005F0713"/>
    <w:rsid w:val="005F33A3"/>
    <w:rsid w:val="006225E7"/>
    <w:rsid w:val="0064250C"/>
    <w:rsid w:val="006D5747"/>
    <w:rsid w:val="006F2193"/>
    <w:rsid w:val="006F33EA"/>
    <w:rsid w:val="006F4E4D"/>
    <w:rsid w:val="00701334"/>
    <w:rsid w:val="00704A3E"/>
    <w:rsid w:val="00742ABE"/>
    <w:rsid w:val="00763AD0"/>
    <w:rsid w:val="007935A9"/>
    <w:rsid w:val="007B3987"/>
    <w:rsid w:val="007C6D35"/>
    <w:rsid w:val="007F2FE2"/>
    <w:rsid w:val="00800F56"/>
    <w:rsid w:val="00804340"/>
    <w:rsid w:val="00815C94"/>
    <w:rsid w:val="00866A98"/>
    <w:rsid w:val="00870412"/>
    <w:rsid w:val="00893A94"/>
    <w:rsid w:val="00894C80"/>
    <w:rsid w:val="008D5C1F"/>
    <w:rsid w:val="00917968"/>
    <w:rsid w:val="00917A93"/>
    <w:rsid w:val="00937E69"/>
    <w:rsid w:val="009410BE"/>
    <w:rsid w:val="009442E8"/>
    <w:rsid w:val="00967DC6"/>
    <w:rsid w:val="009B44EF"/>
    <w:rsid w:val="00A67799"/>
    <w:rsid w:val="00A74351"/>
    <w:rsid w:val="00A821CD"/>
    <w:rsid w:val="00AB647A"/>
    <w:rsid w:val="00AC038D"/>
    <w:rsid w:val="00AF1BA1"/>
    <w:rsid w:val="00B72633"/>
    <w:rsid w:val="00BA7D5B"/>
    <w:rsid w:val="00BD6831"/>
    <w:rsid w:val="00C633C0"/>
    <w:rsid w:val="00CB2172"/>
    <w:rsid w:val="00D04334"/>
    <w:rsid w:val="00D13164"/>
    <w:rsid w:val="00D56C1A"/>
    <w:rsid w:val="00D63000"/>
    <w:rsid w:val="00D97EEF"/>
    <w:rsid w:val="00DA4459"/>
    <w:rsid w:val="00E73BB7"/>
    <w:rsid w:val="00EA589E"/>
    <w:rsid w:val="00EB3DB7"/>
    <w:rsid w:val="00EC22B9"/>
    <w:rsid w:val="00EF5AD9"/>
    <w:rsid w:val="00EF6F9F"/>
    <w:rsid w:val="00F02976"/>
    <w:rsid w:val="00F546FE"/>
    <w:rsid w:val="00F647D3"/>
    <w:rsid w:val="00F979ED"/>
    <w:rsid w:val="00FB03BF"/>
    <w:rsid w:val="00FB11A4"/>
    <w:rsid w:val="00FB61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BF20B2B"/>
  <w15:chartTrackingRefBased/>
  <w15:docId w15:val="{B8C4BF4E-F4B4-4302-9095-1A7BC5F5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link w:val="FootnoteText"/>
    <w:rsid w:val="00870412"/>
  </w:style>
  <w:style w:type="character" w:styleId="CommentReference">
    <w:name w:val="annotation reference"/>
    <w:basedOn w:val="DefaultParagraphFont"/>
    <w:uiPriority w:val="99"/>
    <w:semiHidden/>
    <w:unhideWhenUsed/>
    <w:rsid w:val="00FB6199"/>
    <w:rPr>
      <w:sz w:val="16"/>
      <w:szCs w:val="16"/>
    </w:rPr>
  </w:style>
  <w:style w:type="paragraph" w:styleId="CommentText">
    <w:name w:val="annotation text"/>
    <w:basedOn w:val="Normal"/>
    <w:link w:val="CommentTextChar"/>
    <w:uiPriority w:val="99"/>
    <w:semiHidden/>
    <w:unhideWhenUsed/>
    <w:rsid w:val="00FB6199"/>
    <w:rPr>
      <w:sz w:val="20"/>
    </w:rPr>
  </w:style>
  <w:style w:type="character" w:customStyle="1" w:styleId="CommentTextChar">
    <w:name w:val="Comment Text Char"/>
    <w:basedOn w:val="DefaultParagraphFont"/>
    <w:link w:val="CommentText"/>
    <w:uiPriority w:val="99"/>
    <w:semiHidden/>
    <w:rsid w:val="00FB6199"/>
    <w:rPr>
      <w:snapToGrid w:val="0"/>
      <w:kern w:val="28"/>
    </w:rPr>
  </w:style>
  <w:style w:type="paragraph" w:styleId="CommentSubject">
    <w:name w:val="annotation subject"/>
    <w:basedOn w:val="CommentText"/>
    <w:next w:val="CommentText"/>
    <w:link w:val="CommentSubjectChar"/>
    <w:uiPriority w:val="99"/>
    <w:semiHidden/>
    <w:unhideWhenUsed/>
    <w:rsid w:val="00FB6199"/>
    <w:rPr>
      <w:b/>
      <w:bCs/>
    </w:rPr>
  </w:style>
  <w:style w:type="character" w:customStyle="1" w:styleId="CommentSubjectChar">
    <w:name w:val="Comment Subject Char"/>
    <w:basedOn w:val="CommentTextChar"/>
    <w:link w:val="CommentSubject"/>
    <w:uiPriority w:val="99"/>
    <w:semiHidden/>
    <w:rsid w:val="00FB6199"/>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li.johnso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