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C038C" w:rsidRPr="00854B58" w:rsidP="000C038C" w14:paraId="5C8A4013" w14:textId="2D8F7F21">
      <w:pPr>
        <w:jc w:val="right"/>
        <w:rPr>
          <w:b/>
          <w:sz w:val="24"/>
        </w:rPr>
      </w:pPr>
      <w:r>
        <w:rPr>
          <w:b/>
          <w:sz w:val="24"/>
        </w:rPr>
        <w:t>DA 21-</w:t>
      </w:r>
      <w:r w:rsidR="00F63F02">
        <w:rPr>
          <w:b/>
          <w:sz w:val="24"/>
        </w:rPr>
        <w:t>1225</w:t>
      </w:r>
    </w:p>
    <w:p w:rsidR="000C038C" w:rsidP="000C038C" w14:paraId="3EC8FD07" w14:textId="750CCED4">
      <w:pPr>
        <w:jc w:val="right"/>
        <w:rPr>
          <w:b/>
          <w:sz w:val="24"/>
        </w:rPr>
      </w:pPr>
      <w:r>
        <w:rPr>
          <w:b/>
          <w:sz w:val="24"/>
        </w:rPr>
        <w:t xml:space="preserve">Released:  September </w:t>
      </w:r>
      <w:r w:rsidR="00F63F02">
        <w:rPr>
          <w:b/>
          <w:sz w:val="24"/>
        </w:rPr>
        <w:t>30</w:t>
      </w:r>
      <w:r>
        <w:rPr>
          <w:b/>
          <w:sz w:val="24"/>
        </w:rPr>
        <w:t>, 2021</w:t>
      </w:r>
    </w:p>
    <w:p w:rsidR="00C82B6B" w:rsidRPr="00854B58" w:rsidP="00C82B6B" w14:paraId="65C7767A" w14:textId="77777777">
      <w:pPr>
        <w:jc w:val="right"/>
        <w:rPr>
          <w:b/>
          <w:sz w:val="24"/>
        </w:rPr>
      </w:pPr>
    </w:p>
    <w:p w:rsidR="000C038C" w:rsidP="000C038C" w14:paraId="02B925B0" w14:textId="7622DD45">
      <w:pPr>
        <w:spacing w:after="240"/>
        <w:jc w:val="center"/>
      </w:pPr>
      <w:r w:rsidRPr="00D557C8">
        <w:rPr>
          <w:b/>
          <w:bCs/>
          <w:sz w:val="24"/>
          <w:szCs w:val="24"/>
        </w:rPr>
        <w:t>ESTIMATE OF SYSTEMS OF COMPETITIVE BIDDING FOR FISCAL YEAR 202</w:t>
      </w:r>
      <w:r>
        <w:rPr>
          <w:b/>
          <w:bCs/>
          <w:sz w:val="24"/>
          <w:szCs w:val="24"/>
        </w:rPr>
        <w:t>2</w:t>
      </w:r>
    </w:p>
    <w:p w:rsidR="000C038C" w:rsidP="000C038C" w14:paraId="13E77F05" w14:textId="77777777">
      <w:pPr>
        <w:widowControl/>
        <w:spacing w:after="120"/>
        <w:ind w:firstLine="720"/>
      </w:pPr>
      <w:r w:rsidRPr="006B221D">
        <w:t xml:space="preserve">The </w:t>
      </w:r>
      <w:r>
        <w:t xml:space="preserve">Office of Economics and Analytics (OEA) </w:t>
      </w:r>
      <w:r w:rsidRPr="006B221D">
        <w:t xml:space="preserve">provides </w:t>
      </w:r>
      <w:r>
        <w:t>this</w:t>
      </w:r>
      <w:r w:rsidRPr="006B221D">
        <w:t xml:space="preserve"> estimate </w:t>
      </w:r>
      <w:r>
        <w:t xml:space="preserve">regarding </w:t>
      </w:r>
      <w:r w:rsidRPr="006B221D">
        <w:t xml:space="preserve">upcoming </w:t>
      </w:r>
      <w:r>
        <w:t>systems of competitive bidding,</w:t>
      </w:r>
      <w:r w:rsidRPr="006B221D">
        <w:t xml:space="preserve"> pursuant to Section </w:t>
      </w:r>
      <w:r>
        <w:t>309(j)(18) of the Communications Act of 1934, as amended</w:t>
      </w:r>
      <w:r w:rsidRPr="006B221D">
        <w:t>.</w:t>
      </w:r>
      <w:r>
        <w:rPr>
          <w:rStyle w:val="FootnoteReference"/>
          <w:szCs w:val="22"/>
        </w:rPr>
        <w:footnoteReference w:id="3"/>
      </w:r>
      <w:r w:rsidRPr="006B221D">
        <w:t xml:space="preserve">  </w:t>
      </w:r>
      <w:r>
        <w:t>OEA estimates that the systems of competitive bidding</w:t>
      </w:r>
      <w:r w:rsidRPr="006B221D">
        <w:t xml:space="preserve"> </w:t>
      </w:r>
      <w:r>
        <w:t xml:space="preserve">listed below may be initiated during the </w:t>
      </w:r>
      <w:r w:rsidRPr="006B221D">
        <w:t>12</w:t>
      </w:r>
      <w:r>
        <w:t>-</w:t>
      </w:r>
      <w:r w:rsidRPr="006B221D">
        <w:t xml:space="preserve">month </w:t>
      </w:r>
      <w:r>
        <w:t xml:space="preserve">period </w:t>
      </w:r>
      <w:r w:rsidRPr="006B221D">
        <w:t xml:space="preserve">following </w:t>
      </w:r>
      <w:r w:rsidRPr="005D6DC7">
        <w:t>September 30, 20</w:t>
      </w:r>
      <w:r>
        <w:t xml:space="preserve">21.  </w:t>
      </w:r>
      <w:r w:rsidRPr="001D0618">
        <w:t>More detailed</w:t>
      </w:r>
      <w:r>
        <w:t xml:space="preserve"> </w:t>
      </w:r>
      <w:r w:rsidRPr="001D0618">
        <w:t xml:space="preserve">information concerning each of these </w:t>
      </w:r>
      <w:r>
        <w:t xml:space="preserve">matters </w:t>
      </w:r>
      <w:r w:rsidRPr="001D0618">
        <w:t xml:space="preserve">has </w:t>
      </w:r>
      <w:r>
        <w:t>been and/</w:t>
      </w:r>
      <w:r w:rsidRPr="001D0618">
        <w:t xml:space="preserve">or will be provided </w:t>
      </w:r>
      <w:r>
        <w:t>through orders and public notices</w:t>
      </w:r>
      <w:r w:rsidRPr="001D0618">
        <w:t>.</w:t>
      </w:r>
      <w:r>
        <w:rPr>
          <w:rStyle w:val="FootnoteReference"/>
          <w:szCs w:val="22"/>
        </w:rPr>
        <w:footnoteReference w:id="4"/>
      </w:r>
      <w:r w:rsidRPr="001D0618">
        <w:t xml:space="preserve"> </w:t>
      </w:r>
      <w:r>
        <w:t xml:space="preserve"> </w:t>
      </w:r>
    </w:p>
    <w:p w:rsidR="000C038C" w:rsidRPr="0072451F" w:rsidP="000C038C" w14:paraId="3300B17F" w14:textId="1522A368">
      <w:pPr>
        <w:widowControl/>
        <w:spacing w:after="120"/>
        <w:ind w:firstLine="720"/>
        <w:rPr>
          <w:rFonts w:ascii="TimesNewRomanPSMT" w:hAnsi="TimesNewRomanPSMT" w:cs="TimesNewRomanPSMT"/>
          <w:snapToGrid/>
          <w:kern w:val="0"/>
          <w:szCs w:val="22"/>
        </w:rPr>
      </w:pPr>
      <w:r>
        <w:rPr>
          <w:i/>
        </w:rPr>
        <w:t xml:space="preserve">Auction 110. </w:t>
      </w:r>
      <w:r w:rsidRPr="00435180">
        <w:t xml:space="preserve"> </w:t>
      </w:r>
      <w:r>
        <w:t>Auction 110 will offer 4,060 new flexible-use licenses for spectrum in the 3.45–3.55 GHz band throughout the contiguous United States.</w:t>
      </w:r>
      <w:r>
        <w:rPr>
          <w:rStyle w:val="FootnoteReference"/>
        </w:rPr>
        <w:footnoteReference w:id="5"/>
      </w:r>
      <w:r>
        <w:t xml:space="preserve">  T</w:t>
      </w:r>
      <w:r w:rsidRPr="00D77625">
        <w:t xml:space="preserve">he </w:t>
      </w:r>
      <w:r>
        <w:t>3.45–3.55</w:t>
      </w:r>
      <w:r w:rsidRPr="00D77625">
        <w:t xml:space="preserve"> GHz band</w:t>
      </w:r>
      <w:r w:rsidRPr="00C43C7F">
        <w:t xml:space="preserve"> </w:t>
      </w:r>
      <w:r w:rsidR="00290A9E">
        <w:t>is</w:t>
      </w:r>
      <w:r w:rsidRPr="00D77625">
        <w:t xml:space="preserve"> </w:t>
      </w:r>
      <w:r>
        <w:t>used by the Department of Defense for high- and low-powered radar systems on fixed, mobile, shipborne, and airborne platforms</w:t>
      </w:r>
      <w:r w:rsidRPr="00D77625">
        <w:t>.</w:t>
      </w:r>
      <w:r>
        <w:t xml:space="preserve">  </w:t>
      </w:r>
      <w:r w:rsidRPr="0034297F">
        <w:t>This auc</w:t>
      </w:r>
      <w:r>
        <w:t>t</w:t>
      </w:r>
      <w:r w:rsidRPr="0034297F">
        <w:t xml:space="preserve">ion </w:t>
      </w:r>
      <w:r w:rsidRPr="00C179E5">
        <w:rPr>
          <w:szCs w:val="22"/>
        </w:rPr>
        <w:t xml:space="preserve">will offer </w:t>
      </w:r>
      <w:r>
        <w:rPr>
          <w:szCs w:val="22"/>
        </w:rPr>
        <w:t>100</w:t>
      </w:r>
      <w:r w:rsidRPr="00D77625">
        <w:t xml:space="preserve"> megahertz of spectrum </w:t>
      </w:r>
      <w:r w:rsidRPr="00271CFC">
        <w:t>licensed on an unpaired basis and divided into ten 10-megahertz blocks</w:t>
      </w:r>
      <w:r w:rsidRPr="00D77625">
        <w:t xml:space="preserve"> </w:t>
      </w:r>
      <w:r>
        <w:t>in</w:t>
      </w:r>
      <w:r w:rsidRPr="00D77625">
        <w:t xml:space="preserve"> partial economic area</w:t>
      </w:r>
      <w:r>
        <w:t>-based geographic areas</w:t>
      </w:r>
      <w:r w:rsidRPr="00D77625">
        <w:t xml:space="preserve"> </w:t>
      </w:r>
      <w:r>
        <w:t xml:space="preserve">located in the contiguous 48 states </w:t>
      </w:r>
      <w:r w:rsidRPr="00D77625">
        <w:t>and the District of Columbia.</w:t>
      </w:r>
      <w:r>
        <w:rPr>
          <w:rStyle w:val="FootnoteReference"/>
        </w:rPr>
        <w:footnoteReference w:id="6"/>
      </w:r>
      <w:r>
        <w:t xml:space="preserve">  The 3.45–3.55 GHz band will operate using a cooperative sharing framework under which </w:t>
      </w:r>
      <w:r w:rsidR="00290A9E">
        <w:t xml:space="preserve">non-federal operators will coordinate with </w:t>
      </w:r>
      <w:r>
        <w:t>existing federal users in locations where current incumbent federal systems will remain indefinitely in the band.</w:t>
      </w:r>
      <w:r>
        <w:rPr>
          <w:rStyle w:val="FootnoteReference"/>
        </w:rPr>
        <w:footnoteReference w:id="7"/>
      </w:r>
      <w:r>
        <w:t xml:space="preserve">  The deadline for filing applications to participate in the auction was July </w:t>
      </w:r>
      <w:r w:rsidRPr="0018702C">
        <w:t>21</w:t>
      </w:r>
      <w:r>
        <w:t>, 2021.</w:t>
      </w:r>
      <w:r>
        <w:rPr>
          <w:rStyle w:val="FootnoteReference"/>
        </w:rPr>
        <w:footnoteReference w:id="8"/>
      </w:r>
      <w:r>
        <w:t xml:space="preserve">  Bidding</w:t>
      </w:r>
      <w:r w:rsidRPr="00D77625">
        <w:t xml:space="preserve"> </w:t>
      </w:r>
      <w:r>
        <w:t>in Auction 110 is scheduled to begin on October 5, 2021.</w:t>
      </w:r>
      <w:r>
        <w:rPr>
          <w:rStyle w:val="FootnoteReference"/>
        </w:rPr>
        <w:footnoteReference w:id="9"/>
      </w:r>
      <w:r w:rsidRPr="005D3D10">
        <w:t xml:space="preserve"> </w:t>
      </w:r>
    </w:p>
    <w:p w:rsidR="000C038C" w:rsidP="000C038C" w14:paraId="3CA614FA" w14:textId="7799CCA7">
      <w:pPr>
        <w:widowControl/>
        <w:spacing w:after="120"/>
        <w:ind w:firstLine="720"/>
      </w:pPr>
      <w:r>
        <w:rPr>
          <w:i/>
        </w:rPr>
        <w:t>Auction 111</w:t>
      </w:r>
      <w:r>
        <w:t>.  Auction 111 will resolve groups of pending and mutually exclusive engineering proposals for up to 17 construction permits for new or modified low power television (LPTV) and TV translator stations.</w:t>
      </w:r>
      <w:r>
        <w:rPr>
          <w:rStyle w:val="FootnoteReference"/>
        </w:rPr>
        <w:footnoteReference w:id="10"/>
      </w:r>
      <w:r>
        <w:t xml:space="preserve">  This will be a closed auction, which means that only certain specified individuals or entities with still-pending mutually exclusive applications for LPTV/translator station permits will be eligible to file applications to participate in Auction 111 and to complete the remaining steps to become qualified to bid.</w:t>
      </w:r>
      <w:r>
        <w:rPr>
          <w:rStyle w:val="FootnoteReference"/>
        </w:rPr>
        <w:footnoteReference w:id="11"/>
      </w:r>
      <w:r>
        <w:t xml:space="preserve">  The filing deadline for short-form applications to participate in Auction 111 will be announced in a forthcoming public notice.</w:t>
      </w:r>
      <w:r>
        <w:rPr>
          <w:rStyle w:val="FootnoteReference"/>
        </w:rPr>
        <w:footnoteReference w:id="12"/>
      </w:r>
      <w:r>
        <w:t xml:space="preserve">  Bidding in Auction 111 is </w:t>
      </w:r>
      <w:r w:rsidR="00ED31EB">
        <w:t xml:space="preserve">scheduled </w:t>
      </w:r>
      <w:r>
        <w:t xml:space="preserve">to begin </w:t>
      </w:r>
      <w:r w:rsidR="00ED31EB">
        <w:t xml:space="preserve">on </w:t>
      </w:r>
      <w:r>
        <w:t xml:space="preserve">February </w:t>
      </w:r>
      <w:r w:rsidR="00ED31EB">
        <w:t xml:space="preserve">23, </w:t>
      </w:r>
      <w:r>
        <w:t>2022.</w:t>
      </w:r>
      <w:r>
        <w:rPr>
          <w:rStyle w:val="FootnoteReference"/>
        </w:rPr>
        <w:footnoteReference w:id="13"/>
      </w:r>
    </w:p>
    <w:p w:rsidR="000C038C" w:rsidP="000C038C" w14:paraId="4A7F8B5E" w14:textId="6302231A">
      <w:pPr>
        <w:widowControl/>
        <w:spacing w:after="120"/>
        <w:ind w:firstLine="720"/>
      </w:pPr>
      <w:r w:rsidRPr="6082650A">
        <w:rPr>
          <w:i/>
          <w:iCs/>
        </w:rPr>
        <w:t>Auction 108.</w:t>
      </w:r>
      <w:r>
        <w:t xml:space="preserve">  Auction 108 will offer approximately 8,300 geographic overlay licenses for unassigned spectrum in the 2496–2690 MHz of the 2.5 GHz band.</w:t>
      </w:r>
      <w:r>
        <w:rPr>
          <w:rStyle w:val="FootnoteReference"/>
        </w:rPr>
        <w:footnoteReference w:id="14"/>
      </w:r>
      <w:r>
        <w:t xml:space="preserve">  This auction will offer up to three blocks of 2.5 GHz spectrum licensed on a county basis.</w:t>
      </w:r>
      <w:r>
        <w:rPr>
          <w:rStyle w:val="FootnoteReference"/>
        </w:rPr>
        <w:footnoteReference w:id="15"/>
      </w:r>
      <w:r>
        <w:t xml:space="preserve">  The final inventory of licenses available in Auction 108 will be determined after completion of the review of applications submitted during the Rural Tribal Priority Window.</w:t>
      </w:r>
      <w:r>
        <w:rPr>
          <w:rStyle w:val="FootnoteReference"/>
        </w:rPr>
        <w:footnoteReference w:id="16"/>
      </w:r>
      <w:r>
        <w:t xml:space="preserve">  </w:t>
      </w:r>
      <w:r w:rsidRPr="00C2452F">
        <w:t xml:space="preserve">The Commission </w:t>
      </w:r>
      <w:r>
        <w:t>opened</w:t>
      </w:r>
      <w:r w:rsidRPr="00C2452F">
        <w:t xml:space="preserve"> </w:t>
      </w:r>
      <w:r>
        <w:t>that</w:t>
      </w:r>
      <w:r w:rsidRPr="00C2452F">
        <w:t xml:space="preserve"> Tribal priority window to </w:t>
      </w:r>
      <w:r>
        <w:t>provide</w:t>
      </w:r>
      <w:r w:rsidRPr="00C2452F">
        <w:t xml:space="preserve"> Tribal nations </w:t>
      </w:r>
      <w:r>
        <w:t>with</w:t>
      </w:r>
      <w:r w:rsidRPr="00C2452F">
        <w:t xml:space="preserve"> an opportunity to obtain new 2.5 GHz licenses</w:t>
      </w:r>
      <w:r>
        <w:t xml:space="preserve"> to</w:t>
      </w:r>
      <w:r w:rsidRPr="00C2452F">
        <w:t xml:space="preserve"> serve rural Tribal lands</w:t>
      </w:r>
      <w:r w:rsidR="000D3DD4">
        <w:t>, and significant progress has been made this year in granting these licenses</w:t>
      </w:r>
      <w:r w:rsidRPr="00C2452F">
        <w:t>.</w:t>
      </w:r>
      <w:r>
        <w:rPr>
          <w:rStyle w:val="FootnoteReference"/>
        </w:rPr>
        <w:footnoteReference w:id="17"/>
      </w:r>
      <w:r w:rsidRPr="00C2452F">
        <w:t xml:space="preserve">  </w:t>
      </w:r>
      <w:r>
        <w:t>OEA and the Wireless Telecommunications Bureau will together release a public notice announcing the final inventory available in Auction 108 well in advance of the deadline for submission of short-form applications to bid in the auction.</w:t>
      </w:r>
      <w:r>
        <w:rPr>
          <w:rStyle w:val="FootnoteReference"/>
        </w:rPr>
        <w:footnoteReference w:id="18"/>
      </w:r>
    </w:p>
    <w:p w:rsidR="000C038C" w:rsidRPr="00A22AA4" w:rsidP="000C038C" w14:paraId="1A12791B" w14:textId="77777777">
      <w:pPr>
        <w:widowControl/>
        <w:spacing w:after="120"/>
        <w:ind w:firstLine="720"/>
      </w:pPr>
    </w:p>
    <w:p w:rsidR="00412FC5" w:rsidRPr="00412FC5" w:rsidP="000C038C" w14:paraId="4F15D37D" w14:textId="51BCC01F">
      <w:pPr>
        <w:pStyle w:val="Heading1"/>
        <w:numPr>
          <w:ilvl w:val="0"/>
          <w:numId w:val="0"/>
        </w:numPr>
        <w:jc w:val="center"/>
      </w:pPr>
      <w:r w:rsidRPr="006B221D">
        <w:rPr>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F67605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BE768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9E27F76"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1140A7E3" w14:textId="77777777">
    <w:pPr>
      <w:spacing w:before="140" w:line="100" w:lineRule="exact"/>
      <w:rPr>
        <w:sz w:val="10"/>
      </w:rPr>
    </w:pPr>
  </w:p>
  <w:p w:rsidR="006F7393" w14:paraId="78757705" w14:textId="77777777">
    <w:pPr>
      <w:suppressAutoHyphens/>
      <w:spacing w:line="227" w:lineRule="auto"/>
    </w:pPr>
  </w:p>
  <w:p w:rsidR="006F7393" w14:paraId="4D63E69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BCF376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2AF5" w14:paraId="3932B66C" w14:textId="77777777">
      <w:r>
        <w:separator/>
      </w:r>
    </w:p>
  </w:footnote>
  <w:footnote w:type="continuationSeparator" w:id="1">
    <w:p w:rsidR="005B2AF5" w14:paraId="65DC0430" w14:textId="77777777">
      <w:pPr>
        <w:rPr>
          <w:sz w:val="20"/>
        </w:rPr>
      </w:pPr>
      <w:r>
        <w:rPr>
          <w:sz w:val="20"/>
        </w:rPr>
        <w:t xml:space="preserve">(Continued from previous page)  </w:t>
      </w:r>
      <w:r>
        <w:rPr>
          <w:sz w:val="20"/>
        </w:rPr>
        <w:separator/>
      </w:r>
    </w:p>
  </w:footnote>
  <w:footnote w:type="continuationNotice" w:id="2">
    <w:p w:rsidR="005B2AF5" w14:paraId="506F700F" w14:textId="77777777">
      <w:pPr>
        <w:rPr>
          <w:sz w:val="20"/>
        </w:rPr>
      </w:pPr>
      <w:r>
        <w:rPr>
          <w:sz w:val="20"/>
        </w:rPr>
        <w:t>(continued….)</w:t>
      </w:r>
    </w:p>
  </w:footnote>
  <w:footnote w:id="3">
    <w:p w:rsidR="000C038C" w:rsidRPr="00D55977" w:rsidP="000C038C" w14:paraId="530459EA" w14:textId="77777777">
      <w:pPr>
        <w:pStyle w:val="FootnoteText"/>
      </w:pPr>
      <w:r w:rsidRPr="00D55977">
        <w:rPr>
          <w:rStyle w:val="FootnoteReference"/>
          <w:sz w:val="20"/>
        </w:rPr>
        <w:footnoteRef/>
      </w:r>
      <w:r w:rsidRPr="00D55977">
        <w:t xml:space="preserve"> Section 309(j)(18) provides as follows:  </w:t>
      </w:r>
    </w:p>
    <w:p w:rsidR="000C038C" w:rsidRPr="00D55977" w:rsidP="000C038C" w14:paraId="68FA4910" w14:textId="77777777">
      <w:pPr>
        <w:pStyle w:val="FootnoteText"/>
        <w:ind w:left="720"/>
      </w:pPr>
      <w:r w:rsidRPr="00D55977">
        <w:t>(A) Not later than September 30, 2018, and annually thereafter, the Commission shall make publicly available an estimate of what systems of competitive bidding authorized under this subsection may be initiated during the upcoming 12-month period.</w:t>
      </w:r>
    </w:p>
    <w:p w:rsidR="000C038C" w:rsidRPr="00D55977" w:rsidP="000C038C" w14:paraId="64D1C998" w14:textId="77777777">
      <w:pPr>
        <w:pStyle w:val="FootnoteText"/>
        <w:ind w:left="720"/>
      </w:pPr>
      <w:r w:rsidRPr="00D55977">
        <w:t>(B) The estimate under subparagraph (A) shall, to the extent possible, identify the bands of frequencies the Commission expects to be included in each such system of competitive bidding.</w:t>
      </w:r>
    </w:p>
    <w:p w:rsidR="000C038C" w:rsidRPr="00D55977" w:rsidP="000C038C" w14:paraId="5F2FC3CD" w14:textId="77777777">
      <w:pPr>
        <w:pStyle w:val="FootnoteText"/>
      </w:pPr>
      <w:r w:rsidRPr="00D55977">
        <w:t xml:space="preserve">47 U.S.C. § 309(j)(18).  This provision was added by the RAY BAUM’S Act.  Consolidated Appropriations Act, 2018, Pub. L. No. 115-141, Division P, the Repack Airwaves Yielding Better Access for Users of Modern Services Act (RAY BAUM’S Act).    </w:t>
      </w:r>
    </w:p>
  </w:footnote>
  <w:footnote w:id="4">
    <w:p w:rsidR="000C038C" w:rsidRPr="00D55977" w:rsidP="000C038C" w14:paraId="46778BC7" w14:textId="77777777">
      <w:pPr>
        <w:pStyle w:val="FootnoteText"/>
      </w:pPr>
      <w:r w:rsidRPr="00D55977">
        <w:rPr>
          <w:rStyle w:val="FootnoteReference"/>
          <w:sz w:val="20"/>
        </w:rPr>
        <w:footnoteRef/>
      </w:r>
      <w:r w:rsidRPr="00D55977">
        <w:t xml:space="preserve"> This estimate should not be viewed as a substitute for information provided about these matters in Commission releases establishing rules, procedures, dates, and deadlines, along with other pertinent information, which can be found on the Commission’s website and through the Electronic Document Management System database.</w:t>
      </w:r>
    </w:p>
  </w:footnote>
  <w:footnote w:id="5">
    <w:p w:rsidR="000C038C" w:rsidRPr="00D55977" w:rsidP="000C038C" w14:paraId="733A383E" w14:textId="77777777">
      <w:pPr>
        <w:pStyle w:val="FootnoteText"/>
      </w:pPr>
      <w:r w:rsidRPr="00D55977">
        <w:rPr>
          <w:rStyle w:val="FootnoteReference"/>
          <w:sz w:val="20"/>
        </w:rPr>
        <w:footnoteRef/>
      </w:r>
      <w:r w:rsidRPr="00D55977">
        <w:t xml:space="preserve"> </w:t>
      </w:r>
      <w:r w:rsidRPr="0018702C">
        <w:rPr>
          <w:i/>
        </w:rPr>
        <w:t>Auction of Flexible-Use Service Licenses in the 3.45–3.55 GHz Band for Next-Generation Wireless Services; Notice and Filing Requirements, Minimum Opening Bids, Upfront Payments, and Other Procedures for Auction 110; Bidding in Auction 110 Scheduled to Begin October 5, 2021</w:t>
      </w:r>
      <w:r w:rsidRPr="0018702C">
        <w:t>, AU Docket No. 21-62, Public Notice, DA 21-655, at 5, para. 7</w:t>
      </w:r>
      <w:r w:rsidRPr="0018702C">
        <w:rPr>
          <w:lang w:val="de-DE"/>
        </w:rPr>
        <w:t xml:space="preserve"> </w:t>
      </w:r>
      <w:r w:rsidRPr="0018702C">
        <w:t>(OEA/WTB 2021).</w:t>
      </w:r>
    </w:p>
  </w:footnote>
  <w:footnote w:id="6">
    <w:p w:rsidR="000C038C" w:rsidRPr="00271CFC" w:rsidP="000C038C" w14:paraId="1B8C9265" w14:textId="77777777">
      <w:pPr>
        <w:pStyle w:val="FootnoteText"/>
        <w:rPr>
          <w:iCs/>
        </w:rPr>
      </w:pPr>
      <w:r w:rsidRPr="00D55977">
        <w:rPr>
          <w:rStyle w:val="FootnoteReference"/>
          <w:sz w:val="20"/>
        </w:rPr>
        <w:footnoteRef/>
      </w:r>
      <w:r w:rsidRPr="00D55977">
        <w:t xml:space="preserve"> </w:t>
      </w:r>
      <w:r w:rsidRPr="0018702C">
        <w:rPr>
          <w:i/>
        </w:rPr>
        <w:t>Id</w:t>
      </w:r>
      <w:r w:rsidRPr="00D55977">
        <w:rPr>
          <w:i/>
        </w:rPr>
        <w:t>.</w:t>
      </w:r>
    </w:p>
  </w:footnote>
  <w:footnote w:id="7">
    <w:p w:rsidR="000C038C" w:rsidP="000C038C" w14:paraId="7AD8E782" w14:textId="24B23B21">
      <w:pPr>
        <w:pStyle w:val="FootnoteText"/>
      </w:pPr>
      <w:r>
        <w:rPr>
          <w:rStyle w:val="FootnoteReference"/>
        </w:rPr>
        <w:footnoteRef/>
      </w:r>
      <w:r>
        <w:t xml:space="preserve"> </w:t>
      </w:r>
      <w:r w:rsidRPr="00271CFC">
        <w:rPr>
          <w:i/>
          <w:iCs/>
        </w:rPr>
        <w:t>Id</w:t>
      </w:r>
      <w:r>
        <w:t>. at 39, para. 115.</w:t>
      </w:r>
    </w:p>
  </w:footnote>
  <w:footnote w:id="8">
    <w:p w:rsidR="000C038C" w:rsidP="000C038C" w14:paraId="6E36569E" w14:textId="77777777">
      <w:pPr>
        <w:pStyle w:val="FootnoteText"/>
      </w:pPr>
      <w:r>
        <w:rPr>
          <w:rStyle w:val="FootnoteReference"/>
        </w:rPr>
        <w:footnoteRef/>
      </w:r>
      <w:r>
        <w:t xml:space="preserve"> </w:t>
      </w:r>
      <w:r w:rsidRPr="00271CFC">
        <w:rPr>
          <w:i/>
          <w:iCs/>
        </w:rPr>
        <w:t>Id</w:t>
      </w:r>
      <w:r>
        <w:t>. at 7, para. 13.</w:t>
      </w:r>
    </w:p>
  </w:footnote>
  <w:footnote w:id="9">
    <w:p w:rsidR="000C038C" w:rsidP="000C038C" w14:paraId="35A5D6EC" w14:textId="77777777">
      <w:pPr>
        <w:pStyle w:val="FootnoteText"/>
      </w:pPr>
      <w:r>
        <w:rPr>
          <w:rStyle w:val="FootnoteReference"/>
        </w:rPr>
        <w:footnoteRef/>
      </w:r>
      <w:r>
        <w:t xml:space="preserve"> </w:t>
      </w:r>
      <w:r w:rsidRPr="00744938">
        <w:rPr>
          <w:i/>
          <w:iCs/>
        </w:rPr>
        <w:t>Id</w:t>
      </w:r>
      <w:r>
        <w:t>.</w:t>
      </w:r>
    </w:p>
  </w:footnote>
  <w:footnote w:id="10">
    <w:p w:rsidR="000C038C" w:rsidP="000C038C" w14:paraId="3632E863" w14:textId="77777777">
      <w:pPr>
        <w:pStyle w:val="FootnoteText"/>
      </w:pPr>
      <w:r>
        <w:rPr>
          <w:rStyle w:val="FootnoteReference"/>
        </w:rPr>
        <w:footnoteRef/>
      </w:r>
      <w:r>
        <w:t xml:space="preserve"> </w:t>
      </w:r>
      <w:r w:rsidRPr="00DF3781">
        <w:rPr>
          <w:i/>
          <w:iCs/>
        </w:rPr>
        <w:t>Auction of Construction Permits for Low Power Television and TV Translator Stations; Comment Sought on Competitive Bidding Procedures for Auction 111</w:t>
      </w:r>
      <w:r>
        <w:t>, AU Docket No. 21-284, Public Notice, DA 21-801, at 2, para. 2 (OEA/MB 2021) (</w:t>
      </w:r>
      <w:r w:rsidRPr="00DF3781">
        <w:rPr>
          <w:i/>
          <w:iCs/>
        </w:rPr>
        <w:t>Auction 111 Comment Public Notice</w:t>
      </w:r>
      <w:r>
        <w:t>).</w:t>
      </w:r>
    </w:p>
  </w:footnote>
  <w:footnote w:id="11">
    <w:p w:rsidR="000C038C" w:rsidP="000C038C" w14:paraId="5A09F0D6" w14:textId="77777777">
      <w:pPr>
        <w:pStyle w:val="FootnoteText"/>
      </w:pPr>
      <w:r>
        <w:rPr>
          <w:rStyle w:val="FootnoteReference"/>
        </w:rPr>
        <w:footnoteRef/>
      </w:r>
      <w:r>
        <w:t xml:space="preserve"> </w:t>
      </w:r>
      <w:r w:rsidRPr="00B02D7F">
        <w:rPr>
          <w:i/>
          <w:iCs/>
        </w:rPr>
        <w:t>Id</w:t>
      </w:r>
      <w:r>
        <w:t xml:space="preserve">. at 2-3, paras. 2-5.  Attachment A to the </w:t>
      </w:r>
      <w:r w:rsidRPr="00C150F1">
        <w:rPr>
          <w:i/>
          <w:iCs/>
        </w:rPr>
        <w:t>Auction 111 Comment Public Notice</w:t>
      </w:r>
      <w:r>
        <w:t xml:space="preserve"> describes the groups of mutually exclusive applications, as well as the applicants within each group.</w:t>
      </w:r>
    </w:p>
  </w:footnote>
  <w:footnote w:id="12">
    <w:p w:rsidR="000C038C" w:rsidP="000C038C" w14:paraId="4A691789" w14:textId="77777777">
      <w:pPr>
        <w:pStyle w:val="FootnoteText"/>
      </w:pPr>
      <w:r>
        <w:rPr>
          <w:rStyle w:val="FootnoteReference"/>
        </w:rPr>
        <w:footnoteRef/>
      </w:r>
      <w:r>
        <w:t xml:space="preserve"> </w:t>
      </w:r>
      <w:r w:rsidRPr="009C026A">
        <w:rPr>
          <w:i/>
          <w:iCs/>
        </w:rPr>
        <w:t>Id</w:t>
      </w:r>
      <w:r>
        <w:t>. at 4, para. 6.</w:t>
      </w:r>
    </w:p>
  </w:footnote>
  <w:footnote w:id="13">
    <w:p w:rsidR="000C038C" w:rsidP="000C038C" w14:paraId="3CB8BBC9" w14:textId="4DA74084">
      <w:pPr>
        <w:pStyle w:val="FootnoteText"/>
      </w:pPr>
      <w:r>
        <w:rPr>
          <w:rStyle w:val="FootnoteReference"/>
        </w:rPr>
        <w:footnoteRef/>
      </w:r>
      <w:r w:rsidRPr="00FA32D0" w:rsidR="00B2607B">
        <w:rPr>
          <w:i/>
          <w:iCs/>
        </w:rPr>
        <w:t>Auction of Construction Permits for Low Power Television and TV Translator Stations; Notice and Filing Requirements, Minimum Opening Bids, Upfront Payments, and Other Procedures for Auction 111</w:t>
      </w:r>
      <w:r w:rsidR="009A7903">
        <w:rPr>
          <w:i/>
          <w:iCs/>
        </w:rPr>
        <w:t>; Bidding Scheduled to Begin February 23, 2022</w:t>
      </w:r>
      <w:r w:rsidR="00B2607B">
        <w:t xml:space="preserve">, AU Docket No. 21-284, </w:t>
      </w:r>
      <w:r w:rsidR="00931074">
        <w:t>Public Notice, DA 21-1176</w:t>
      </w:r>
      <w:r w:rsidR="00384372">
        <w:t xml:space="preserve">, at </w:t>
      </w:r>
      <w:r w:rsidR="00CD0727">
        <w:t>3, para. 1</w:t>
      </w:r>
      <w:r w:rsidR="00EC5C76">
        <w:t xml:space="preserve"> (OEA/MB 2021)</w:t>
      </w:r>
      <w:r>
        <w:t>.</w:t>
      </w:r>
    </w:p>
  </w:footnote>
  <w:footnote w:id="14">
    <w:p w:rsidR="000C038C" w:rsidP="000C038C" w14:paraId="1608DFC5" w14:textId="77777777">
      <w:pPr>
        <w:pStyle w:val="FootnoteText"/>
      </w:pPr>
      <w:r>
        <w:rPr>
          <w:rStyle w:val="FootnoteReference"/>
        </w:rPr>
        <w:footnoteRef/>
      </w:r>
      <w:r>
        <w:t xml:space="preserve"> </w:t>
      </w:r>
      <w:r w:rsidRPr="00744938">
        <w:rPr>
          <w:i/>
          <w:iCs/>
        </w:rPr>
        <w:t>Auction of Flexible-Use Service Licenses in the 2.5 GHz Band for Next-Generation Wireless Services; Comment Sought on Competitive Bidding Procedures for Auction 108</w:t>
      </w:r>
      <w:r>
        <w:t>; AU Docket No. 20-429, Public Notice, FCC 21-14, at 2, para. 1 (Jan. 13, 2021) (</w:t>
      </w:r>
      <w:r w:rsidRPr="00744938">
        <w:rPr>
          <w:i/>
          <w:iCs/>
        </w:rPr>
        <w:t>Auction 108 Comment Public Notice</w:t>
      </w:r>
      <w:r>
        <w:t>).</w:t>
      </w:r>
    </w:p>
  </w:footnote>
  <w:footnote w:id="15">
    <w:p w:rsidR="000C038C" w:rsidP="000C038C" w14:paraId="6D7D428F" w14:textId="77777777">
      <w:pPr>
        <w:pStyle w:val="FootnoteText"/>
      </w:pPr>
      <w:r>
        <w:rPr>
          <w:rStyle w:val="FootnoteReference"/>
        </w:rPr>
        <w:footnoteRef/>
      </w:r>
      <w:r>
        <w:t xml:space="preserve"> </w:t>
      </w:r>
      <w:r w:rsidRPr="00744938">
        <w:rPr>
          <w:i/>
          <w:iCs/>
        </w:rPr>
        <w:t>Id</w:t>
      </w:r>
      <w:r>
        <w:t>. at 2, para. 2.</w:t>
      </w:r>
    </w:p>
  </w:footnote>
  <w:footnote w:id="16">
    <w:p w:rsidR="000C038C" w:rsidP="000C038C" w14:paraId="796F586A" w14:textId="342F2553">
      <w:pPr>
        <w:pStyle w:val="FootnoteText"/>
      </w:pPr>
      <w:r>
        <w:rPr>
          <w:rStyle w:val="FootnoteReference"/>
        </w:rPr>
        <w:footnoteRef/>
      </w:r>
      <w:r>
        <w:t xml:space="preserve"> </w:t>
      </w:r>
      <w:r w:rsidRPr="00B0239B">
        <w:t>The Window opened</w:t>
      </w:r>
      <w:r>
        <w:t xml:space="preserve"> on</w:t>
      </w:r>
      <w:r w:rsidRPr="00B0239B">
        <w:t xml:space="preserve"> </w:t>
      </w:r>
      <w:r w:rsidRPr="00B0239B">
        <w:t>February 3, 2020, and</w:t>
      </w:r>
      <w:r w:rsidRPr="00B0239B">
        <w:t xml:space="preserve"> closed on September 2, 2020</w:t>
      </w:r>
      <w:r>
        <w:t xml:space="preserve">.  </w:t>
      </w:r>
      <w:r w:rsidRPr="00C1463B">
        <w:rPr>
          <w:i/>
          <w:iCs/>
        </w:rPr>
        <w:t>See Wireless Telecommunications Bureau Announces Procedures for 2.5 GHz Rural Tribal Priority Window</w:t>
      </w:r>
      <w:r>
        <w:t xml:space="preserve">, WT Docket No. 18-120, Public Notice, 35 FCC </w:t>
      </w:r>
      <w:r>
        <w:t>Rcd</w:t>
      </w:r>
      <w:r>
        <w:t xml:space="preserve"> 308 (WTB 2020) (establishing filing procedures and deadlines for the Rural Tribal Priority Window). Commission</w:t>
      </w:r>
      <w:r w:rsidR="00785EEB">
        <w:t xml:space="preserve"> staff</w:t>
      </w:r>
      <w:r>
        <w:t xml:space="preserve"> has </w:t>
      </w:r>
      <w:r w:rsidR="00682688">
        <w:t xml:space="preserve">to date </w:t>
      </w:r>
      <w:r>
        <w:t xml:space="preserve">granted </w:t>
      </w:r>
      <w:r w:rsidR="0060443F">
        <w:t xml:space="preserve">270 </w:t>
      </w:r>
      <w:r>
        <w:t xml:space="preserve">licenses in the 2.5 GHz band to help address rural Tribal connectivity needs and </w:t>
      </w:r>
      <w:r w:rsidR="00340ADB">
        <w:t xml:space="preserve">continues to review and process </w:t>
      </w:r>
      <w:r>
        <w:t xml:space="preserve">additional applications that were filed in the Window.  </w:t>
      </w:r>
      <w:r w:rsidRPr="00A06026">
        <w:rPr>
          <w:i/>
          <w:iCs/>
        </w:rPr>
        <w:t>See</w:t>
      </w:r>
      <w:r>
        <w:t xml:space="preserve"> Press Release, FCC, FCC Grants Additional </w:t>
      </w:r>
      <w:r w:rsidR="000F264C">
        <w:t>2.5 GHz</w:t>
      </w:r>
      <w:r>
        <w:t xml:space="preserve"> Spectrum Licenses</w:t>
      </w:r>
      <w:r w:rsidR="006B084B">
        <w:t xml:space="preserve"> for Wireless Services in Alaska Native Communities</w:t>
      </w:r>
      <w:r>
        <w:t xml:space="preserve"> (</w:t>
      </w:r>
      <w:r w:rsidR="00EA77D7">
        <w:t xml:space="preserve">August </w:t>
      </w:r>
      <w:r w:rsidR="006B084B">
        <w:t>23</w:t>
      </w:r>
      <w:r>
        <w:t xml:space="preserve">, 2021), </w:t>
      </w:r>
      <w:r w:rsidRPr="0060443F" w:rsidR="0060443F">
        <w:t>https://www.fcc.gov/document/fcc-grants-licenses-wireless-services-alaska-native-communities</w:t>
      </w:r>
      <w:r>
        <w:t>.</w:t>
      </w:r>
    </w:p>
  </w:footnote>
  <w:footnote w:id="17">
    <w:p w:rsidR="000C038C" w:rsidRPr="00A8258A" w:rsidP="000C038C" w14:paraId="3F9FCD13" w14:textId="77777777">
      <w:pPr>
        <w:pStyle w:val="FootnoteText"/>
      </w:pPr>
      <w:r w:rsidRPr="00D55977">
        <w:rPr>
          <w:rStyle w:val="FootnoteReference"/>
          <w:sz w:val="20"/>
        </w:rPr>
        <w:footnoteRef/>
      </w:r>
      <w:r w:rsidRPr="00D55977">
        <w:t xml:space="preserve"> </w:t>
      </w:r>
      <w:r>
        <w:rPr>
          <w:i/>
          <w:iCs/>
        </w:rPr>
        <w:t>Id.</w:t>
      </w:r>
    </w:p>
  </w:footnote>
  <w:footnote w:id="18">
    <w:p w:rsidR="000C038C" w:rsidP="000C038C" w14:paraId="708B2166" w14:textId="77777777">
      <w:pPr>
        <w:pStyle w:val="FootnoteText"/>
      </w:pPr>
      <w:r>
        <w:rPr>
          <w:rStyle w:val="FootnoteReference"/>
        </w:rPr>
        <w:footnoteRef/>
      </w:r>
      <w:r>
        <w:t xml:space="preserve"> </w:t>
      </w:r>
      <w:r>
        <w:rPr>
          <w:i/>
          <w:iCs/>
        </w:rPr>
        <w:t>Auction 108 Comment Public Notice</w:t>
      </w:r>
      <w:r>
        <w:t xml:space="preserve"> at 2-3, para.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4264C6" w:rsidP="00837C62" w14:paraId="3E3FE538" w14:textId="6879C51A">
    <w:pPr>
      <w:pStyle w:val="Header"/>
      <w:rPr>
        <w:rFonts w:ascii="Times New Roman" w:hAnsi="Times New Roman" w:cs="Times New Roman"/>
        <w:sz w:val="22"/>
        <w:szCs w:val="22"/>
      </w:rPr>
    </w:pPr>
    <w:r>
      <w:tab/>
    </w:r>
    <w:r w:rsidRPr="004264C6">
      <w:rPr>
        <w:rFonts w:ascii="Times New Roman" w:hAnsi="Times New Roman" w:cs="Times New Roman"/>
        <w:sz w:val="22"/>
        <w:szCs w:val="22"/>
      </w:rPr>
      <w:t>Federal Communications Commission</w:t>
    </w:r>
    <w:r w:rsidRPr="004264C6">
      <w:rPr>
        <w:rFonts w:ascii="Times New Roman" w:hAnsi="Times New Roman" w:cs="Times New Roman"/>
        <w:sz w:val="22"/>
        <w:szCs w:val="22"/>
      </w:rPr>
      <w:tab/>
    </w:r>
    <w:r w:rsidR="004264C6">
      <w:rPr>
        <w:rFonts w:ascii="Times New Roman" w:hAnsi="Times New Roman" w:cs="Times New Roman"/>
        <w:sz w:val="22"/>
        <w:szCs w:val="22"/>
      </w:rPr>
      <w:t>DA 21-</w:t>
    </w:r>
    <w:r w:rsidR="00F63F02">
      <w:rPr>
        <w:rFonts w:ascii="Times New Roman" w:hAnsi="Times New Roman" w:cs="Times New Roman"/>
        <w:sz w:val="22"/>
        <w:szCs w:val="22"/>
      </w:rPr>
      <w:t>1225</w:t>
    </w:r>
  </w:p>
  <w:p w:rsidR="006F7393" w14:paraId="34496F7C"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6F7393" w14:paraId="0046AF3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32512864"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t>PUBLIC NOTICE</w:t>
    </w:r>
  </w:p>
  <w:p w:rsidR="00C82B6B" w:rsidP="00837C62" w14:paraId="6E87571F"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C82B6B" w:rsidP="00C82B6B" w14:paraId="1B9DBC51" w14:textId="77777777">
                <w:pPr>
                  <w:rPr>
                    <w:rFonts w:ascii="Arial" w:hAnsi="Arial"/>
                    <w:b/>
                  </w:rPr>
                </w:pPr>
                <w:r>
                  <w:rPr>
                    <w:rFonts w:ascii="Arial" w:hAnsi="Arial"/>
                    <w:b/>
                  </w:rPr>
                  <w:t>Federal Communications Commission</w:t>
                </w:r>
              </w:p>
              <w:p w:rsidR="00C82B6B" w:rsidP="00C82B6B" w14:paraId="0D4E3231" w14:textId="19D9CF92">
                <w:pPr>
                  <w:rPr>
                    <w:rFonts w:ascii="Arial" w:hAnsi="Arial"/>
                    <w:b/>
                  </w:rPr>
                </w:pPr>
                <w:r>
                  <w:rPr>
                    <w:rFonts w:ascii="Arial" w:hAnsi="Arial"/>
                    <w:b/>
                  </w:rPr>
                  <w:t xml:space="preserve">45 </w:t>
                </w:r>
                <w:r w:rsidR="004264C6">
                  <w:rPr>
                    <w:rFonts w:ascii="Arial" w:hAnsi="Arial"/>
                    <w:b/>
                  </w:rPr>
                  <w:t>L Street NE</w:t>
                </w:r>
              </w:p>
              <w:p w:rsidR="00C82B6B" w:rsidP="00C82B6B" w14:paraId="0BE82F36" w14:textId="25451032">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C82B6B" w:rsidP="00C82B6B" w14:paraId="5D2D4B7A" w14:textId="10005C8B">
                <w:pPr>
                  <w:spacing w:before="40"/>
                  <w:jc w:val="right"/>
                  <w:rPr>
                    <w:rFonts w:ascii="Arial" w:hAnsi="Arial"/>
                    <w:b/>
                    <w:sz w:val="16"/>
                  </w:rPr>
                </w:pPr>
                <w:r>
                  <w:rPr>
                    <w:rFonts w:ascii="Arial" w:hAnsi="Arial"/>
                    <w:b/>
                    <w:sz w:val="16"/>
                  </w:rPr>
                  <w:t>News Media Information</w:t>
                </w:r>
                <w:r w:rsidR="004264C6">
                  <w:rPr>
                    <w:rFonts w:ascii="Arial" w:hAnsi="Arial"/>
                    <w:b/>
                    <w:sz w:val="16"/>
                  </w:rPr>
                  <w:t>:</w:t>
                </w:r>
                <w:r>
                  <w:rPr>
                    <w:rFonts w:ascii="Arial" w:hAnsi="Arial"/>
                    <w:b/>
                    <w:sz w:val="16"/>
                  </w:rPr>
                  <w:t xml:space="preserve"> 202</w:t>
                </w:r>
                <w:r w:rsidR="004264C6">
                  <w:rPr>
                    <w:rFonts w:ascii="Arial" w:hAnsi="Arial"/>
                    <w:b/>
                    <w:sz w:val="16"/>
                  </w:rPr>
                  <w:t>-</w:t>
                </w:r>
                <w:r>
                  <w:rPr>
                    <w:rFonts w:ascii="Arial" w:hAnsi="Arial"/>
                    <w:b/>
                    <w:sz w:val="16"/>
                  </w:rPr>
                  <w:t>418-0500</w:t>
                </w:r>
              </w:p>
              <w:p w:rsidR="00C82B6B" w:rsidP="00C82B6B" w14:paraId="2DB55D90" w14:textId="7687307D">
                <w:pPr>
                  <w:jc w:val="right"/>
                  <w:rPr>
                    <w:rFonts w:ascii="Arial" w:hAnsi="Arial"/>
                    <w:b/>
                    <w:sz w:val="16"/>
                  </w:rPr>
                </w:pPr>
                <w:r>
                  <w:rPr>
                    <w:rFonts w:ascii="Arial" w:hAnsi="Arial"/>
                    <w:b/>
                    <w:sz w:val="16"/>
                  </w:rPr>
                  <w:tab/>
                  <w:t xml:space="preserve">Internet: </w:t>
                </w:r>
                <w:hyperlink r:id="rId2" w:history="1">
                  <w:r w:rsidRPr="00526258" w:rsidR="004264C6">
                    <w:rPr>
                      <w:rStyle w:val="Hyperlink"/>
                      <w:rFonts w:ascii="Arial" w:hAnsi="Arial"/>
                      <w:b/>
                      <w:sz w:val="16"/>
                    </w:rPr>
                    <w:t>www.fcc.gov</w:t>
                  </w:r>
                </w:hyperlink>
                <w:r w:rsidR="004264C6">
                  <w:rPr>
                    <w:rFonts w:ascii="Arial" w:hAnsi="Arial"/>
                    <w:b/>
                    <w:sz w:val="16"/>
                  </w:rPr>
                  <w:t xml:space="preserve"> </w:t>
                </w:r>
              </w:p>
              <w:p w:rsidR="00C82B6B" w:rsidP="00C82B6B" w14:paraId="21D339C7" w14:textId="6860DE4B">
                <w:pPr>
                  <w:jc w:val="right"/>
                  <w:rPr>
                    <w:rFonts w:ascii="Arial" w:hAnsi="Arial"/>
                    <w:b/>
                    <w:sz w:val="16"/>
                  </w:rPr>
                </w:pPr>
                <w:r>
                  <w:rPr>
                    <w:rFonts w:ascii="Arial" w:hAnsi="Arial"/>
                    <w:b/>
                    <w:sz w:val="16"/>
                  </w:rPr>
                  <w:t>TTY: 888-835-5322</w:t>
                </w:r>
              </w:p>
              <w:p w:rsidR="00C82B6B" w:rsidP="00C82B6B" w14:paraId="3F5C4050" w14:textId="77777777">
                <w:pPr>
                  <w:jc w:val="right"/>
                </w:pPr>
              </w:p>
            </w:txbxContent>
          </v:textbox>
        </v:shape>
      </w:pict>
    </w:r>
  </w:p>
  <w:p w:rsidR="006F7393" w:rsidRPr="00C82B6B" w:rsidP="00837C62" w14:paraId="59263573" w14:textId="77777777">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8B0993"/>
    <w:multiLevelType w:val="hybridMultilevel"/>
    <w:tmpl w:val="6074C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5F1D294C"/>
    <w:multiLevelType w:val="singleLevel"/>
    <w:tmpl w:val="04090001"/>
    <w:lvl w:ilvl="0">
      <w:start w:val="1"/>
      <w:numFmt w:val="bullet"/>
      <w:lvlText w:val=""/>
      <w:lvlJc w:val="left"/>
      <w:pPr>
        <w:ind w:left="7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C6"/>
    <w:rsid w:val="00000C72"/>
    <w:rsid w:val="000010B6"/>
    <w:rsid w:val="00036039"/>
    <w:rsid w:val="00037F90"/>
    <w:rsid w:val="00053D0D"/>
    <w:rsid w:val="000608B6"/>
    <w:rsid w:val="00077D38"/>
    <w:rsid w:val="00082A87"/>
    <w:rsid w:val="000875BF"/>
    <w:rsid w:val="0009221F"/>
    <w:rsid w:val="000938E0"/>
    <w:rsid w:val="00096D8C"/>
    <w:rsid w:val="000A720F"/>
    <w:rsid w:val="000B53F5"/>
    <w:rsid w:val="000C038C"/>
    <w:rsid w:val="000C0B65"/>
    <w:rsid w:val="000C385B"/>
    <w:rsid w:val="000D3DD4"/>
    <w:rsid w:val="000D514E"/>
    <w:rsid w:val="000E3D42"/>
    <w:rsid w:val="000E5884"/>
    <w:rsid w:val="000F264C"/>
    <w:rsid w:val="001064C8"/>
    <w:rsid w:val="001122C2"/>
    <w:rsid w:val="001179A2"/>
    <w:rsid w:val="00122BD5"/>
    <w:rsid w:val="00124D30"/>
    <w:rsid w:val="00125D71"/>
    <w:rsid w:val="00130606"/>
    <w:rsid w:val="001356D0"/>
    <w:rsid w:val="00140938"/>
    <w:rsid w:val="001435A3"/>
    <w:rsid w:val="001506BA"/>
    <w:rsid w:val="00161AC1"/>
    <w:rsid w:val="00161E02"/>
    <w:rsid w:val="001653CA"/>
    <w:rsid w:val="00175BFF"/>
    <w:rsid w:val="0018702C"/>
    <w:rsid w:val="001A0AEC"/>
    <w:rsid w:val="001A3453"/>
    <w:rsid w:val="001B17F9"/>
    <w:rsid w:val="001B4E6D"/>
    <w:rsid w:val="001B583F"/>
    <w:rsid w:val="001D0618"/>
    <w:rsid w:val="001D4755"/>
    <w:rsid w:val="001D6BCF"/>
    <w:rsid w:val="001E01CA"/>
    <w:rsid w:val="001E399F"/>
    <w:rsid w:val="001E4B15"/>
    <w:rsid w:val="001F61D9"/>
    <w:rsid w:val="0020276E"/>
    <w:rsid w:val="002038FC"/>
    <w:rsid w:val="00203CAB"/>
    <w:rsid w:val="00210EB9"/>
    <w:rsid w:val="0021222A"/>
    <w:rsid w:val="002235FE"/>
    <w:rsid w:val="002236BE"/>
    <w:rsid w:val="00226822"/>
    <w:rsid w:val="002327EF"/>
    <w:rsid w:val="00235A92"/>
    <w:rsid w:val="0024404C"/>
    <w:rsid w:val="00255224"/>
    <w:rsid w:val="0026075C"/>
    <w:rsid w:val="00262EBC"/>
    <w:rsid w:val="00271CFC"/>
    <w:rsid w:val="002748E5"/>
    <w:rsid w:val="00285017"/>
    <w:rsid w:val="0028764E"/>
    <w:rsid w:val="00290A9E"/>
    <w:rsid w:val="002A2D2E"/>
    <w:rsid w:val="002B2D31"/>
    <w:rsid w:val="002B57E8"/>
    <w:rsid w:val="002C0C6C"/>
    <w:rsid w:val="002D0246"/>
    <w:rsid w:val="002D41CB"/>
    <w:rsid w:val="002D6A17"/>
    <w:rsid w:val="002D785A"/>
    <w:rsid w:val="002F65A3"/>
    <w:rsid w:val="003052CD"/>
    <w:rsid w:val="00314B35"/>
    <w:rsid w:val="00324167"/>
    <w:rsid w:val="00333816"/>
    <w:rsid w:val="00340ADB"/>
    <w:rsid w:val="0034297F"/>
    <w:rsid w:val="00343749"/>
    <w:rsid w:val="003437D8"/>
    <w:rsid w:val="00350129"/>
    <w:rsid w:val="00357B23"/>
    <w:rsid w:val="00384372"/>
    <w:rsid w:val="003937E4"/>
    <w:rsid w:val="00393A82"/>
    <w:rsid w:val="00397390"/>
    <w:rsid w:val="003B0550"/>
    <w:rsid w:val="003B2B93"/>
    <w:rsid w:val="003B694F"/>
    <w:rsid w:val="003C0187"/>
    <w:rsid w:val="003E3715"/>
    <w:rsid w:val="003E5CE0"/>
    <w:rsid w:val="003F171C"/>
    <w:rsid w:val="0040111C"/>
    <w:rsid w:val="0041223B"/>
    <w:rsid w:val="00412FC5"/>
    <w:rsid w:val="00422276"/>
    <w:rsid w:val="004242F1"/>
    <w:rsid w:val="004264C6"/>
    <w:rsid w:val="00435180"/>
    <w:rsid w:val="00445A00"/>
    <w:rsid w:val="00451B0F"/>
    <w:rsid w:val="00460147"/>
    <w:rsid w:val="00467FE8"/>
    <w:rsid w:val="00472E0C"/>
    <w:rsid w:val="00485353"/>
    <w:rsid w:val="00486FC8"/>
    <w:rsid w:val="00496106"/>
    <w:rsid w:val="00497583"/>
    <w:rsid w:val="004B325F"/>
    <w:rsid w:val="004C12D0"/>
    <w:rsid w:val="004C2EE3"/>
    <w:rsid w:val="004C72E4"/>
    <w:rsid w:val="004D79C7"/>
    <w:rsid w:val="004E2C23"/>
    <w:rsid w:val="004E4262"/>
    <w:rsid w:val="004E4A22"/>
    <w:rsid w:val="004E58AB"/>
    <w:rsid w:val="004E7570"/>
    <w:rsid w:val="004F11F3"/>
    <w:rsid w:val="00510C09"/>
    <w:rsid w:val="00511968"/>
    <w:rsid w:val="00526258"/>
    <w:rsid w:val="0055614C"/>
    <w:rsid w:val="0057318D"/>
    <w:rsid w:val="00580D4B"/>
    <w:rsid w:val="0058200B"/>
    <w:rsid w:val="0059382D"/>
    <w:rsid w:val="00594C8F"/>
    <w:rsid w:val="00597A5B"/>
    <w:rsid w:val="005B290D"/>
    <w:rsid w:val="005B2AF5"/>
    <w:rsid w:val="005B7FB2"/>
    <w:rsid w:val="005C2116"/>
    <w:rsid w:val="005D3D10"/>
    <w:rsid w:val="005D6DC7"/>
    <w:rsid w:val="005E750A"/>
    <w:rsid w:val="0060443F"/>
    <w:rsid w:val="00607BA5"/>
    <w:rsid w:val="00610994"/>
    <w:rsid w:val="00615E2F"/>
    <w:rsid w:val="00626EB6"/>
    <w:rsid w:val="006300FB"/>
    <w:rsid w:val="00652F0B"/>
    <w:rsid w:val="00655D03"/>
    <w:rsid w:val="006631AD"/>
    <w:rsid w:val="00665F00"/>
    <w:rsid w:val="00682688"/>
    <w:rsid w:val="00683017"/>
    <w:rsid w:val="00683F84"/>
    <w:rsid w:val="006A6A81"/>
    <w:rsid w:val="006A7BD9"/>
    <w:rsid w:val="006B084B"/>
    <w:rsid w:val="006B221D"/>
    <w:rsid w:val="006C15AE"/>
    <w:rsid w:val="006C1E6E"/>
    <w:rsid w:val="006C37C8"/>
    <w:rsid w:val="006C6A43"/>
    <w:rsid w:val="006E26AF"/>
    <w:rsid w:val="006F70D1"/>
    <w:rsid w:val="006F7393"/>
    <w:rsid w:val="0070224F"/>
    <w:rsid w:val="007115F7"/>
    <w:rsid w:val="00713541"/>
    <w:rsid w:val="0072451F"/>
    <w:rsid w:val="00730B38"/>
    <w:rsid w:val="00736F8D"/>
    <w:rsid w:val="00737BA4"/>
    <w:rsid w:val="00744938"/>
    <w:rsid w:val="0075697E"/>
    <w:rsid w:val="0076129C"/>
    <w:rsid w:val="00766143"/>
    <w:rsid w:val="007745AE"/>
    <w:rsid w:val="00775681"/>
    <w:rsid w:val="00777AB4"/>
    <w:rsid w:val="007821F1"/>
    <w:rsid w:val="00785689"/>
    <w:rsid w:val="00785EEB"/>
    <w:rsid w:val="007963F9"/>
    <w:rsid w:val="0079754B"/>
    <w:rsid w:val="007A1E6D"/>
    <w:rsid w:val="007C1280"/>
    <w:rsid w:val="007C7506"/>
    <w:rsid w:val="007E7C7F"/>
    <w:rsid w:val="007F3DFC"/>
    <w:rsid w:val="007F46EB"/>
    <w:rsid w:val="007F686D"/>
    <w:rsid w:val="008179C2"/>
    <w:rsid w:val="00822CE0"/>
    <w:rsid w:val="00837C62"/>
    <w:rsid w:val="008415A9"/>
    <w:rsid w:val="00841AB1"/>
    <w:rsid w:val="0084776B"/>
    <w:rsid w:val="00854B58"/>
    <w:rsid w:val="00855471"/>
    <w:rsid w:val="00864970"/>
    <w:rsid w:val="0088688E"/>
    <w:rsid w:val="008936E2"/>
    <w:rsid w:val="008D7179"/>
    <w:rsid w:val="008E00B4"/>
    <w:rsid w:val="008E5951"/>
    <w:rsid w:val="008E6F2D"/>
    <w:rsid w:val="008F1071"/>
    <w:rsid w:val="00926503"/>
    <w:rsid w:val="00931074"/>
    <w:rsid w:val="00931B8F"/>
    <w:rsid w:val="009354B9"/>
    <w:rsid w:val="00940DB4"/>
    <w:rsid w:val="00947B1D"/>
    <w:rsid w:val="009916F9"/>
    <w:rsid w:val="00992BAD"/>
    <w:rsid w:val="009A590E"/>
    <w:rsid w:val="009A63F4"/>
    <w:rsid w:val="009A7903"/>
    <w:rsid w:val="009B4E68"/>
    <w:rsid w:val="009C026A"/>
    <w:rsid w:val="009F1128"/>
    <w:rsid w:val="009F3E2A"/>
    <w:rsid w:val="00A06026"/>
    <w:rsid w:val="00A07C9E"/>
    <w:rsid w:val="00A11F37"/>
    <w:rsid w:val="00A1789A"/>
    <w:rsid w:val="00A22AA4"/>
    <w:rsid w:val="00A4496E"/>
    <w:rsid w:val="00A45F4F"/>
    <w:rsid w:val="00A54D29"/>
    <w:rsid w:val="00A600A9"/>
    <w:rsid w:val="00A60ABF"/>
    <w:rsid w:val="00A71551"/>
    <w:rsid w:val="00A72722"/>
    <w:rsid w:val="00A8258A"/>
    <w:rsid w:val="00A95509"/>
    <w:rsid w:val="00A97C02"/>
    <w:rsid w:val="00AA1DB3"/>
    <w:rsid w:val="00AA55B7"/>
    <w:rsid w:val="00AA5B9E"/>
    <w:rsid w:val="00AA6749"/>
    <w:rsid w:val="00AB2407"/>
    <w:rsid w:val="00AB53DF"/>
    <w:rsid w:val="00AB69C9"/>
    <w:rsid w:val="00AB701F"/>
    <w:rsid w:val="00AC2804"/>
    <w:rsid w:val="00AD2255"/>
    <w:rsid w:val="00AE2BBD"/>
    <w:rsid w:val="00AE2C29"/>
    <w:rsid w:val="00AF63B0"/>
    <w:rsid w:val="00AF74F3"/>
    <w:rsid w:val="00B0239B"/>
    <w:rsid w:val="00B02D7F"/>
    <w:rsid w:val="00B0384A"/>
    <w:rsid w:val="00B06326"/>
    <w:rsid w:val="00B07E5C"/>
    <w:rsid w:val="00B1236E"/>
    <w:rsid w:val="00B2607B"/>
    <w:rsid w:val="00B43E35"/>
    <w:rsid w:val="00B811F7"/>
    <w:rsid w:val="00BA5DC6"/>
    <w:rsid w:val="00BA6196"/>
    <w:rsid w:val="00BB0C29"/>
    <w:rsid w:val="00BC0C25"/>
    <w:rsid w:val="00BC18B8"/>
    <w:rsid w:val="00BC37A8"/>
    <w:rsid w:val="00BC613B"/>
    <w:rsid w:val="00BC6D8C"/>
    <w:rsid w:val="00BE3C4D"/>
    <w:rsid w:val="00BF03C8"/>
    <w:rsid w:val="00BF330F"/>
    <w:rsid w:val="00C0425A"/>
    <w:rsid w:val="00C1463B"/>
    <w:rsid w:val="00C150F1"/>
    <w:rsid w:val="00C179E5"/>
    <w:rsid w:val="00C2452F"/>
    <w:rsid w:val="00C34006"/>
    <w:rsid w:val="00C34DAA"/>
    <w:rsid w:val="00C426B1"/>
    <w:rsid w:val="00C43C7F"/>
    <w:rsid w:val="00C56AD8"/>
    <w:rsid w:val="00C62990"/>
    <w:rsid w:val="00C73967"/>
    <w:rsid w:val="00C77BFB"/>
    <w:rsid w:val="00C82B6B"/>
    <w:rsid w:val="00C82D76"/>
    <w:rsid w:val="00C90D6A"/>
    <w:rsid w:val="00CA1ADB"/>
    <w:rsid w:val="00CB7FEA"/>
    <w:rsid w:val="00CC5D2B"/>
    <w:rsid w:val="00CC67F8"/>
    <w:rsid w:val="00CC72B6"/>
    <w:rsid w:val="00CD0727"/>
    <w:rsid w:val="00CD3121"/>
    <w:rsid w:val="00CD4DE6"/>
    <w:rsid w:val="00CE6201"/>
    <w:rsid w:val="00CF2814"/>
    <w:rsid w:val="00D0218D"/>
    <w:rsid w:val="00D21183"/>
    <w:rsid w:val="00D330DE"/>
    <w:rsid w:val="00D557C8"/>
    <w:rsid w:val="00D55977"/>
    <w:rsid w:val="00D56103"/>
    <w:rsid w:val="00D5756E"/>
    <w:rsid w:val="00D77625"/>
    <w:rsid w:val="00D81E52"/>
    <w:rsid w:val="00D9729B"/>
    <w:rsid w:val="00D9745C"/>
    <w:rsid w:val="00DA2529"/>
    <w:rsid w:val="00DB041A"/>
    <w:rsid w:val="00DB130A"/>
    <w:rsid w:val="00DC10A1"/>
    <w:rsid w:val="00DC655F"/>
    <w:rsid w:val="00DD352E"/>
    <w:rsid w:val="00DD4311"/>
    <w:rsid w:val="00DD4334"/>
    <w:rsid w:val="00DD5AA9"/>
    <w:rsid w:val="00DD7EBD"/>
    <w:rsid w:val="00DF3781"/>
    <w:rsid w:val="00DF62B6"/>
    <w:rsid w:val="00DF6E5E"/>
    <w:rsid w:val="00E02CA2"/>
    <w:rsid w:val="00E07225"/>
    <w:rsid w:val="00E158C6"/>
    <w:rsid w:val="00E44471"/>
    <w:rsid w:val="00E5099C"/>
    <w:rsid w:val="00E53C2B"/>
    <w:rsid w:val="00E5409F"/>
    <w:rsid w:val="00E5676D"/>
    <w:rsid w:val="00E65024"/>
    <w:rsid w:val="00E6570F"/>
    <w:rsid w:val="00E842E8"/>
    <w:rsid w:val="00EA5BD5"/>
    <w:rsid w:val="00EA77D7"/>
    <w:rsid w:val="00EB1DD2"/>
    <w:rsid w:val="00EB409D"/>
    <w:rsid w:val="00EC37AF"/>
    <w:rsid w:val="00EC5C76"/>
    <w:rsid w:val="00ED31EB"/>
    <w:rsid w:val="00EE3E57"/>
    <w:rsid w:val="00F021FA"/>
    <w:rsid w:val="00F251F6"/>
    <w:rsid w:val="00F27418"/>
    <w:rsid w:val="00F433CD"/>
    <w:rsid w:val="00F57281"/>
    <w:rsid w:val="00F57ACA"/>
    <w:rsid w:val="00F62E97"/>
    <w:rsid w:val="00F63F02"/>
    <w:rsid w:val="00F64209"/>
    <w:rsid w:val="00F862DE"/>
    <w:rsid w:val="00F93BF5"/>
    <w:rsid w:val="00FA0835"/>
    <w:rsid w:val="00FA32D0"/>
    <w:rsid w:val="00FA35F3"/>
    <w:rsid w:val="00FA7A7F"/>
    <w:rsid w:val="00FB745B"/>
    <w:rsid w:val="00FB77BE"/>
    <w:rsid w:val="00FC1C98"/>
    <w:rsid w:val="00FE14CC"/>
    <w:rsid w:val="00FE360B"/>
    <w:rsid w:val="237DECC7"/>
    <w:rsid w:val="38CB0A05"/>
    <w:rsid w:val="3D9CC32B"/>
    <w:rsid w:val="4B38B4FF"/>
    <w:rsid w:val="4DC9681C"/>
    <w:rsid w:val="4F7340EE"/>
    <w:rsid w:val="50BC2116"/>
    <w:rsid w:val="52FEBCD2"/>
    <w:rsid w:val="547849AC"/>
    <w:rsid w:val="6082650A"/>
    <w:rsid w:val="61691777"/>
    <w:rsid w:val="61B7626E"/>
    <w:rsid w:val="61C607D3"/>
    <w:rsid w:val="6A90462A"/>
    <w:rsid w:val="6E8B627E"/>
    <w:rsid w:val="70A50077"/>
    <w:rsid w:val="721D0135"/>
    <w:rsid w:val="770B5E2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3E3CDD7"/>
  <w15:chartTrackingRefBased/>
  <w15:docId w15:val="{F6A1CAB4-B41E-41B5-BA70-79B4AF97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4264C6"/>
  </w:style>
  <w:style w:type="character" w:customStyle="1" w:styleId="ParaNumChar">
    <w:name w:val="ParaNum Char"/>
    <w:link w:val="ParaNum"/>
    <w:locked/>
    <w:rsid w:val="004264C6"/>
    <w:rPr>
      <w:snapToGrid w:val="0"/>
      <w:kern w:val="28"/>
      <w:sz w:val="22"/>
    </w:rPr>
  </w:style>
  <w:style w:type="character" w:styleId="CommentReference">
    <w:name w:val="annotation reference"/>
    <w:uiPriority w:val="99"/>
    <w:semiHidden/>
    <w:unhideWhenUsed/>
    <w:rsid w:val="004264C6"/>
    <w:rPr>
      <w:sz w:val="16"/>
      <w:szCs w:val="16"/>
    </w:rPr>
  </w:style>
  <w:style w:type="paragraph" w:styleId="CommentText">
    <w:name w:val="annotation text"/>
    <w:basedOn w:val="Normal"/>
    <w:link w:val="CommentTextChar"/>
    <w:uiPriority w:val="99"/>
    <w:semiHidden/>
    <w:unhideWhenUsed/>
    <w:rsid w:val="004264C6"/>
    <w:rPr>
      <w:sz w:val="20"/>
    </w:rPr>
  </w:style>
  <w:style w:type="character" w:customStyle="1" w:styleId="CommentTextChar">
    <w:name w:val="Comment Text Char"/>
    <w:link w:val="CommentText"/>
    <w:uiPriority w:val="99"/>
    <w:semiHidden/>
    <w:rsid w:val="004264C6"/>
    <w:rPr>
      <w:snapToGrid w:val="0"/>
      <w:kern w:val="28"/>
    </w:rPr>
  </w:style>
  <w:style w:type="character" w:customStyle="1" w:styleId="UnresolvedMention">
    <w:name w:val="Unresolved Mention"/>
    <w:uiPriority w:val="99"/>
    <w:semiHidden/>
    <w:unhideWhenUsed/>
    <w:rsid w:val="004264C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E7570"/>
    <w:rPr>
      <w:b/>
      <w:bCs/>
    </w:rPr>
  </w:style>
  <w:style w:type="character" w:customStyle="1" w:styleId="CommentSubjectChar">
    <w:name w:val="Comment Subject Char"/>
    <w:link w:val="CommentSubject"/>
    <w:uiPriority w:val="99"/>
    <w:semiHidden/>
    <w:rsid w:val="004E7570"/>
    <w:rPr>
      <w:b/>
      <w:bCs/>
      <w:snapToGrid w:val="0"/>
      <w:kern w:val="28"/>
    </w:rPr>
  </w:style>
  <w:style w:type="character" w:customStyle="1" w:styleId="xnormaltextrun">
    <w:name w:val="x_normaltextrun"/>
    <w:basedOn w:val="DefaultParagraphFont"/>
    <w:rsid w:val="0058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