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38298A32">
      <w:pPr>
        <w:jc w:val="right"/>
        <w:rPr>
          <w:b/>
          <w:szCs w:val="22"/>
        </w:rPr>
      </w:pPr>
      <w:r w:rsidRPr="006E4842">
        <w:rPr>
          <w:b/>
          <w:szCs w:val="22"/>
        </w:rPr>
        <w:t>DA 2</w:t>
      </w:r>
      <w:r w:rsidRPr="006E4842" w:rsidR="00165F87">
        <w:rPr>
          <w:b/>
          <w:szCs w:val="22"/>
        </w:rPr>
        <w:t>1</w:t>
      </w:r>
      <w:r w:rsidRPr="006E4842">
        <w:rPr>
          <w:b/>
          <w:szCs w:val="22"/>
        </w:rPr>
        <w:t>-</w:t>
      </w:r>
      <w:r w:rsidRPr="006E4842" w:rsidR="006E4842">
        <w:rPr>
          <w:b/>
          <w:szCs w:val="22"/>
        </w:rPr>
        <w:t>122</w:t>
      </w:r>
    </w:p>
    <w:p w:rsidR="00334AD5" w:rsidRPr="0029562D" w:rsidP="00334AD5" w14:paraId="5C52EFC8" w14:textId="08516B5B">
      <w:pPr>
        <w:spacing w:before="60"/>
        <w:jc w:val="right"/>
        <w:rPr>
          <w:b/>
          <w:szCs w:val="22"/>
        </w:rPr>
      </w:pPr>
      <w:r w:rsidRPr="00CA3425">
        <w:rPr>
          <w:b/>
          <w:szCs w:val="22"/>
        </w:rPr>
        <w:t xml:space="preserve">Released: </w:t>
      </w:r>
      <w:r w:rsidR="006E4842">
        <w:rPr>
          <w:b/>
          <w:szCs w:val="22"/>
        </w:rPr>
        <w:t>February 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2A48B96">
      <w:pPr>
        <w:jc w:val="center"/>
        <w:rPr>
          <w:b/>
          <w:szCs w:val="22"/>
        </w:rPr>
      </w:pPr>
      <w:r w:rsidRPr="008B54CB">
        <w:rPr>
          <w:b/>
          <w:szCs w:val="22"/>
        </w:rPr>
        <w:t xml:space="preserve">BY </w:t>
      </w:r>
      <w:r w:rsidR="00496CB4">
        <w:rPr>
          <w:b/>
          <w:szCs w:val="22"/>
        </w:rPr>
        <w:t>Z</w:t>
      </w:r>
      <w:r w:rsidR="00AB2278">
        <w:rPr>
          <w:b/>
          <w:szCs w:val="22"/>
        </w:rPr>
        <w:t>OOM VOICE COMMUNICATIONS, INC.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BEC34B7">
      <w:pPr>
        <w:jc w:val="center"/>
        <w:rPr>
          <w:b/>
          <w:szCs w:val="22"/>
        </w:rPr>
      </w:pPr>
      <w:r w:rsidRPr="0029562D">
        <w:rPr>
          <w:b/>
          <w:szCs w:val="22"/>
        </w:rPr>
        <w:t>WC Docket No</w:t>
      </w:r>
      <w:r w:rsidRPr="001C06E1">
        <w:rPr>
          <w:b/>
          <w:szCs w:val="22"/>
        </w:rPr>
        <w:t xml:space="preserve">. </w:t>
      </w:r>
      <w:r w:rsidR="00496CB4">
        <w:rPr>
          <w:b/>
          <w:szCs w:val="22"/>
        </w:rPr>
        <w:t>20</w:t>
      </w:r>
      <w:r w:rsidR="004971A4">
        <w:rPr>
          <w:b/>
          <w:szCs w:val="22"/>
        </w:rPr>
        <w:t>-</w:t>
      </w:r>
      <w:r w:rsidR="00496CB4">
        <w:rPr>
          <w:b/>
          <w:szCs w:val="22"/>
        </w:rPr>
        <w:t>419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9BD899F">
      <w:pPr>
        <w:pStyle w:val="NoSpacing"/>
        <w:rPr>
          <w:b/>
          <w:szCs w:val="22"/>
        </w:rPr>
      </w:pPr>
      <w:r w:rsidRPr="00CA3425">
        <w:rPr>
          <w:b/>
          <w:szCs w:val="22"/>
        </w:rPr>
        <w:t xml:space="preserve">Comments Due: </w:t>
      </w:r>
      <w:r w:rsidR="006E4842">
        <w:rPr>
          <w:b/>
          <w:szCs w:val="22"/>
        </w:rPr>
        <w:t>February 20, 2021</w:t>
      </w:r>
    </w:p>
    <w:p w:rsidR="00334AD5" w:rsidRPr="0069551B" w:rsidP="00334AD5" w14:paraId="74A871CE" w14:textId="77777777">
      <w:pPr>
        <w:pStyle w:val="NoSpacing"/>
        <w:rPr>
          <w:b/>
          <w:szCs w:val="22"/>
        </w:rPr>
      </w:pPr>
    </w:p>
    <w:p w:rsidR="00334AD5" w:rsidRPr="00452866" w:rsidP="00334AD5" w14:paraId="7D22E18B" w14:textId="46CA65D1">
      <w:pPr>
        <w:autoSpaceDE w:val="0"/>
        <w:autoSpaceDN w:val="0"/>
        <w:adjustRightInd w:val="0"/>
        <w:ind w:firstLine="720"/>
        <w:rPr>
          <w:szCs w:val="22"/>
        </w:rPr>
      </w:pPr>
      <w:r>
        <w:t>Zoom Voice Communications, Inc.</w:t>
      </w:r>
      <w:r w:rsidR="004971A4">
        <w:t xml:space="preserve"> </w:t>
      </w:r>
      <w:r w:rsidRPr="00452866">
        <w:rPr>
          <w:szCs w:val="22"/>
        </w:rPr>
        <w:t>(</w:t>
      </w:r>
      <w:r>
        <w:rPr>
          <w:szCs w:val="22"/>
        </w:rPr>
        <w:t>Zoom Voice</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Zoom Voice</w:t>
      </w:r>
      <w:r w:rsidR="00165F87">
        <w:rPr>
          <w:szCs w:val="22"/>
        </w:rPr>
        <w:t xml:space="preserve"> indicates that it intends to initially request numbers in </w:t>
      </w:r>
      <w:r>
        <w:rPr>
          <w:szCs w:val="22"/>
        </w:rPr>
        <w:t>Arizona and Georgia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E270D5C">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496CB4">
        <w:rPr>
          <w:szCs w:val="22"/>
        </w:rPr>
        <w:t>Zoom Voice</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496CB4">
        <w:rPr>
          <w:szCs w:val="22"/>
        </w:rPr>
        <w:t>Zoom Voice</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496CB4">
        <w:rPr>
          <w:szCs w:val="22"/>
        </w:rPr>
        <w:t>Zoom Voice</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496CB4">
        <w:rPr>
          <w:szCs w:val="22"/>
        </w:rPr>
        <w:t>Zoom Voice</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496CB4">
        <w:rPr>
          <w:szCs w:val="22"/>
        </w:rPr>
        <w:t>Zoom Voice</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496CB4">
        <w:rPr>
          <w:szCs w:val="22"/>
        </w:rPr>
        <w:t>Zoom Voice</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67C041D3">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0012C">
        <w:rPr>
          <w:szCs w:val="22"/>
        </w:rPr>
        <w:t>20</w:t>
      </w:r>
      <w:r w:rsidR="009B1B73">
        <w:rPr>
          <w:szCs w:val="22"/>
        </w:rPr>
        <w:t>-</w:t>
      </w:r>
      <w:r w:rsidR="0050012C">
        <w:rPr>
          <w:szCs w:val="22"/>
        </w:rPr>
        <w:t>419</w:t>
      </w:r>
      <w:r w:rsidR="005321BE">
        <w:rPr>
          <w:szCs w:val="22"/>
        </w:rPr>
        <w:t xml:space="preserve"> </w:t>
      </w:r>
      <w:r w:rsidRPr="007E63F9">
        <w:rPr>
          <w:b/>
          <w:szCs w:val="22"/>
        </w:rPr>
        <w:t xml:space="preserve">on or before </w:t>
      </w:r>
      <w:r w:rsidR="006E4842">
        <w:rPr>
          <w:b/>
          <w:szCs w:val="22"/>
        </w:rPr>
        <w:t>February 20, 2021</w:t>
      </w:r>
      <w:r w:rsidRPr="00CA3425">
        <w:rPr>
          <w:szCs w:val="22"/>
        </w:rPr>
        <w:t>.</w:t>
      </w:r>
      <w:r>
        <w:rPr>
          <w:rStyle w:val="FootnoteReference"/>
          <w:szCs w:val="22"/>
        </w:rPr>
        <w:footnoteReference w:id="12"/>
      </w:r>
      <w:r w:rsidRPr="00452866">
        <w:rPr>
          <w:szCs w:val="22"/>
        </w:rPr>
        <w:t xml:space="preserve">  Commenters must serve a copy of comments on </w:t>
      </w:r>
      <w:r w:rsidR="00496CB4">
        <w:rPr>
          <w:szCs w:val="22"/>
        </w:rPr>
        <w:t>Zoom Voice</w:t>
      </w:r>
      <w:r w:rsidR="009B1B73">
        <w:rPr>
          <w:szCs w:val="22"/>
        </w:rPr>
        <w:t xml:space="preserve"> </w:t>
      </w:r>
      <w:r w:rsidRPr="00452866">
        <w:rPr>
          <w:szCs w:val="22"/>
        </w:rPr>
        <w:t xml:space="preserve">no later than the above comment filing date.  Unless otherwise notified by the Commission, </w:t>
      </w:r>
      <w:r w:rsidR="00496CB4">
        <w:rPr>
          <w:szCs w:val="22"/>
        </w:rPr>
        <w:t>Zoom Voice</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bookmarkStart w:id="0" w:name="_GoBack"/>
      <w:bookmarkEnd w:id="0"/>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553A" w14:paraId="479E8FC1" w14:textId="77777777">
      <w:r>
        <w:separator/>
      </w:r>
    </w:p>
  </w:footnote>
  <w:footnote w:type="continuationSeparator" w:id="1">
    <w:p w:rsidR="00A6553A" w14:paraId="287C5C83" w14:textId="77777777">
      <w:pPr>
        <w:rPr>
          <w:sz w:val="20"/>
        </w:rPr>
      </w:pPr>
      <w:r>
        <w:rPr>
          <w:sz w:val="20"/>
        </w:rPr>
        <w:t xml:space="preserve">(Continued from previous page)  </w:t>
      </w:r>
      <w:r>
        <w:rPr>
          <w:sz w:val="20"/>
        </w:rPr>
        <w:separator/>
      </w:r>
    </w:p>
  </w:footnote>
  <w:footnote w:type="continuationNotice" w:id="2">
    <w:p w:rsidR="00A6553A" w:rsidP="00910F12" w14:paraId="04AB24EC" w14:textId="77777777">
      <w:pPr>
        <w:jc w:val="right"/>
        <w:rPr>
          <w:sz w:val="20"/>
        </w:rPr>
      </w:pPr>
    </w:p>
  </w:footnote>
  <w:footnote w:id="3">
    <w:p w:rsidR="00334AD5" w:rsidRPr="00442FF5" w:rsidP="00334AD5" w14:paraId="5EAAE905" w14:textId="36FB6A55">
      <w:pPr>
        <w:pStyle w:val="FootnoteText"/>
      </w:pPr>
      <w:r w:rsidRPr="00442FF5">
        <w:rPr>
          <w:rStyle w:val="FootnoteReference"/>
          <w:sz w:val="20"/>
        </w:rPr>
        <w:footnoteRef/>
      </w:r>
      <w:r w:rsidRPr="00442FF5">
        <w:t xml:space="preserve"> We assign WC Docket No. </w:t>
      </w:r>
      <w:r w:rsidR="006E4842">
        <w:t>20-419</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3CEEE9F6">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496CB4">
        <w:t>Zoom Voice</w:t>
      </w:r>
      <w:r w:rsidRPr="00442FF5" w:rsidR="004971A4">
        <w:t xml:space="preserve"> </w:t>
      </w:r>
      <w:r w:rsidRPr="00442FF5" w:rsidR="00165F87">
        <w:t xml:space="preserve">for Authorization to Obtain Numbering Resources, WC Docket No. </w:t>
      </w:r>
      <w:r w:rsidR="00496CB4">
        <w:t>20</w:t>
      </w:r>
      <w:r w:rsidRPr="00442FF5" w:rsidR="00165F87">
        <w:t>-</w:t>
      </w:r>
      <w:r w:rsidR="00496CB4">
        <w:t>419</w:t>
      </w:r>
      <w:r w:rsidRPr="00442FF5" w:rsidR="00165F87">
        <w:t xml:space="preserve"> (filed </w:t>
      </w:r>
      <w:r w:rsidR="00496CB4">
        <w:t>Dec. 9, 2020</w:t>
      </w:r>
      <w:r w:rsidRPr="00442FF5" w:rsidR="00165F87">
        <w:t>),</w:t>
      </w:r>
      <w:r w:rsidR="00496CB4">
        <w:t xml:space="preserve"> </w:t>
      </w:r>
      <w:r w:rsidRPr="00B55645" w:rsidR="00B55645">
        <w:t>https://www.fcc.gov/ecfs/filing/120925335830</w:t>
      </w:r>
      <w:hyperlink r:id="rId1" w:history="1"/>
      <w:r w:rsidRPr="00442FF5" w:rsidR="004971A4">
        <w:t xml:space="preserve"> </w:t>
      </w:r>
      <w:r w:rsidRPr="00442FF5" w:rsidR="00165F87">
        <w:t>(</w:t>
      </w:r>
      <w:r w:rsidR="00496CB4">
        <w:t>Zoom Voice</w:t>
      </w:r>
      <w:r w:rsidRPr="00442FF5" w:rsidR="004971A4">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BBE7C6A">
      <w:pPr>
        <w:pStyle w:val="FootnoteText"/>
      </w:pPr>
      <w:r w:rsidRPr="00442FF5">
        <w:rPr>
          <w:rStyle w:val="FootnoteReference"/>
          <w:sz w:val="20"/>
        </w:rPr>
        <w:footnoteRef/>
      </w:r>
      <w:r w:rsidRPr="00442FF5">
        <w:t xml:space="preserve"> </w:t>
      </w:r>
      <w:r w:rsidR="00496CB4">
        <w:t>Zoom Voice</w:t>
      </w:r>
      <w:r w:rsidRPr="00442FF5" w:rsidR="00EC58FD">
        <w:t xml:space="preserve"> </w:t>
      </w:r>
      <w:r w:rsidRPr="00442FF5" w:rsidR="004971A4">
        <w:t>Application</w:t>
      </w:r>
      <w:r w:rsidRPr="00442FF5" w:rsidR="00EC58FD">
        <w:t xml:space="preserve"> at </w:t>
      </w:r>
      <w:r w:rsidR="00496CB4">
        <w:t>2</w:t>
      </w:r>
      <w:r w:rsidRPr="00442FF5" w:rsidR="00EC58FD">
        <w:t>.</w:t>
      </w:r>
      <w:r w:rsidR="00AB2278">
        <w:t xml:space="preserve"> </w:t>
      </w:r>
      <w:r w:rsidRPr="00CD4954" w:rsidR="00AB2278">
        <w:rPr>
          <w:i/>
        </w:rPr>
        <w:t>See also</w:t>
      </w:r>
      <w:r w:rsidRPr="00CD4954" w:rsidR="00AB2278">
        <w:t xml:space="preserve"> </w:t>
      </w:r>
      <w:r w:rsidRPr="00CD4954" w:rsidR="00AB2278">
        <w:rPr>
          <w:i/>
        </w:rPr>
        <w:t>Numbering Policies for Modern Communications et al.</w:t>
      </w:r>
      <w:r w:rsidRPr="00CD4954" w:rsidR="00AB2278">
        <w:t xml:space="preserve">, Report and Order, 30 FCC </w:t>
      </w:r>
      <w:r w:rsidRPr="00CD4954" w:rsidR="00AB2278">
        <w:t>Rcd</w:t>
      </w:r>
      <w:r w:rsidRPr="00CD4954" w:rsidR="00AB2278">
        <w:t xml:space="preserve"> 6839, 6850, para. 24 &amp; n.74 (2015) (</w:t>
      </w:r>
      <w:r w:rsidRPr="00CD4954" w:rsidR="00AB2278">
        <w:rPr>
          <w:i/>
        </w:rPr>
        <w:t>VoIP Direct Access to Numbers Order</w:t>
      </w:r>
      <w:r w:rsidRPr="00CD4954" w:rsidR="00AB2278">
        <w:t>).</w:t>
      </w:r>
    </w:p>
  </w:footnote>
  <w:footnote w:id="6">
    <w:p w:rsidR="00E90579" w:rsidRPr="00442FF5" w14:paraId="6EBBAB98" w14:textId="530DC2B4">
      <w:pPr>
        <w:pStyle w:val="FootnoteText"/>
      </w:pPr>
      <w:r w:rsidRPr="00442FF5">
        <w:rPr>
          <w:rStyle w:val="FootnoteReference"/>
          <w:sz w:val="20"/>
        </w:rPr>
        <w:footnoteRef/>
      </w:r>
      <w:r w:rsidRPr="00442FF5">
        <w:t xml:space="preserve"> </w:t>
      </w:r>
      <w:r w:rsidR="00496CB4">
        <w:t>Zoom Voice</w:t>
      </w:r>
      <w:r w:rsidRPr="00442FF5" w:rsidR="00EC58FD">
        <w:t xml:space="preserve"> Application at </w:t>
      </w:r>
      <w:r w:rsidR="00496CB4">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5D302BB0">
      <w:pPr>
        <w:pStyle w:val="FootnoteText"/>
      </w:pPr>
      <w:r w:rsidRPr="00442FF5">
        <w:rPr>
          <w:rStyle w:val="FootnoteReference"/>
          <w:sz w:val="20"/>
        </w:rPr>
        <w:footnoteRef/>
      </w:r>
      <w:r w:rsidRPr="00442FF5">
        <w:t xml:space="preserve"> </w:t>
      </w:r>
      <w:r w:rsidR="00496CB4">
        <w:t>Zoom Voice</w:t>
      </w:r>
      <w:r w:rsidRPr="00442FF5" w:rsidR="00EC58FD">
        <w:t xml:space="preserve"> Application at </w:t>
      </w:r>
      <w:r w:rsidR="00496CB4">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6DCFED2">
      <w:pPr>
        <w:pStyle w:val="FootnoteText"/>
      </w:pPr>
      <w:r w:rsidRPr="00442FF5">
        <w:rPr>
          <w:rStyle w:val="FootnoteReference"/>
          <w:sz w:val="20"/>
        </w:rPr>
        <w:footnoteRef/>
      </w:r>
      <w:r w:rsidRPr="00442FF5">
        <w:t xml:space="preserve"> </w:t>
      </w:r>
      <w:r w:rsidR="00496CB4">
        <w:t>Zoom Voice</w:t>
      </w:r>
      <w:r w:rsidRPr="00442FF5" w:rsidR="00EC58FD">
        <w:t xml:space="preserve"> Application at </w:t>
      </w:r>
      <w:r w:rsidR="0050012C">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1331C3F">
      <w:pPr>
        <w:pStyle w:val="FootnoteText"/>
      </w:pPr>
      <w:r w:rsidRPr="00442FF5">
        <w:rPr>
          <w:rStyle w:val="FootnoteReference"/>
          <w:sz w:val="20"/>
        </w:rPr>
        <w:footnoteRef/>
      </w:r>
      <w:r w:rsidRPr="00442FF5">
        <w:t xml:space="preserve"> </w:t>
      </w:r>
      <w:r w:rsidR="00496CB4">
        <w:t>Zoom Voice</w:t>
      </w:r>
      <w:r w:rsidRPr="00442FF5" w:rsidR="00EC58FD">
        <w:t xml:space="preserve"> Application at </w:t>
      </w:r>
      <w:r w:rsidR="0050012C">
        <w:t>3-4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7E78785D">
      <w:pPr>
        <w:pStyle w:val="FootnoteText"/>
      </w:pPr>
      <w:r w:rsidRPr="005321BE">
        <w:rPr>
          <w:rStyle w:val="FootnoteReference"/>
          <w:sz w:val="20"/>
        </w:rPr>
        <w:footnoteRef/>
      </w:r>
      <w:r w:rsidRPr="005321BE">
        <w:t xml:space="preserve"> </w:t>
      </w:r>
      <w:r w:rsidR="00496CB4">
        <w:rPr>
          <w:szCs w:val="22"/>
        </w:rPr>
        <w:t>Zoom Voice</w:t>
      </w:r>
      <w:r w:rsidR="00EC58FD">
        <w:t xml:space="preserve"> at </w:t>
      </w:r>
      <w:r w:rsidR="0050012C">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9C9DF5A">
    <w:pPr>
      <w:tabs>
        <w:tab w:val="center" w:pos="4680"/>
        <w:tab w:val="right" w:pos="9360"/>
      </w:tabs>
    </w:pPr>
    <w:r w:rsidRPr="009838BC">
      <w:rPr>
        <w:b/>
      </w:rPr>
      <w:tab/>
      <w:t>Federal Communications Commission</w:t>
    </w:r>
    <w:r w:rsidRPr="009838BC">
      <w:rPr>
        <w:b/>
      </w:rPr>
      <w:tab/>
    </w:r>
    <w:r w:rsidR="006E4842">
      <w:rPr>
        <w:b/>
      </w:rPr>
      <w:t>DA 21-122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82497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6CB4"/>
    <w:rsid w:val="004971A4"/>
    <w:rsid w:val="004C12D0"/>
    <w:rsid w:val="004C2EE3"/>
    <w:rsid w:val="004E0884"/>
    <w:rsid w:val="004E4A22"/>
    <w:rsid w:val="0050012C"/>
    <w:rsid w:val="00511968"/>
    <w:rsid w:val="00521646"/>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E4842"/>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6553A"/>
    <w:rsid w:val="00A80584"/>
    <w:rsid w:val="00A866AC"/>
    <w:rsid w:val="00AA3FAE"/>
    <w:rsid w:val="00AA55B7"/>
    <w:rsid w:val="00AA5B9E"/>
    <w:rsid w:val="00AB14FF"/>
    <w:rsid w:val="00AB2278"/>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55645"/>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