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D1906" w:rsidRPr="00E8121C" w:rsidP="001D1906" w14:paraId="249F1588" w14:textId="4FD95A50">
      <w:pPr>
        <w:widowControl/>
        <w:tabs>
          <w:tab w:val="left" w:pos="720"/>
        </w:tabs>
        <w:jc w:val="right"/>
        <w:rPr>
          <w:b/>
          <w:szCs w:val="22"/>
        </w:rPr>
      </w:pPr>
      <w:r w:rsidRPr="00F14574">
        <w:rPr>
          <w:b/>
          <w:snapToGrid/>
          <w:kern w:val="0"/>
          <w:szCs w:val="22"/>
        </w:rPr>
        <w:t xml:space="preserve">  </w:t>
      </w:r>
      <w:r w:rsidRPr="00E8121C">
        <w:rPr>
          <w:b/>
          <w:szCs w:val="22"/>
        </w:rPr>
        <w:t xml:space="preserve">DA </w:t>
      </w:r>
      <w:r w:rsidRPr="00E8121C" w:rsidR="00E8121C">
        <w:rPr>
          <w:b/>
          <w:szCs w:val="22"/>
        </w:rPr>
        <w:t>21-1232</w:t>
      </w:r>
    </w:p>
    <w:p w:rsidR="001D1906" w:rsidRPr="004C7FB2" w:rsidP="001D1906" w14:paraId="0609BCEE" w14:textId="1EA4CE9E">
      <w:pPr>
        <w:spacing w:before="60"/>
        <w:jc w:val="right"/>
        <w:rPr>
          <w:b/>
          <w:szCs w:val="22"/>
        </w:rPr>
      </w:pPr>
      <w:r w:rsidRPr="003B3D03">
        <w:rPr>
          <w:b/>
          <w:szCs w:val="22"/>
        </w:rPr>
        <w:t xml:space="preserve">Released: September </w:t>
      </w:r>
      <w:r w:rsidRPr="003B3D03" w:rsidR="003B3D03">
        <w:rPr>
          <w:b/>
          <w:szCs w:val="22"/>
        </w:rPr>
        <w:t>30</w:t>
      </w:r>
      <w:r w:rsidRPr="003B3D03">
        <w:rPr>
          <w:b/>
          <w:szCs w:val="22"/>
        </w:rPr>
        <w:t>, 2021</w:t>
      </w:r>
    </w:p>
    <w:p w:rsidR="000B0FD1" w:rsidRPr="004C7FB2" w:rsidP="001D1906" w14:paraId="6E847D1A" w14:textId="77777777">
      <w:pPr>
        <w:jc w:val="right"/>
        <w:rPr>
          <w:szCs w:val="22"/>
        </w:rPr>
      </w:pPr>
    </w:p>
    <w:p w:rsidR="001D1906" w:rsidRPr="004C7FB2" w:rsidP="001D1906" w14:paraId="5A35170A" w14:textId="77777777">
      <w:pPr>
        <w:jc w:val="center"/>
        <w:rPr>
          <w:b/>
          <w:szCs w:val="22"/>
        </w:rPr>
      </w:pPr>
      <w:r>
        <w:rPr>
          <w:b/>
          <w:szCs w:val="22"/>
        </w:rPr>
        <w:t>FEDERAL COMMUNICATIONS COMMISSION</w:t>
      </w:r>
      <w:r w:rsidRPr="004C7FB2">
        <w:rPr>
          <w:b/>
          <w:szCs w:val="22"/>
        </w:rPr>
        <w:t xml:space="preserve"> ANNOUNCES THE COMMUNICATIONS SECURITY</w:t>
      </w:r>
      <w:r>
        <w:rPr>
          <w:b/>
          <w:szCs w:val="22"/>
        </w:rPr>
        <w:t>,</w:t>
      </w:r>
      <w:r w:rsidRPr="004C7FB2">
        <w:rPr>
          <w:b/>
          <w:szCs w:val="22"/>
        </w:rPr>
        <w:t xml:space="preserve"> RELIABILITY, AND INTEROPERABILITY COUNCIL </w:t>
      </w:r>
      <w:r>
        <w:rPr>
          <w:b/>
          <w:szCs w:val="22"/>
        </w:rPr>
        <w:t xml:space="preserve">VIII WORKING GROUPS AND SEEKS ADDITIONAL PARTICIPATION </w:t>
      </w:r>
    </w:p>
    <w:p w:rsidR="001D1906" w:rsidRPr="004C7FB2" w:rsidP="001D1906" w14:paraId="41C1CC13" w14:textId="77777777">
      <w:pPr>
        <w:jc w:val="center"/>
        <w:rPr>
          <w:szCs w:val="22"/>
        </w:rPr>
      </w:pPr>
    </w:p>
    <w:p w:rsidR="001D1906" w:rsidRPr="004C7FB2" w:rsidP="001D1906" w14:paraId="42BECEE4" w14:textId="4A0226E5">
      <w:pPr>
        <w:spacing w:after="120"/>
        <w:ind w:firstLine="720"/>
        <w:rPr>
          <w:szCs w:val="22"/>
        </w:rPr>
      </w:pPr>
      <w:r>
        <w:rPr>
          <w:szCs w:val="22"/>
        </w:rPr>
        <w:t>By t</w:t>
      </w:r>
      <w:r w:rsidRPr="004C7FB2">
        <w:rPr>
          <w:szCs w:val="22"/>
        </w:rPr>
        <w:t xml:space="preserve">his </w:t>
      </w:r>
      <w:r w:rsidRPr="00922CB0">
        <w:rPr>
          <w:i/>
          <w:szCs w:val="22"/>
        </w:rPr>
        <w:t>Public Notice</w:t>
      </w:r>
      <w:r>
        <w:rPr>
          <w:szCs w:val="22"/>
        </w:rPr>
        <w:t xml:space="preserve">, the Federal Communications Commission (FCC or Commission) announces the topics and chairs of the six working groups </w:t>
      </w:r>
      <w:r w:rsidRPr="00956530">
        <w:rPr>
          <w:szCs w:val="22"/>
        </w:rPr>
        <w:t xml:space="preserve">that will </w:t>
      </w:r>
      <w:r>
        <w:rPr>
          <w:szCs w:val="22"/>
        </w:rPr>
        <w:t xml:space="preserve">assist the </w:t>
      </w:r>
      <w:r w:rsidRPr="004C7FB2">
        <w:rPr>
          <w:szCs w:val="22"/>
        </w:rPr>
        <w:t>Communications Security, Reliability, and Interoperability Council (CSRIC) V</w:t>
      </w:r>
      <w:r w:rsidR="00F854E8">
        <w:rPr>
          <w:szCs w:val="22"/>
        </w:rPr>
        <w:t>I</w:t>
      </w:r>
      <w:r w:rsidRPr="004C7FB2">
        <w:rPr>
          <w:szCs w:val="22"/>
        </w:rPr>
        <w:t>II</w:t>
      </w:r>
      <w:r>
        <w:rPr>
          <w:rStyle w:val="FootnoteReference"/>
          <w:szCs w:val="22"/>
        </w:rPr>
        <w:footnoteReference w:id="3"/>
      </w:r>
      <w:r>
        <w:rPr>
          <w:szCs w:val="22"/>
        </w:rPr>
        <w:t xml:space="preserve"> </w:t>
      </w:r>
      <w:r w:rsidRPr="00956530">
        <w:rPr>
          <w:szCs w:val="22"/>
        </w:rPr>
        <w:t xml:space="preserve">in carrying out its work </w:t>
      </w:r>
      <w:r>
        <w:rPr>
          <w:szCs w:val="22"/>
        </w:rPr>
        <w:t>and seeks applications for membership to</w:t>
      </w:r>
      <w:r w:rsidRPr="004C7FB2">
        <w:rPr>
          <w:szCs w:val="22"/>
        </w:rPr>
        <w:t xml:space="preserve"> </w:t>
      </w:r>
      <w:r>
        <w:rPr>
          <w:szCs w:val="22"/>
        </w:rPr>
        <w:t>these w</w:t>
      </w:r>
      <w:r w:rsidRPr="004C7FB2">
        <w:rPr>
          <w:szCs w:val="22"/>
        </w:rPr>
        <w:t xml:space="preserve">orking </w:t>
      </w:r>
      <w:r>
        <w:rPr>
          <w:szCs w:val="22"/>
        </w:rPr>
        <w:t>g</w:t>
      </w:r>
      <w:r w:rsidRPr="004C7FB2">
        <w:rPr>
          <w:szCs w:val="22"/>
        </w:rPr>
        <w:t>roups</w:t>
      </w:r>
      <w:r>
        <w:rPr>
          <w:szCs w:val="22"/>
        </w:rPr>
        <w:t xml:space="preserve">.  Selected applicants will join </w:t>
      </w:r>
      <w:r w:rsidR="00083CE9">
        <w:rPr>
          <w:szCs w:val="22"/>
        </w:rPr>
        <w:t xml:space="preserve">working groups alongside </w:t>
      </w:r>
      <w:r>
        <w:rPr>
          <w:szCs w:val="22"/>
        </w:rPr>
        <w:t xml:space="preserve">CSRIC </w:t>
      </w:r>
      <w:r w:rsidR="00F31908">
        <w:rPr>
          <w:szCs w:val="22"/>
        </w:rPr>
        <w:t xml:space="preserve">VIII </w:t>
      </w:r>
      <w:r w:rsidR="00083CE9">
        <w:rPr>
          <w:szCs w:val="22"/>
        </w:rPr>
        <w:t>members</w:t>
      </w:r>
      <w:r>
        <w:rPr>
          <w:rStyle w:val="FootnoteReference"/>
          <w:szCs w:val="22"/>
        </w:rPr>
        <w:footnoteReference w:id="4"/>
      </w:r>
      <w:r>
        <w:rPr>
          <w:szCs w:val="22"/>
        </w:rPr>
        <w:t xml:space="preserve"> to ensure that the working groups represent a range of interests </w:t>
      </w:r>
      <w:r w:rsidRPr="0021563D">
        <w:rPr>
          <w:szCs w:val="22"/>
        </w:rPr>
        <w:t xml:space="preserve">and have the requisite </w:t>
      </w:r>
      <w:r>
        <w:rPr>
          <w:szCs w:val="22"/>
        </w:rPr>
        <w:t xml:space="preserve">technical </w:t>
      </w:r>
      <w:r w:rsidRPr="0021563D">
        <w:rPr>
          <w:szCs w:val="22"/>
        </w:rPr>
        <w:t>expertise to address the assigned tasks</w:t>
      </w:r>
      <w:r w:rsidRPr="004C7FB2">
        <w:rPr>
          <w:szCs w:val="22"/>
        </w:rPr>
        <w:t xml:space="preserve">: </w:t>
      </w:r>
      <w:r>
        <w:rPr>
          <w:szCs w:val="22"/>
        </w:rPr>
        <w:t xml:space="preserve"> </w:t>
      </w:r>
    </w:p>
    <w:p w:rsidR="00F854E8" w:rsidP="00F31908" w14:paraId="5071CE4E" w14:textId="601A3476">
      <w:pPr>
        <w:pStyle w:val="ListParagraph"/>
        <w:numPr>
          <w:ilvl w:val="0"/>
          <w:numId w:val="29"/>
        </w:numPr>
        <w:spacing w:after="0"/>
      </w:pPr>
      <w:r w:rsidRPr="00F854E8">
        <w:rPr>
          <w:u w:val="single"/>
        </w:rPr>
        <w:t>Working Group 1</w:t>
      </w:r>
      <w:r w:rsidRPr="004C7FB2">
        <w:t xml:space="preserve">:  </w:t>
      </w:r>
      <w:r>
        <w:t>5G Signaling Protocols Security</w:t>
      </w:r>
    </w:p>
    <w:p w:rsidR="00F854E8" w:rsidP="00F31908" w14:paraId="390475FB" w14:textId="1A6AEA14">
      <w:pPr>
        <w:pStyle w:val="ListParagraph"/>
        <w:spacing w:after="0"/>
        <w:ind w:left="1440"/>
      </w:pPr>
      <w:r w:rsidRPr="00F854E8">
        <w:rPr>
          <w:i/>
          <w:iCs/>
        </w:rPr>
        <w:t>Co-chairs:</w:t>
      </w:r>
      <w:r>
        <w:t xml:space="preserve"> </w:t>
      </w:r>
      <w:r w:rsidRPr="00F854E8">
        <w:rPr>
          <w:i/>
          <w:iCs/>
        </w:rPr>
        <w:t>Brian Daly, AT&amp;T &amp; Travis Russell, Oracle</w:t>
      </w:r>
      <w:r>
        <w:t xml:space="preserve">  </w:t>
      </w:r>
    </w:p>
    <w:p w:rsidR="00F31908" w:rsidP="00F31908" w14:paraId="12A2AF0D" w14:textId="77777777">
      <w:pPr>
        <w:pStyle w:val="ListParagraph"/>
        <w:spacing w:after="0"/>
        <w:ind w:left="1440"/>
      </w:pPr>
    </w:p>
    <w:p w:rsidR="00F854E8" w:rsidRPr="00F854E8" w:rsidP="00F31908" w14:paraId="273D3315" w14:textId="77777777">
      <w:pPr>
        <w:pStyle w:val="ListParagraph"/>
        <w:numPr>
          <w:ilvl w:val="0"/>
          <w:numId w:val="29"/>
        </w:numPr>
        <w:spacing w:before="120" w:after="0"/>
      </w:pPr>
      <w:r w:rsidRPr="00F854E8">
        <w:rPr>
          <w:u w:val="single"/>
        </w:rPr>
        <w:t>Working Group 2</w:t>
      </w:r>
      <w:r w:rsidRPr="00F854E8">
        <w:t xml:space="preserve">:  </w:t>
      </w:r>
      <w:r w:rsidRPr="00F854E8">
        <w:t>Promoting Security, Reliability, and Interoperability of Open Radio Access Network Equipment</w:t>
      </w:r>
    </w:p>
    <w:p w:rsidR="001D1906" w:rsidP="00F31908" w14:paraId="0A9E55B8" w14:textId="06223887">
      <w:pPr>
        <w:pStyle w:val="ListParagraph"/>
        <w:spacing w:after="0"/>
        <w:ind w:left="1440"/>
        <w:contextualSpacing w:val="0"/>
        <w:rPr>
          <w:bCs/>
          <w:i/>
          <w:iCs/>
        </w:rPr>
      </w:pPr>
      <w:r w:rsidRPr="00AF27BA">
        <w:rPr>
          <w:bCs/>
          <w:i/>
          <w:iCs/>
        </w:rPr>
        <w:t>C</w:t>
      </w:r>
      <w:r>
        <w:rPr>
          <w:bCs/>
          <w:i/>
          <w:iCs/>
        </w:rPr>
        <w:t>o-c</w:t>
      </w:r>
      <w:r w:rsidRPr="00AF27BA">
        <w:rPr>
          <w:bCs/>
          <w:i/>
          <w:iCs/>
        </w:rPr>
        <w:t>hair</w:t>
      </w:r>
      <w:r>
        <w:rPr>
          <w:bCs/>
          <w:i/>
          <w:iCs/>
        </w:rPr>
        <w:t>s</w:t>
      </w:r>
      <w:r w:rsidRPr="00DB09BC">
        <w:rPr>
          <w:bCs/>
          <w:i/>
          <w:iCs/>
        </w:rPr>
        <w:t>:</w:t>
      </w:r>
      <w:r w:rsidRPr="00DB09BC">
        <w:rPr>
          <w:b/>
        </w:rPr>
        <w:t xml:space="preserve">  </w:t>
      </w:r>
      <w:r w:rsidRPr="00DB09BC">
        <w:rPr>
          <w:bCs/>
          <w:i/>
          <w:iCs/>
        </w:rPr>
        <w:t xml:space="preserve">Mike Barnes, </w:t>
      </w:r>
      <w:r w:rsidRPr="00DB09BC">
        <w:rPr>
          <w:bCs/>
          <w:i/>
          <w:iCs/>
        </w:rPr>
        <w:t>Mavenir</w:t>
      </w:r>
      <w:r w:rsidRPr="00DB09BC">
        <w:rPr>
          <w:bCs/>
          <w:i/>
          <w:iCs/>
        </w:rPr>
        <w:t xml:space="preserve"> &amp; George Woodward, RWA</w:t>
      </w:r>
    </w:p>
    <w:p w:rsidR="00F31908" w:rsidRPr="004C7FB2" w:rsidP="00F31908" w14:paraId="69DF4C5C" w14:textId="77777777">
      <w:pPr>
        <w:pStyle w:val="ListParagraph"/>
        <w:spacing w:after="0"/>
        <w:ind w:left="1440"/>
        <w:contextualSpacing w:val="0"/>
      </w:pPr>
    </w:p>
    <w:p w:rsidR="00F854E8" w:rsidRPr="00F854E8" w:rsidP="00F31908" w14:paraId="24B20552" w14:textId="77777777">
      <w:pPr>
        <w:pStyle w:val="ListParagraph"/>
        <w:numPr>
          <w:ilvl w:val="0"/>
          <w:numId w:val="29"/>
        </w:numPr>
        <w:spacing w:after="0"/>
      </w:pPr>
      <w:r w:rsidRPr="00F854E8">
        <w:rPr>
          <w:u w:val="single"/>
        </w:rPr>
        <w:t>Working Group 3</w:t>
      </w:r>
      <w:r w:rsidRPr="00F854E8">
        <w:t xml:space="preserve">:  </w:t>
      </w:r>
      <w:r w:rsidRPr="00F854E8">
        <w:rPr>
          <w:color w:val="000000"/>
        </w:rPr>
        <w:t>Leveraging Virtualization Technology to Promote Secure, Reliable 5G Networks </w:t>
      </w:r>
    </w:p>
    <w:p w:rsidR="00F854E8" w:rsidP="00F31908" w14:paraId="3283B09F" w14:textId="368163E7">
      <w:pPr>
        <w:pStyle w:val="ListParagraph"/>
        <w:spacing w:after="0"/>
        <w:ind w:left="1440"/>
        <w:rPr>
          <w:bCs/>
          <w:i/>
          <w:iCs/>
        </w:rPr>
      </w:pPr>
      <w:r w:rsidRPr="00F854E8">
        <w:rPr>
          <w:bCs/>
          <w:i/>
          <w:iCs/>
        </w:rPr>
        <w:t xml:space="preserve">Co-chairs: Micaela </w:t>
      </w:r>
      <w:r w:rsidRPr="00F854E8">
        <w:rPr>
          <w:bCs/>
          <w:i/>
          <w:iCs/>
        </w:rPr>
        <w:t>Giuhat</w:t>
      </w:r>
      <w:r w:rsidRPr="00F854E8">
        <w:rPr>
          <w:bCs/>
          <w:i/>
          <w:iCs/>
        </w:rPr>
        <w:t xml:space="preserve">, Microsoft &amp; John </w:t>
      </w:r>
      <w:r w:rsidRPr="00F854E8">
        <w:rPr>
          <w:bCs/>
          <w:i/>
          <w:iCs/>
        </w:rPr>
        <w:t>Roese</w:t>
      </w:r>
      <w:r w:rsidRPr="00F854E8">
        <w:rPr>
          <w:bCs/>
          <w:i/>
          <w:iCs/>
        </w:rPr>
        <w:t xml:space="preserve">, Dell </w:t>
      </w:r>
    </w:p>
    <w:p w:rsidR="00F31908" w:rsidRPr="00F854E8" w:rsidP="00F31908" w14:paraId="1CE25FC6" w14:textId="77777777">
      <w:pPr>
        <w:pStyle w:val="ListParagraph"/>
        <w:spacing w:after="0"/>
        <w:ind w:left="1440"/>
      </w:pPr>
    </w:p>
    <w:p w:rsidR="00F854E8" w:rsidRPr="00F854E8" w:rsidP="00F31908" w14:paraId="29F14F9C" w14:textId="77777777">
      <w:pPr>
        <w:pStyle w:val="ListParagraph"/>
        <w:numPr>
          <w:ilvl w:val="0"/>
          <w:numId w:val="29"/>
        </w:numPr>
        <w:spacing w:after="0"/>
      </w:pPr>
      <w:r w:rsidRPr="00F854E8">
        <w:rPr>
          <w:u w:val="single"/>
        </w:rPr>
        <w:t>Working Group 4</w:t>
      </w:r>
      <w:r w:rsidRPr="00F854E8">
        <w:t xml:space="preserve">:  </w:t>
      </w:r>
      <w:r w:rsidRPr="00F854E8">
        <w:rPr>
          <w:color w:val="000000"/>
        </w:rPr>
        <w:t>911 Service Over Wi-Fi</w:t>
      </w:r>
      <w:r w:rsidRPr="00F854E8">
        <w:rPr>
          <w:b/>
          <w:bCs/>
          <w:color w:val="000000"/>
        </w:rPr>
        <w:t xml:space="preserve"> </w:t>
      </w:r>
    </w:p>
    <w:p w:rsidR="00F854E8" w:rsidP="00F31908" w14:paraId="2987E1AD" w14:textId="3380F404">
      <w:pPr>
        <w:widowControl/>
        <w:shd w:val="clear" w:color="auto" w:fill="FFFFFF"/>
        <w:spacing w:line="231" w:lineRule="atLeast"/>
        <w:ind w:left="720" w:firstLine="720"/>
        <w:rPr>
          <w:b/>
          <w:bCs/>
          <w:snapToGrid/>
          <w:kern w:val="0"/>
          <w:szCs w:val="22"/>
        </w:rPr>
      </w:pPr>
      <w:r w:rsidRPr="00F854E8">
        <w:rPr>
          <w:i/>
          <w:iCs/>
          <w:snapToGrid/>
          <w:color w:val="000000"/>
          <w:kern w:val="0"/>
          <w:szCs w:val="22"/>
        </w:rPr>
        <w:t>Co-chairs:</w:t>
      </w:r>
      <w:r w:rsidRPr="00F854E8">
        <w:rPr>
          <w:b/>
          <w:bCs/>
          <w:snapToGrid/>
          <w:color w:val="000000"/>
          <w:kern w:val="0"/>
          <w:szCs w:val="22"/>
        </w:rPr>
        <w:t> </w:t>
      </w:r>
      <w:r w:rsidRPr="00F854E8">
        <w:rPr>
          <w:i/>
          <w:iCs/>
          <w:snapToGrid/>
          <w:color w:val="000000"/>
          <w:kern w:val="0"/>
          <w:szCs w:val="22"/>
        </w:rPr>
        <w:t xml:space="preserve">Mary Boyd, </w:t>
      </w:r>
      <w:r w:rsidRPr="00F854E8">
        <w:rPr>
          <w:i/>
          <w:iCs/>
          <w:snapToGrid/>
          <w:kern w:val="0"/>
          <w:szCs w:val="22"/>
        </w:rPr>
        <w:t>Intrado</w:t>
      </w:r>
      <w:r w:rsidRPr="00F854E8">
        <w:rPr>
          <w:i/>
          <w:iCs/>
          <w:snapToGrid/>
          <w:kern w:val="0"/>
          <w:szCs w:val="22"/>
        </w:rPr>
        <w:t xml:space="preserve"> &amp; Mark Reddish, APCO</w:t>
      </w:r>
      <w:r w:rsidRPr="00F854E8">
        <w:rPr>
          <w:b/>
          <w:bCs/>
          <w:i/>
          <w:iCs/>
          <w:snapToGrid/>
          <w:kern w:val="0"/>
          <w:szCs w:val="22"/>
        </w:rPr>
        <w:t> </w:t>
      </w:r>
      <w:r w:rsidRPr="00F854E8">
        <w:rPr>
          <w:b/>
          <w:bCs/>
          <w:snapToGrid/>
          <w:kern w:val="0"/>
          <w:szCs w:val="22"/>
        </w:rPr>
        <w:t> </w:t>
      </w:r>
    </w:p>
    <w:p w:rsidR="00F31908" w:rsidRPr="00F854E8" w:rsidP="00F31908" w14:paraId="751E030F" w14:textId="77777777">
      <w:pPr>
        <w:widowControl/>
        <w:shd w:val="clear" w:color="auto" w:fill="FFFFFF"/>
        <w:spacing w:line="231" w:lineRule="atLeast"/>
        <w:ind w:left="720" w:firstLine="720"/>
        <w:rPr>
          <w:b/>
          <w:bCs/>
          <w:snapToGrid/>
          <w:color w:val="000000"/>
          <w:kern w:val="0"/>
          <w:szCs w:val="22"/>
        </w:rPr>
      </w:pPr>
    </w:p>
    <w:p w:rsidR="00F854E8" w:rsidRPr="00F854E8" w:rsidP="00F31908" w14:paraId="109956CE" w14:textId="77777777">
      <w:pPr>
        <w:pStyle w:val="ListParagraph"/>
        <w:numPr>
          <w:ilvl w:val="0"/>
          <w:numId w:val="29"/>
        </w:numPr>
        <w:spacing w:after="0"/>
      </w:pPr>
      <w:r w:rsidRPr="00F854E8">
        <w:rPr>
          <w:u w:val="single"/>
        </w:rPr>
        <w:t>Working Group 5</w:t>
      </w:r>
      <w:r w:rsidRPr="00F854E8">
        <w:t xml:space="preserve">:  </w:t>
      </w:r>
      <w:r w:rsidRPr="00F854E8">
        <w:t>Managing Software &amp; Cloud Services Supply Chain Security for Communications Infrastructure</w:t>
      </w:r>
    </w:p>
    <w:p w:rsidR="001D1906" w:rsidP="00F31908" w14:paraId="2DD0D69F" w14:textId="1B684CD7">
      <w:pPr>
        <w:pStyle w:val="ListParagraph"/>
        <w:spacing w:after="0"/>
        <w:ind w:left="1440"/>
        <w:contextualSpacing w:val="0"/>
        <w:rPr>
          <w:bCs/>
          <w:i/>
          <w:iCs/>
        </w:rPr>
      </w:pPr>
      <w:r w:rsidRPr="00F854E8">
        <w:rPr>
          <w:bCs/>
          <w:i/>
          <w:iCs/>
        </w:rPr>
        <w:t>Chair:</w:t>
      </w:r>
      <w:r w:rsidRPr="00F854E8">
        <w:rPr>
          <w:b/>
        </w:rPr>
        <w:t xml:space="preserve">  </w:t>
      </w:r>
      <w:r w:rsidRPr="00F854E8">
        <w:rPr>
          <w:bCs/>
          <w:i/>
          <w:iCs/>
        </w:rPr>
        <w:t>Rittwik</w:t>
      </w:r>
      <w:r w:rsidRPr="00F854E8">
        <w:rPr>
          <w:bCs/>
          <w:i/>
          <w:iCs/>
        </w:rPr>
        <w:t xml:space="preserve"> Jana, VMWare</w:t>
      </w:r>
    </w:p>
    <w:p w:rsidR="00F31908" w:rsidRPr="004C7FB2" w:rsidP="00F31908" w14:paraId="0B588749" w14:textId="77777777">
      <w:pPr>
        <w:pStyle w:val="ListParagraph"/>
        <w:spacing w:after="0"/>
        <w:ind w:left="1440"/>
        <w:contextualSpacing w:val="0"/>
      </w:pPr>
    </w:p>
    <w:p w:rsidR="00F854E8" w:rsidRPr="00F854E8" w:rsidP="00F31908" w14:paraId="61F5B348" w14:textId="77777777">
      <w:pPr>
        <w:pStyle w:val="ListParagraph"/>
        <w:numPr>
          <w:ilvl w:val="0"/>
          <w:numId w:val="29"/>
        </w:numPr>
        <w:spacing w:after="0"/>
      </w:pPr>
      <w:r w:rsidRPr="00F854E8">
        <w:rPr>
          <w:u w:val="single"/>
        </w:rPr>
        <w:t>Working Group 6</w:t>
      </w:r>
      <w:r w:rsidRPr="00F854E8">
        <w:t xml:space="preserve">:  </w:t>
      </w:r>
      <w:r w:rsidRPr="00F854E8">
        <w:t>Leveraging Mobile Device Applications and Firmware to Enhance Wireless Emergency Alerts</w:t>
      </w:r>
    </w:p>
    <w:p w:rsidR="00F854E8" w:rsidRPr="00F854E8" w:rsidP="00F31908" w14:paraId="3BEBB731" w14:textId="41E4C14D">
      <w:pPr>
        <w:widowControl/>
        <w:spacing w:line="254" w:lineRule="auto"/>
        <w:ind w:left="720" w:firstLine="720"/>
        <w:rPr>
          <w:rFonts w:ascii="Calibri" w:eastAsia="Calibri" w:hAnsi="Calibri" w:cs="Calibri"/>
          <w:snapToGrid/>
          <w:color w:val="000000"/>
          <w:kern w:val="0"/>
          <w:szCs w:val="22"/>
        </w:rPr>
      </w:pPr>
      <w:r w:rsidRPr="00F854E8">
        <w:rPr>
          <w:rFonts w:eastAsia="Calibri"/>
          <w:bCs/>
          <w:i/>
          <w:iCs/>
          <w:snapToGrid/>
          <w:kern w:val="0"/>
          <w:szCs w:val="22"/>
        </w:rPr>
        <w:t>Co-chairs: Farrokh Khatibi, Qualcomm &amp; Francisco Sanchez, Harris County OHSEM</w:t>
      </w:r>
    </w:p>
    <w:p w:rsidR="00F854E8" w:rsidP="00F31908" w14:paraId="08B910DC" w14:textId="77777777">
      <w:pPr>
        <w:pStyle w:val="ListParagraph"/>
        <w:spacing w:after="0"/>
        <w:ind w:left="0"/>
        <w:contextualSpacing w:val="0"/>
      </w:pPr>
    </w:p>
    <w:p w:rsidR="001D1906" w:rsidP="00F854E8" w14:paraId="127FDFDC" w14:textId="5E4AB151">
      <w:pPr>
        <w:pStyle w:val="ListParagraph"/>
        <w:spacing w:after="0"/>
        <w:ind w:left="0"/>
        <w:contextualSpacing w:val="0"/>
      </w:pPr>
      <w:r w:rsidRPr="00F854E8">
        <w:t xml:space="preserve">A full description of each working group’s task is available on the CSRIC </w:t>
      </w:r>
      <w:r w:rsidR="00F31908">
        <w:t xml:space="preserve">VIII </w:t>
      </w:r>
      <w:r w:rsidRPr="00F854E8">
        <w:t xml:space="preserve">webpage:  </w:t>
      </w:r>
      <w:hyperlink r:id="rId5" w:history="1">
        <w:r w:rsidRPr="00F01C17" w:rsidR="00F854E8">
          <w:rPr>
            <w:rStyle w:val="Hyperlink"/>
          </w:rPr>
          <w:t>https://www.fcc.gov/about-fcc/advisory-committees/communications-security-reliability-and-interoperability-council-1</w:t>
        </w:r>
      </w:hyperlink>
    </w:p>
    <w:p w:rsidR="00F854E8" w:rsidP="00F854E8" w14:paraId="2B229AD5" w14:textId="77777777">
      <w:pPr>
        <w:spacing w:after="120"/>
        <w:rPr>
          <w:szCs w:val="22"/>
        </w:rPr>
      </w:pPr>
    </w:p>
    <w:p w:rsidR="001D1906" w:rsidRPr="004C7FB2" w:rsidP="00F854E8" w14:paraId="4EBBB67E" w14:textId="53253FA1">
      <w:pPr>
        <w:spacing w:after="120"/>
        <w:rPr>
          <w:szCs w:val="22"/>
        </w:rPr>
      </w:pPr>
      <w:r>
        <w:rPr>
          <w:szCs w:val="22"/>
        </w:rPr>
        <w:t xml:space="preserve">Applications </w:t>
      </w:r>
      <w:r w:rsidRPr="004C7FB2">
        <w:rPr>
          <w:szCs w:val="22"/>
        </w:rPr>
        <w:t xml:space="preserve">for </w:t>
      </w:r>
      <w:r>
        <w:rPr>
          <w:szCs w:val="22"/>
        </w:rPr>
        <w:t>w</w:t>
      </w:r>
      <w:r w:rsidRPr="004C7FB2">
        <w:rPr>
          <w:szCs w:val="22"/>
        </w:rPr>
        <w:t xml:space="preserve">orking </w:t>
      </w:r>
      <w:r>
        <w:rPr>
          <w:szCs w:val="22"/>
        </w:rPr>
        <w:t>g</w:t>
      </w:r>
      <w:r w:rsidRPr="004C7FB2">
        <w:rPr>
          <w:szCs w:val="22"/>
        </w:rPr>
        <w:t xml:space="preserve">roup membership must be </w:t>
      </w:r>
      <w:r w:rsidRPr="006469D3">
        <w:rPr>
          <w:b/>
          <w:bCs/>
          <w:szCs w:val="22"/>
        </w:rPr>
        <w:t xml:space="preserve">submitted to </w:t>
      </w:r>
      <w:hyperlink r:id="rId6" w:history="1">
        <w:r w:rsidRPr="006469D3" w:rsidR="006469D3">
          <w:rPr>
            <w:rStyle w:val="Hyperlink"/>
            <w:b/>
            <w:bCs/>
            <w:szCs w:val="22"/>
          </w:rPr>
          <w:t>CSRIC@FCC.gov</w:t>
        </w:r>
      </w:hyperlink>
      <w:r w:rsidRPr="006469D3" w:rsidR="006469D3">
        <w:rPr>
          <w:b/>
          <w:bCs/>
          <w:szCs w:val="22"/>
        </w:rPr>
        <w:t xml:space="preserve"> </w:t>
      </w:r>
      <w:r w:rsidRPr="006469D3">
        <w:rPr>
          <w:b/>
          <w:bCs/>
          <w:szCs w:val="22"/>
        </w:rPr>
        <w:t>no later than</w:t>
      </w:r>
      <w:r w:rsidRPr="006469D3" w:rsidR="00705881">
        <w:rPr>
          <w:b/>
          <w:bCs/>
          <w:szCs w:val="22"/>
        </w:rPr>
        <w:t xml:space="preserve"> </w:t>
      </w:r>
      <w:r w:rsidR="00E8121C">
        <w:rPr>
          <w:b/>
          <w:bCs/>
          <w:szCs w:val="22"/>
        </w:rPr>
        <w:t>November 1</w:t>
      </w:r>
      <w:r w:rsidRPr="006469D3">
        <w:rPr>
          <w:b/>
          <w:bCs/>
          <w:szCs w:val="22"/>
        </w:rPr>
        <w:t>, 20</w:t>
      </w:r>
      <w:r w:rsidRPr="006469D3" w:rsidR="00705881">
        <w:rPr>
          <w:b/>
          <w:bCs/>
          <w:szCs w:val="22"/>
        </w:rPr>
        <w:t>21</w:t>
      </w:r>
      <w:r w:rsidRPr="006469D3">
        <w:rPr>
          <w:b/>
          <w:bCs/>
          <w:szCs w:val="22"/>
        </w:rPr>
        <w:t>.</w:t>
      </w:r>
      <w:r w:rsidRPr="004C7FB2">
        <w:rPr>
          <w:szCs w:val="22"/>
        </w:rPr>
        <w:t xml:space="preserve">  Procedures for submitting</w:t>
      </w:r>
      <w:r>
        <w:rPr>
          <w:szCs w:val="22"/>
        </w:rPr>
        <w:t xml:space="preserve"> applications</w:t>
      </w:r>
      <w:r w:rsidRPr="004C7FB2">
        <w:rPr>
          <w:szCs w:val="22"/>
        </w:rPr>
        <w:t xml:space="preserve"> are set forth below.</w:t>
      </w:r>
      <w:r>
        <w:rPr>
          <w:szCs w:val="22"/>
        </w:rPr>
        <w:t xml:space="preserve">  </w:t>
      </w:r>
    </w:p>
    <w:p w:rsidR="001D1906" w:rsidRPr="004C7FB2" w:rsidP="001D1906" w14:paraId="1254CE44" w14:textId="77777777">
      <w:pPr>
        <w:keepNext/>
        <w:spacing w:after="120"/>
        <w:jc w:val="center"/>
        <w:rPr>
          <w:b/>
          <w:bCs/>
          <w:szCs w:val="22"/>
        </w:rPr>
      </w:pPr>
      <w:r w:rsidRPr="004C7FB2">
        <w:rPr>
          <w:b/>
          <w:bCs/>
          <w:szCs w:val="22"/>
        </w:rPr>
        <w:t xml:space="preserve">WHO MAY APPLY FOR </w:t>
      </w:r>
      <w:r>
        <w:rPr>
          <w:b/>
          <w:bCs/>
          <w:szCs w:val="22"/>
        </w:rPr>
        <w:t xml:space="preserve">WORKING GROUP </w:t>
      </w:r>
      <w:r w:rsidRPr="004C7FB2">
        <w:rPr>
          <w:b/>
          <w:bCs/>
          <w:szCs w:val="22"/>
        </w:rPr>
        <w:t xml:space="preserve">MEMBERSHIP </w:t>
      </w:r>
    </w:p>
    <w:p w:rsidR="00F31908" w:rsidRPr="00F31908" w:rsidP="00F31908" w14:paraId="2F4E4F3A" w14:textId="43DB5171">
      <w:pPr>
        <w:rPr>
          <w:szCs w:val="22"/>
        </w:rPr>
      </w:pPr>
      <w:r w:rsidRPr="00F31908">
        <w:rPr>
          <w:szCs w:val="22"/>
        </w:rPr>
        <w:t>The Commission seeks applications from representatives of various sectors of the communications industry, representatives of state and local government agencies and organizations, and representatives of consumers and community organizations that wish to be considered for membership on the CSRIC</w:t>
      </w:r>
      <w:r w:rsidR="006469D3">
        <w:rPr>
          <w:szCs w:val="22"/>
        </w:rPr>
        <w:t xml:space="preserve"> VIII Working Groups</w:t>
      </w:r>
      <w:r w:rsidRPr="00F31908">
        <w:rPr>
          <w:szCs w:val="22"/>
        </w:rPr>
        <w:t>.  The Commission is particularly interested in receiving nominations and expressions of interest from individuals and organizations in the following categories:</w:t>
      </w:r>
    </w:p>
    <w:p w:rsidR="00F31908" w:rsidRPr="00F31908" w:rsidP="00F31908" w14:paraId="6A423417" w14:textId="77777777">
      <w:pPr>
        <w:jc w:val="center"/>
        <w:rPr>
          <w:szCs w:val="22"/>
        </w:rPr>
      </w:pPr>
    </w:p>
    <w:p w:rsidR="00F31908" w:rsidRPr="00F31908" w:rsidP="00F31908" w14:paraId="08D55643" w14:textId="77777777">
      <w:pPr>
        <w:numPr>
          <w:ilvl w:val="0"/>
          <w:numId w:val="26"/>
        </w:numPr>
        <w:rPr>
          <w:szCs w:val="22"/>
        </w:rPr>
      </w:pPr>
      <w:r w:rsidRPr="00F31908">
        <w:rPr>
          <w:bCs/>
          <w:szCs w:val="22"/>
        </w:rPr>
        <w:t xml:space="preserve">State, tribal, territorial and/or local government agencies and organizations with expertise in communications, public safety, emergency management and/or homeland security matters; </w:t>
      </w:r>
    </w:p>
    <w:p w:rsidR="00F31908" w:rsidRPr="00F31908" w:rsidP="00F31908" w14:paraId="7B5AFE23" w14:textId="77777777">
      <w:pPr>
        <w:numPr>
          <w:ilvl w:val="0"/>
          <w:numId w:val="26"/>
        </w:numPr>
        <w:rPr>
          <w:szCs w:val="22"/>
        </w:rPr>
      </w:pPr>
      <w:bookmarkStart w:id="0" w:name="_Hlk69204824"/>
      <w:r w:rsidRPr="00F31908">
        <w:rPr>
          <w:bCs/>
          <w:szCs w:val="22"/>
        </w:rPr>
        <w:t xml:space="preserve">Federal government agencies with expertise in communications, public safety, emergency management and/or homeland security matters; </w:t>
      </w:r>
    </w:p>
    <w:bookmarkEnd w:id="0"/>
    <w:p w:rsidR="00F31908" w:rsidRPr="00F31908" w:rsidP="00F31908" w14:paraId="6CD46E96" w14:textId="77777777">
      <w:pPr>
        <w:numPr>
          <w:ilvl w:val="0"/>
          <w:numId w:val="26"/>
        </w:numPr>
        <w:rPr>
          <w:szCs w:val="22"/>
        </w:rPr>
      </w:pPr>
      <w:r w:rsidRPr="00F31908">
        <w:rPr>
          <w:bCs/>
          <w:szCs w:val="22"/>
        </w:rPr>
        <w:t xml:space="preserve">Communications service providers and/or industry organizations representing communications service providers (to include representation by different types of communications provider interests, e.g., wireless, wireless, broadcast radio and television, and by including representation by smaller and rural providers); </w:t>
      </w:r>
    </w:p>
    <w:p w:rsidR="00F31908" w:rsidRPr="00F31908" w:rsidP="00F31908" w14:paraId="2CA363A9" w14:textId="77777777">
      <w:pPr>
        <w:numPr>
          <w:ilvl w:val="0"/>
          <w:numId w:val="26"/>
        </w:numPr>
        <w:rPr>
          <w:szCs w:val="22"/>
        </w:rPr>
      </w:pPr>
      <w:r w:rsidRPr="00F31908">
        <w:rPr>
          <w:bCs/>
          <w:szCs w:val="22"/>
        </w:rPr>
        <w:t xml:space="preserve">Developers of software applications and operating systems for mobile and desktop computing devices; </w:t>
      </w:r>
    </w:p>
    <w:p w:rsidR="00F31908" w:rsidRPr="00F31908" w:rsidP="00F31908" w14:paraId="133304EB" w14:textId="77777777">
      <w:pPr>
        <w:numPr>
          <w:ilvl w:val="0"/>
          <w:numId w:val="26"/>
        </w:numPr>
        <w:rPr>
          <w:szCs w:val="22"/>
        </w:rPr>
      </w:pPr>
      <w:r w:rsidRPr="00F31908">
        <w:rPr>
          <w:bCs/>
          <w:szCs w:val="22"/>
        </w:rPr>
        <w:t xml:space="preserve">Developers of mobile devices; </w:t>
      </w:r>
    </w:p>
    <w:p w:rsidR="00F31908" w:rsidRPr="00F31908" w:rsidP="00F31908" w14:paraId="27505987" w14:textId="77777777">
      <w:pPr>
        <w:numPr>
          <w:ilvl w:val="0"/>
          <w:numId w:val="26"/>
        </w:numPr>
        <w:rPr>
          <w:szCs w:val="22"/>
        </w:rPr>
      </w:pPr>
      <w:r w:rsidRPr="00F31908">
        <w:rPr>
          <w:bCs/>
          <w:szCs w:val="22"/>
        </w:rPr>
        <w:t xml:space="preserve">Developers of new technologies; </w:t>
      </w:r>
    </w:p>
    <w:p w:rsidR="00F31908" w:rsidRPr="00F31908" w:rsidP="00F31908" w14:paraId="508765AF" w14:textId="77777777">
      <w:pPr>
        <w:numPr>
          <w:ilvl w:val="0"/>
          <w:numId w:val="26"/>
        </w:numPr>
        <w:rPr>
          <w:szCs w:val="22"/>
        </w:rPr>
      </w:pPr>
      <w:r w:rsidRPr="00F31908">
        <w:rPr>
          <w:bCs/>
          <w:szCs w:val="22"/>
        </w:rPr>
        <w:t>Organizations and other entities representing users of communications systems, such as organizations representing the business, finance, energy, education, health care, and similar sectors;</w:t>
      </w:r>
    </w:p>
    <w:p w:rsidR="00F31908" w:rsidRPr="00F31908" w:rsidP="00F31908" w14:paraId="7554DC03" w14:textId="77777777">
      <w:pPr>
        <w:numPr>
          <w:ilvl w:val="0"/>
          <w:numId w:val="26"/>
        </w:numPr>
        <w:rPr>
          <w:szCs w:val="22"/>
        </w:rPr>
      </w:pPr>
      <w:r w:rsidRPr="00F31908">
        <w:rPr>
          <w:bCs/>
          <w:szCs w:val="22"/>
        </w:rPr>
        <w:t>Consumer or community organizations, such as those representing people with disabilities, the elderly, those living in rural areas, and those representing populations that speak, as their primary language, languages other than English; and</w:t>
      </w:r>
    </w:p>
    <w:p w:rsidR="00F31908" w:rsidRPr="00F31908" w:rsidP="00F31908" w14:paraId="53895F71" w14:textId="77777777">
      <w:pPr>
        <w:numPr>
          <w:ilvl w:val="0"/>
          <w:numId w:val="26"/>
        </w:numPr>
        <w:rPr>
          <w:szCs w:val="22"/>
        </w:rPr>
      </w:pPr>
      <w:r w:rsidRPr="00F31908">
        <w:rPr>
          <w:bCs/>
          <w:szCs w:val="22"/>
        </w:rPr>
        <w:t>Qualified representatives of other stakeholders and interested parties with relevant expertise regarding the subject matter.</w:t>
      </w:r>
    </w:p>
    <w:p w:rsidR="00F31908" w:rsidRPr="00F31908" w:rsidP="00F31908" w14:paraId="581F51BC" w14:textId="77777777">
      <w:pPr>
        <w:rPr>
          <w:bCs/>
          <w:szCs w:val="22"/>
        </w:rPr>
      </w:pPr>
    </w:p>
    <w:p w:rsidR="00F31908" w:rsidP="000B0FD1" w14:paraId="448F716A" w14:textId="4825A432">
      <w:pPr>
        <w:spacing w:after="120"/>
        <w:rPr>
          <w:snapToGrid/>
          <w:color w:val="010101"/>
          <w:kern w:val="0"/>
          <w:szCs w:val="22"/>
        </w:rPr>
      </w:pPr>
      <w:r w:rsidRPr="000B0FD1">
        <w:rPr>
          <w:snapToGrid/>
          <w:kern w:val="0"/>
          <w:szCs w:val="22"/>
        </w:rPr>
        <w:t>As appropriate, the Commission may also appoint individuals to working groups as “Special Government Employees” (SGEs) based on their individual expertise.</w:t>
      </w:r>
      <w:r>
        <w:rPr>
          <w:snapToGrid/>
          <w:kern w:val="0"/>
          <w:sz w:val="20"/>
          <w:szCs w:val="22"/>
          <w:vertAlign w:val="superscript"/>
        </w:rPr>
        <w:footnoteReference w:id="5"/>
      </w:r>
      <w:r w:rsidRPr="000B0FD1">
        <w:rPr>
          <w:snapToGrid/>
          <w:kern w:val="0"/>
          <w:szCs w:val="22"/>
        </w:rPr>
        <w:t xml:space="preserve">  Member selection will seek to balance the expertise and viewpoints necessary to effectively address the issues assigned to each working group.  Applicants seeking to serve on a working group in an individual capacity as SGEs may not be registered federal lobbyists.  The Commission will not compensate w</w:t>
      </w:r>
      <w:r w:rsidRPr="000B0FD1">
        <w:rPr>
          <w:snapToGrid/>
          <w:color w:val="010101"/>
          <w:kern w:val="0"/>
          <w:szCs w:val="22"/>
        </w:rPr>
        <w:t>orking group members for their service and will not pay travel or other expenses.</w:t>
      </w:r>
    </w:p>
    <w:p w:rsidR="00077432" w14:paraId="6718DF90" w14:textId="541D9EBA">
      <w:pPr>
        <w:widowControl/>
        <w:rPr>
          <w:snapToGrid/>
          <w:color w:val="010101"/>
          <w:kern w:val="0"/>
          <w:szCs w:val="22"/>
        </w:rPr>
      </w:pPr>
      <w:r>
        <w:rPr>
          <w:snapToGrid/>
          <w:color w:val="010101"/>
          <w:kern w:val="0"/>
          <w:szCs w:val="22"/>
        </w:rPr>
        <w:br w:type="page"/>
      </w:r>
    </w:p>
    <w:p w:rsidR="00F31908" w:rsidRPr="00F31908" w:rsidP="00F31908" w14:paraId="178079FB" w14:textId="77777777">
      <w:pPr>
        <w:jc w:val="center"/>
        <w:rPr>
          <w:b/>
          <w:bCs/>
          <w:szCs w:val="22"/>
        </w:rPr>
      </w:pPr>
      <w:r w:rsidRPr="00F31908">
        <w:rPr>
          <w:b/>
          <w:bCs/>
          <w:szCs w:val="22"/>
        </w:rPr>
        <w:t>APPLICATION PROCEDURE, DEADLINE, AND MEMBER APPOINTMENTS</w:t>
      </w:r>
    </w:p>
    <w:p w:rsidR="00F31908" w:rsidRPr="00F31908" w:rsidP="00F31908" w14:paraId="36D44609" w14:textId="77777777">
      <w:pPr>
        <w:jc w:val="center"/>
        <w:rPr>
          <w:szCs w:val="22"/>
        </w:rPr>
      </w:pPr>
      <w:r w:rsidRPr="00F31908">
        <w:rPr>
          <w:b/>
          <w:bCs/>
          <w:szCs w:val="22"/>
        </w:rPr>
        <w:tab/>
      </w:r>
    </w:p>
    <w:p w:rsidR="00F31908" w:rsidRPr="00F31908" w:rsidP="00F31908" w14:paraId="088F956C" w14:textId="77777777">
      <w:pPr>
        <w:rPr>
          <w:szCs w:val="22"/>
          <w:u w:val="single"/>
        </w:rPr>
      </w:pPr>
      <w:r w:rsidRPr="00F31908">
        <w:rPr>
          <w:szCs w:val="22"/>
          <w:u w:val="single"/>
        </w:rPr>
        <w:t xml:space="preserve">Organizational Applicants  </w:t>
      </w:r>
    </w:p>
    <w:p w:rsidR="00F31908" w:rsidRPr="00F31908" w:rsidP="00F31908" w14:paraId="07641506" w14:textId="77777777">
      <w:pPr>
        <w:rPr>
          <w:szCs w:val="22"/>
        </w:rPr>
      </w:pPr>
      <w:r w:rsidRPr="00F31908">
        <w:rPr>
          <w:szCs w:val="22"/>
        </w:rPr>
        <w:tab/>
      </w:r>
    </w:p>
    <w:p w:rsidR="00F31908" w:rsidRPr="00F31908" w:rsidP="00F31908" w14:paraId="258730EB" w14:textId="20F1C57B">
      <w:pPr>
        <w:rPr>
          <w:szCs w:val="22"/>
        </w:rPr>
      </w:pPr>
      <w:r w:rsidRPr="00F31908">
        <w:rPr>
          <w:szCs w:val="22"/>
        </w:rPr>
        <w:t>Applications from nonprofit organizations, corporations, or other entities (“organizational applicants”) should include the following:</w:t>
      </w:r>
    </w:p>
    <w:p w:rsidR="00F31908" w:rsidRPr="00F31908" w:rsidP="00F31908" w14:paraId="4E6C6184" w14:textId="77777777">
      <w:pPr>
        <w:rPr>
          <w:szCs w:val="22"/>
        </w:rPr>
      </w:pPr>
    </w:p>
    <w:p w:rsidR="00F31908" w:rsidRPr="00F31908" w:rsidP="00F31908" w14:paraId="2EE5DCFF" w14:textId="64E5EA5B">
      <w:pPr>
        <w:numPr>
          <w:ilvl w:val="0"/>
          <w:numId w:val="7"/>
        </w:numPr>
        <w:rPr>
          <w:szCs w:val="22"/>
        </w:rPr>
      </w:pPr>
      <w:r w:rsidRPr="00F31908">
        <w:rPr>
          <w:szCs w:val="22"/>
        </w:rPr>
        <w:t>Name, title, and organization of the nominee and a description of the organization, sector or other interest the nominee will represent</w:t>
      </w:r>
      <w:r w:rsidR="006469D3">
        <w:rPr>
          <w:szCs w:val="22"/>
        </w:rPr>
        <w:t xml:space="preserve"> on the Working Group</w:t>
      </w:r>
      <w:r w:rsidRPr="00F31908">
        <w:rPr>
          <w:szCs w:val="22"/>
        </w:rPr>
        <w:t>;</w:t>
      </w:r>
    </w:p>
    <w:p w:rsidR="00F31908" w:rsidRPr="00F31908" w:rsidP="00F31908" w14:paraId="435BE686" w14:textId="77777777">
      <w:pPr>
        <w:numPr>
          <w:ilvl w:val="0"/>
          <w:numId w:val="7"/>
        </w:numPr>
        <w:rPr>
          <w:szCs w:val="22"/>
        </w:rPr>
      </w:pPr>
      <w:r w:rsidRPr="00F31908">
        <w:rPr>
          <w:szCs w:val="22"/>
        </w:rPr>
        <w:t>Nominee’s mailing address, e-mail address, and telephone number;</w:t>
      </w:r>
    </w:p>
    <w:p w:rsidR="00F31908" w:rsidRPr="00F31908" w:rsidP="00F31908" w14:paraId="37A76BE3" w14:textId="7F4E9175">
      <w:pPr>
        <w:numPr>
          <w:ilvl w:val="0"/>
          <w:numId w:val="7"/>
        </w:numPr>
        <w:rPr>
          <w:szCs w:val="22"/>
        </w:rPr>
      </w:pPr>
      <w:r w:rsidRPr="00F31908">
        <w:rPr>
          <w:szCs w:val="22"/>
        </w:rPr>
        <w:t xml:space="preserve">A statement summarizing the nominee’s qualifications and reasons why the nominee should be appointed to the </w:t>
      </w:r>
      <w:r w:rsidR="006469D3">
        <w:rPr>
          <w:szCs w:val="22"/>
        </w:rPr>
        <w:t>Working Group</w:t>
      </w:r>
      <w:r w:rsidRPr="00F31908">
        <w:rPr>
          <w:szCs w:val="22"/>
        </w:rPr>
        <w:t>; and</w:t>
      </w:r>
    </w:p>
    <w:p w:rsidR="00F31908" w:rsidRPr="00F31908" w:rsidP="00F31908" w14:paraId="2CE2A8B3" w14:textId="01C75B49">
      <w:pPr>
        <w:numPr>
          <w:ilvl w:val="0"/>
          <w:numId w:val="7"/>
        </w:numPr>
        <w:rPr>
          <w:szCs w:val="22"/>
        </w:rPr>
      </w:pPr>
      <w:r w:rsidRPr="00F31908">
        <w:rPr>
          <w:szCs w:val="22"/>
        </w:rPr>
        <w:t xml:space="preserve">A statement, if the nominee will represent a specific organization, describing the organization as well as the benefit of having the organization represented on the </w:t>
      </w:r>
      <w:r w:rsidR="006469D3">
        <w:rPr>
          <w:szCs w:val="22"/>
        </w:rPr>
        <w:t>Working Group</w:t>
      </w:r>
      <w:r w:rsidRPr="00F31908">
        <w:rPr>
          <w:szCs w:val="22"/>
        </w:rPr>
        <w:t>.</w:t>
      </w:r>
    </w:p>
    <w:p w:rsidR="00F31908" w:rsidRPr="00F31908" w:rsidP="00F31908" w14:paraId="0E6EAE93" w14:textId="77777777">
      <w:pPr>
        <w:rPr>
          <w:szCs w:val="22"/>
        </w:rPr>
      </w:pPr>
    </w:p>
    <w:p w:rsidR="00F31908" w:rsidRPr="00F31908" w:rsidP="00F31908" w14:paraId="472C052F" w14:textId="760CB057">
      <w:pPr>
        <w:rPr>
          <w:szCs w:val="22"/>
        </w:rPr>
      </w:pPr>
      <w:r w:rsidRPr="00F31908">
        <w:rPr>
          <w:szCs w:val="22"/>
        </w:rPr>
        <w:tab/>
        <w:t xml:space="preserve">For applicants seeking to represent an organization or company, the applicant’s nomination to the </w:t>
      </w:r>
      <w:r w:rsidR="00DB236C">
        <w:rPr>
          <w:szCs w:val="22"/>
        </w:rPr>
        <w:t>Working Group</w:t>
      </w:r>
      <w:r w:rsidRPr="00F31908">
        <w:rPr>
          <w:szCs w:val="22"/>
        </w:rPr>
        <w:t xml:space="preserve"> must be accompanied by confirmation on the following two (2) issues:</w:t>
      </w:r>
    </w:p>
    <w:p w:rsidR="00F31908" w:rsidRPr="00F31908" w:rsidP="00F31908" w14:paraId="7ECFB65C" w14:textId="77777777">
      <w:pPr>
        <w:rPr>
          <w:szCs w:val="22"/>
        </w:rPr>
      </w:pPr>
    </w:p>
    <w:p w:rsidR="00F31908" w:rsidRPr="00F31908" w:rsidP="00F31908" w14:paraId="0193E2E8" w14:textId="4D36E73F">
      <w:pPr>
        <w:numPr>
          <w:ilvl w:val="0"/>
          <w:numId w:val="28"/>
        </w:numPr>
        <w:rPr>
          <w:szCs w:val="22"/>
        </w:rPr>
      </w:pPr>
      <w:r w:rsidRPr="00F31908">
        <w:rPr>
          <w:szCs w:val="22"/>
        </w:rPr>
        <w:t xml:space="preserve">The nomination must be </w:t>
      </w:r>
      <w:r w:rsidR="00083CE9">
        <w:rPr>
          <w:szCs w:val="22"/>
        </w:rPr>
        <w:t xml:space="preserve">accompanied by </w:t>
      </w:r>
      <w:r w:rsidRPr="00F31908">
        <w:rPr>
          <w:szCs w:val="22"/>
        </w:rPr>
        <w:t>confirm</w:t>
      </w:r>
      <w:r w:rsidR="00083CE9">
        <w:rPr>
          <w:szCs w:val="22"/>
        </w:rPr>
        <w:t>ation</w:t>
      </w:r>
      <w:r w:rsidRPr="00F31908">
        <w:rPr>
          <w:szCs w:val="22"/>
        </w:rPr>
        <w:t xml:space="preserve"> by an authorized person (</w:t>
      </w:r>
      <w:r w:rsidRPr="00F31908">
        <w:rPr>
          <w:i/>
          <w:iCs/>
          <w:szCs w:val="22"/>
        </w:rPr>
        <w:t>e.g.</w:t>
      </w:r>
      <w:r w:rsidRPr="00F31908">
        <w:rPr>
          <w:szCs w:val="22"/>
        </w:rPr>
        <w:t xml:space="preserve">, organization or company official) that such organization or company supports the nominated person to represent it on the </w:t>
      </w:r>
      <w:r w:rsidR="00DB236C">
        <w:rPr>
          <w:szCs w:val="22"/>
        </w:rPr>
        <w:t>Working Group</w:t>
      </w:r>
      <w:r w:rsidRPr="00F31908">
        <w:rPr>
          <w:szCs w:val="22"/>
        </w:rPr>
        <w:t>.  The nominating official must possess the executive authority or hold a sufficiently high-level position within the organization or company to select a representative whose actions will be legally binding on the organization or company. For example, this confirmation may be in the following format:</w:t>
      </w:r>
    </w:p>
    <w:p w:rsidR="00F31908" w:rsidRPr="00F31908" w:rsidP="00F31908" w14:paraId="21749EF2" w14:textId="77777777">
      <w:pPr>
        <w:rPr>
          <w:szCs w:val="22"/>
        </w:rPr>
      </w:pPr>
    </w:p>
    <w:p w:rsidR="00F31908" w:rsidP="006469D3" w14:paraId="12027A64" w14:textId="3F83B806">
      <w:pPr>
        <w:ind w:left="720"/>
        <w:rPr>
          <w:szCs w:val="22"/>
        </w:rPr>
      </w:pPr>
      <w:r w:rsidRPr="00F31908">
        <w:rPr>
          <w:szCs w:val="22"/>
        </w:rPr>
        <w:t xml:space="preserve">“I am [insert official’s name], the [insert official’s title] at the [insert name of organization - </w:t>
      </w:r>
      <w:r w:rsidRPr="00F31908">
        <w:rPr>
          <w:i/>
          <w:iCs/>
          <w:szCs w:val="22"/>
        </w:rPr>
        <w:t>e.g.</w:t>
      </w:r>
      <w:r w:rsidRPr="00F31908">
        <w:rPr>
          <w:szCs w:val="22"/>
        </w:rPr>
        <w:t xml:space="preserve">, company, government entity, trade association, </w:t>
      </w:r>
      <w:r w:rsidRPr="00F31908">
        <w:rPr>
          <w:i/>
          <w:iCs/>
          <w:szCs w:val="22"/>
        </w:rPr>
        <w:t>etc.</w:t>
      </w:r>
      <w:r w:rsidRPr="00F31908">
        <w:rPr>
          <w:szCs w:val="22"/>
        </w:rPr>
        <w:t xml:space="preserve">], with responsibilities for [concise description of position]. My organization supports [insert proposed member’s name], who is currently [an employee of/consultant/attorney to the company], to serve as our representative on </w:t>
      </w:r>
      <w:r w:rsidR="006469D3">
        <w:rPr>
          <w:szCs w:val="22"/>
        </w:rPr>
        <w:t xml:space="preserve">Working Group [NUMBER] of </w:t>
      </w:r>
      <w:r w:rsidRPr="00F31908">
        <w:rPr>
          <w:szCs w:val="22"/>
        </w:rPr>
        <w:t xml:space="preserve">the Commission’s Communications Security, Reliability, and Interoperability Council.” </w:t>
      </w:r>
    </w:p>
    <w:p w:rsidR="006469D3" w:rsidRPr="00F31908" w:rsidP="00F31908" w14:paraId="3B378D01" w14:textId="77777777">
      <w:pPr>
        <w:rPr>
          <w:szCs w:val="22"/>
        </w:rPr>
      </w:pPr>
    </w:p>
    <w:p w:rsidR="00F31908" w:rsidP="00F31908" w14:paraId="041E1075" w14:textId="15BAC802">
      <w:pPr>
        <w:numPr>
          <w:ilvl w:val="0"/>
          <w:numId w:val="28"/>
        </w:numPr>
        <w:rPr>
          <w:szCs w:val="22"/>
        </w:rPr>
      </w:pPr>
      <w:r w:rsidRPr="00F31908">
        <w:rPr>
          <w:szCs w:val="22"/>
        </w:rPr>
        <w:t xml:space="preserve">For applicants seeking to represent an entity that is </w:t>
      </w:r>
      <w:r w:rsidRPr="00077432">
        <w:rPr>
          <w:szCs w:val="22"/>
        </w:rPr>
        <w:t>a</w:t>
      </w:r>
      <w:r w:rsidRPr="00077432" w:rsidR="00077432">
        <w:rPr>
          <w:szCs w:val="22"/>
        </w:rPr>
        <w:t xml:space="preserve"> </w:t>
      </w:r>
      <w:r w:rsidRPr="00077432">
        <w:rPr>
          <w:szCs w:val="22"/>
        </w:rPr>
        <w:t>p</w:t>
      </w:r>
      <w:r w:rsidRPr="00F31908">
        <w:rPr>
          <w:szCs w:val="22"/>
        </w:rPr>
        <w:t xml:space="preserve">arty to an FCC contract or subcontract </w:t>
      </w:r>
      <w:r w:rsidRPr="00077432">
        <w:t>or providing services for the benefit of the FCC under contract or subcontract</w:t>
      </w:r>
      <w:r w:rsidRPr="00F31908">
        <w:rPr>
          <w:szCs w:val="22"/>
        </w:rPr>
        <w:t>,</w:t>
      </w:r>
      <w:r w:rsidRPr="00F31908">
        <w:rPr>
          <w:b/>
          <w:bCs/>
          <w:szCs w:val="22"/>
        </w:rPr>
        <w:t xml:space="preserve"> </w:t>
      </w:r>
      <w:r w:rsidR="00F96A6A">
        <w:rPr>
          <w:b/>
          <w:bCs/>
          <w:szCs w:val="22"/>
        </w:rPr>
        <w:t xml:space="preserve">or in the case of any applicant who is individually a party to such a contract or providing services for the benefit of the FCC under such a contract, </w:t>
      </w:r>
      <w:r w:rsidRPr="00F31908">
        <w:rPr>
          <w:szCs w:val="22"/>
        </w:rPr>
        <w:t xml:space="preserve">the nomination must include the following: 1) a general description of the contract/agreement; 2) a description of the product/services that the applicant provides pursuant to the contract/agreement; 3) a list of all parties to the contract/agreement; 4) the name of the Commission contracting officer (if known); and 5) a certification of the applicant that the applicant has provided written notice to the contracting officer and the FCC Manager, Contracts and Purchasing Center, that the applicant or representative nominee, as applicable, has applied for membership on </w:t>
      </w:r>
      <w:r w:rsidR="002107FF">
        <w:rPr>
          <w:szCs w:val="22"/>
        </w:rPr>
        <w:t xml:space="preserve">a Working Group of </w:t>
      </w:r>
      <w:r w:rsidRPr="00F31908">
        <w:rPr>
          <w:szCs w:val="22"/>
        </w:rPr>
        <w:t>the Commission’s Communications Security, Reliability, and Interoperability Council.</w:t>
      </w:r>
    </w:p>
    <w:p w:rsidR="006469D3" w:rsidRPr="00F31908" w:rsidP="006469D3" w14:paraId="73F212D5" w14:textId="77777777">
      <w:pPr>
        <w:ind w:left="720"/>
        <w:rPr>
          <w:szCs w:val="22"/>
        </w:rPr>
      </w:pPr>
    </w:p>
    <w:p w:rsidR="00F31908" w:rsidRPr="00F31908" w:rsidP="00F31908" w14:paraId="106A043A" w14:textId="77777777">
      <w:pPr>
        <w:rPr>
          <w:bCs/>
          <w:szCs w:val="22"/>
          <w:u w:val="single"/>
        </w:rPr>
      </w:pPr>
      <w:r w:rsidRPr="00F31908">
        <w:rPr>
          <w:bCs/>
          <w:szCs w:val="22"/>
          <w:u w:val="single"/>
        </w:rPr>
        <w:t>Individual Applicants</w:t>
      </w:r>
    </w:p>
    <w:p w:rsidR="00F31908" w:rsidRPr="00F31908" w:rsidP="00F31908" w14:paraId="4E30EB3D" w14:textId="77777777">
      <w:pPr>
        <w:rPr>
          <w:szCs w:val="22"/>
        </w:rPr>
      </w:pPr>
    </w:p>
    <w:p w:rsidR="00F31908" w:rsidRPr="00F31908" w:rsidP="00F31908" w14:paraId="45BD7444" w14:textId="29BF0A10">
      <w:pPr>
        <w:rPr>
          <w:szCs w:val="22"/>
        </w:rPr>
      </w:pPr>
      <w:r w:rsidRPr="00F31908">
        <w:rPr>
          <w:szCs w:val="22"/>
        </w:rPr>
        <w:t>Applications from individual applicants who would serve as SGEs, as defined above, should include the following:</w:t>
      </w:r>
    </w:p>
    <w:p w:rsidR="00F31908" w:rsidRPr="00F31908" w:rsidP="00F31908" w14:paraId="1022227B" w14:textId="77777777">
      <w:pPr>
        <w:rPr>
          <w:szCs w:val="22"/>
        </w:rPr>
      </w:pPr>
    </w:p>
    <w:p w:rsidR="00F31908" w:rsidRPr="00F31908" w:rsidP="00F31908" w14:paraId="089190FE" w14:textId="77777777">
      <w:pPr>
        <w:numPr>
          <w:ilvl w:val="0"/>
          <w:numId w:val="27"/>
        </w:numPr>
        <w:tabs>
          <w:tab w:val="left" w:pos="720"/>
        </w:tabs>
        <w:rPr>
          <w:szCs w:val="22"/>
        </w:rPr>
      </w:pPr>
      <w:r w:rsidRPr="00F31908">
        <w:rPr>
          <w:szCs w:val="22"/>
        </w:rPr>
        <w:t xml:space="preserve">Name, title, and organization of the nominee and a description of the interest the nominee will </w:t>
      </w:r>
      <w:r w:rsidRPr="00F31908">
        <w:rPr>
          <w:szCs w:val="22"/>
        </w:rPr>
        <w:t>represent;</w:t>
      </w:r>
    </w:p>
    <w:p w:rsidR="00F31908" w:rsidRPr="00F31908" w:rsidP="00F31908" w14:paraId="53741E9D" w14:textId="77777777">
      <w:pPr>
        <w:numPr>
          <w:ilvl w:val="0"/>
          <w:numId w:val="27"/>
        </w:numPr>
        <w:tabs>
          <w:tab w:val="left" w:pos="720"/>
        </w:tabs>
        <w:rPr>
          <w:szCs w:val="22"/>
        </w:rPr>
      </w:pPr>
      <w:r w:rsidRPr="00F31908">
        <w:rPr>
          <w:szCs w:val="22"/>
        </w:rPr>
        <w:t>Nominee’s mailing address, e-mail address, and telephone number;</w:t>
      </w:r>
    </w:p>
    <w:p w:rsidR="00F31908" w:rsidRPr="00F31908" w:rsidP="00F31908" w14:paraId="28C74BAC" w14:textId="1154C28D">
      <w:pPr>
        <w:numPr>
          <w:ilvl w:val="0"/>
          <w:numId w:val="27"/>
        </w:numPr>
        <w:tabs>
          <w:tab w:val="left" w:pos="720"/>
        </w:tabs>
        <w:rPr>
          <w:szCs w:val="22"/>
        </w:rPr>
      </w:pPr>
      <w:r w:rsidRPr="00F31908">
        <w:rPr>
          <w:szCs w:val="22"/>
        </w:rPr>
        <w:t xml:space="preserve">A statement summarizing the nominee’s qualifications and reasons why the nominee should be appointed to the </w:t>
      </w:r>
      <w:r w:rsidR="00DB236C">
        <w:rPr>
          <w:szCs w:val="22"/>
        </w:rPr>
        <w:t>Working Group</w:t>
      </w:r>
      <w:r w:rsidRPr="00F31908">
        <w:rPr>
          <w:szCs w:val="22"/>
        </w:rPr>
        <w:t>; and</w:t>
      </w:r>
    </w:p>
    <w:p w:rsidR="00F31908" w:rsidRPr="00F31908" w:rsidP="00F31908" w14:paraId="00AEC8C6" w14:textId="77777777">
      <w:pPr>
        <w:numPr>
          <w:ilvl w:val="0"/>
          <w:numId w:val="27"/>
        </w:numPr>
        <w:tabs>
          <w:tab w:val="left" w:pos="720"/>
        </w:tabs>
        <w:rPr>
          <w:szCs w:val="22"/>
        </w:rPr>
      </w:pPr>
      <w:r w:rsidRPr="00F31908">
        <w:rPr>
          <w:szCs w:val="22"/>
        </w:rPr>
        <w:t xml:space="preserve">A statement that the individual applicant is not a registered federal lobbyist (as noted above, financial and other additional disclosures may also apply to individual applicants).  </w:t>
      </w:r>
    </w:p>
    <w:p w:rsidR="00F31908" w:rsidRPr="00F31908" w:rsidP="00F31908" w14:paraId="4C590BC0" w14:textId="77777777">
      <w:pPr>
        <w:rPr>
          <w:szCs w:val="22"/>
        </w:rPr>
      </w:pPr>
    </w:p>
    <w:p w:rsidR="00F31908" w:rsidRPr="00F31908" w:rsidP="00F31908" w14:paraId="0F24AAF5" w14:textId="3C5B0275">
      <w:pPr>
        <w:rPr>
          <w:szCs w:val="22"/>
        </w:rPr>
      </w:pPr>
      <w:r w:rsidRPr="00F31908">
        <w:rPr>
          <w:szCs w:val="22"/>
        </w:rPr>
        <w:t xml:space="preserve">Please note this </w:t>
      </w:r>
      <w:r w:rsidRPr="00F31908">
        <w:rPr>
          <w:i/>
          <w:szCs w:val="22"/>
        </w:rPr>
        <w:t>Public Notice</w:t>
      </w:r>
      <w:r w:rsidRPr="00F31908">
        <w:rPr>
          <w:szCs w:val="22"/>
        </w:rPr>
        <w:t xml:space="preserve"> is not intended to be the exclusive method by which the Commission will solicit nominations to identify qualified candidates; however, all candidates for membership on the </w:t>
      </w:r>
      <w:r w:rsidR="006469D3">
        <w:rPr>
          <w:szCs w:val="22"/>
        </w:rPr>
        <w:t xml:space="preserve">CSRIC VIII Working Groups </w:t>
      </w:r>
      <w:r w:rsidRPr="00F31908">
        <w:rPr>
          <w:szCs w:val="22"/>
        </w:rPr>
        <w:t>will be subject to the same evaluation criteria.</w:t>
      </w:r>
    </w:p>
    <w:p w:rsidR="00F31908" w:rsidRPr="00F31908" w:rsidP="00F31908" w14:paraId="0CBF2EA8" w14:textId="77777777">
      <w:pPr>
        <w:rPr>
          <w:szCs w:val="22"/>
        </w:rPr>
      </w:pPr>
    </w:p>
    <w:p w:rsidR="00F31908" w:rsidRPr="00F31908" w:rsidP="00F31908" w14:paraId="1D6D989B" w14:textId="486F1142">
      <w:pPr>
        <w:rPr>
          <w:b/>
          <w:bCs/>
          <w:szCs w:val="22"/>
        </w:rPr>
      </w:pPr>
      <w:r w:rsidRPr="00F31908">
        <w:rPr>
          <w:b/>
          <w:bCs/>
          <w:szCs w:val="22"/>
        </w:rPr>
        <w:tab/>
        <w:t xml:space="preserve">All nominations, including the requisite statements listed above, should be submitted by e-mail to </w:t>
      </w:r>
      <w:hyperlink r:id="rId6" w:history="1">
        <w:r w:rsidRPr="00F31908">
          <w:rPr>
            <w:rStyle w:val="Hyperlink"/>
            <w:b/>
            <w:bCs/>
            <w:szCs w:val="22"/>
          </w:rPr>
          <w:t>CSRIC@fcc.gov</w:t>
        </w:r>
      </w:hyperlink>
      <w:r w:rsidRPr="00F31908">
        <w:rPr>
          <w:b/>
          <w:bCs/>
          <w:szCs w:val="22"/>
        </w:rPr>
        <w:t xml:space="preserve">, and should be received by the Commission as soon as possible, but no later </w:t>
      </w:r>
      <w:r w:rsidR="003B3D03">
        <w:rPr>
          <w:b/>
          <w:bCs/>
          <w:szCs w:val="22"/>
        </w:rPr>
        <w:t xml:space="preserve">than </w:t>
      </w:r>
      <w:r w:rsidR="00E8121C">
        <w:rPr>
          <w:b/>
          <w:bCs/>
          <w:szCs w:val="22"/>
        </w:rPr>
        <w:t>November 1</w:t>
      </w:r>
      <w:r w:rsidR="003B3D03">
        <w:rPr>
          <w:b/>
          <w:bCs/>
          <w:szCs w:val="22"/>
        </w:rPr>
        <w:t>, 2021</w:t>
      </w:r>
    </w:p>
    <w:p w:rsidR="00F31908" w:rsidRPr="00F31908" w:rsidP="00F31908" w14:paraId="10844748" w14:textId="77777777">
      <w:pPr>
        <w:rPr>
          <w:szCs w:val="22"/>
        </w:rPr>
      </w:pPr>
    </w:p>
    <w:p w:rsidR="00F31908" w:rsidRPr="00F31908" w:rsidP="006469D3" w14:paraId="3DAF47E2" w14:textId="55B8E9F8">
      <w:pPr>
        <w:jc w:val="center"/>
        <w:rPr>
          <w:b/>
          <w:bCs/>
          <w:szCs w:val="22"/>
        </w:rPr>
      </w:pPr>
      <w:r w:rsidRPr="00F31908">
        <w:rPr>
          <w:b/>
          <w:bCs/>
          <w:szCs w:val="22"/>
        </w:rPr>
        <w:t>ACCESSIBLE FORMATS</w:t>
      </w:r>
    </w:p>
    <w:p w:rsidR="00F31908" w:rsidRPr="00F31908" w:rsidP="00F31908" w14:paraId="086581D2" w14:textId="77777777">
      <w:pPr>
        <w:rPr>
          <w:szCs w:val="22"/>
        </w:rPr>
      </w:pPr>
    </w:p>
    <w:p w:rsidR="00F31908" w:rsidRPr="00F31908" w:rsidP="00F31908" w14:paraId="39320B2A" w14:textId="77777777">
      <w:pPr>
        <w:rPr>
          <w:szCs w:val="22"/>
        </w:rPr>
      </w:pPr>
      <w:r w:rsidRPr="00F31908">
        <w:rPr>
          <w:szCs w:val="22"/>
        </w:rPr>
        <w:t xml:space="preserve">To request materials in accessible formats for people with disabilities (Braille, large print, electronic files, audio format), send an e-mail to </w:t>
      </w:r>
      <w:r w:rsidRPr="00F31908">
        <w:rPr>
          <w:szCs w:val="22"/>
          <w:u w:val="single"/>
        </w:rPr>
        <w:t>fcc504@fcc.gov</w:t>
      </w:r>
      <w:r w:rsidRPr="00F31908">
        <w:rPr>
          <w:szCs w:val="22"/>
        </w:rPr>
        <w:t xml:space="preserve"> or call the Consumer &amp; Governmental Affairs Bureau at 202-418-0530 (voice), 202-418-0432 (TTY).</w:t>
      </w:r>
    </w:p>
    <w:p w:rsidR="00F31908" w:rsidRPr="00F31908" w:rsidP="00F31908" w14:paraId="4FE314BC" w14:textId="77777777">
      <w:pPr>
        <w:rPr>
          <w:szCs w:val="22"/>
        </w:rPr>
      </w:pPr>
    </w:p>
    <w:p w:rsidR="00F31908" w:rsidRPr="00F31908" w:rsidP="00F31908" w14:paraId="559F5F44" w14:textId="308CDBB3">
      <w:pPr>
        <w:rPr>
          <w:szCs w:val="22"/>
          <w:u w:val="single"/>
        </w:rPr>
      </w:pPr>
      <w:r w:rsidRPr="00F31908">
        <w:rPr>
          <w:szCs w:val="22"/>
        </w:rPr>
        <w:t xml:space="preserve">More information about CSRIC </w:t>
      </w:r>
      <w:r>
        <w:rPr>
          <w:szCs w:val="22"/>
        </w:rPr>
        <w:t xml:space="preserve">VIII </w:t>
      </w:r>
      <w:r w:rsidRPr="00F31908">
        <w:rPr>
          <w:szCs w:val="22"/>
        </w:rPr>
        <w:t>can be found at</w:t>
      </w:r>
      <w:r>
        <w:rPr>
          <w:szCs w:val="22"/>
          <w:u w:val="single"/>
        </w:rPr>
        <w:t xml:space="preserve"> </w:t>
      </w:r>
      <w:hyperlink r:id="rId5" w:history="1">
        <w:r w:rsidRPr="00077432">
          <w:rPr>
            <w:rStyle w:val="Hyperlink"/>
            <w:szCs w:val="22"/>
          </w:rPr>
          <w:t>https://www.fcc.gov/about-fcc/advisory-committees/communications-security-reliability-and-interoperability-council-1</w:t>
        </w:r>
      </w:hyperlink>
      <w:r w:rsidRPr="00077432">
        <w:rPr>
          <w:szCs w:val="22"/>
          <w:u w:val="single"/>
        </w:rPr>
        <w:t>.</w:t>
      </w:r>
      <w:r>
        <w:rPr>
          <w:szCs w:val="22"/>
        </w:rPr>
        <w:t xml:space="preserve">  </w:t>
      </w:r>
      <w:r w:rsidRPr="00F31908">
        <w:rPr>
          <w:szCs w:val="22"/>
        </w:rPr>
        <w:t xml:space="preserve">You may also contact Suzon Cameron, Designated Federal Official (DFO) for CSRIC VIII, Public Safety and Homeland Security Bureau, at (202) 418-1916, or Kurian Jacob, Deputy DFO, at (202) 418-2040, or via the CSRIC e-mail account at </w:t>
      </w:r>
      <w:hyperlink r:id="rId6" w:history="1">
        <w:r w:rsidRPr="00F31908">
          <w:rPr>
            <w:rStyle w:val="Hyperlink"/>
            <w:szCs w:val="22"/>
          </w:rPr>
          <w:t>CSRIC@fcc.gov</w:t>
        </w:r>
      </w:hyperlink>
      <w:r w:rsidRPr="00F31908">
        <w:rPr>
          <w:szCs w:val="22"/>
          <w:u w:val="single"/>
        </w:rPr>
        <w:t>.</w:t>
      </w:r>
    </w:p>
    <w:p w:rsidR="00F31908" w:rsidRPr="00F31908" w:rsidP="00F31908" w14:paraId="5E168DEA" w14:textId="77777777">
      <w:pPr>
        <w:rPr>
          <w:szCs w:val="22"/>
        </w:rPr>
      </w:pPr>
    </w:p>
    <w:p w:rsidR="00F31908" w:rsidRPr="00F31908" w:rsidP="00F31908" w14:paraId="224F3E86" w14:textId="77777777">
      <w:pPr>
        <w:jc w:val="center"/>
        <w:rPr>
          <w:szCs w:val="22"/>
        </w:rPr>
      </w:pPr>
      <w:r w:rsidRPr="00F31908">
        <w:rPr>
          <w:szCs w:val="22"/>
        </w:rPr>
        <w:t>-FCC-</w:t>
      </w:r>
    </w:p>
    <w:p w:rsidR="00930ECF" w:rsidRPr="00622D15" w:rsidP="00F31908" w14:paraId="1342F19C" w14:textId="5F6FB912"/>
    <w:sectPr w:rsidSect="00DD6594">
      <w:headerReference w:type="default" r:id="rId7"/>
      <w:footerReference w:type="even" r:id="rId8"/>
      <w:footerReference w:type="default" r:id="rId9"/>
      <w:head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55614C" w14:paraId="6C5260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90122" w14:paraId="2F49FA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910F12" w14:paraId="5195E5A4" w14:textId="77777777">
    <w:pPr>
      <w:pStyle w:val="Footer"/>
      <w:jc w:val="center"/>
    </w:pPr>
    <w:r>
      <w:fldChar w:fldCharType="begin"/>
    </w:r>
    <w:r>
      <w:instrText xml:space="preserve"> PAGE   \* MERGEFORMAT </w:instrText>
    </w:r>
    <w:r>
      <w:fldChar w:fldCharType="separate"/>
    </w:r>
    <w:r w:rsidR="00FA3B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432" w14:paraId="00E13F5B" w14:textId="77777777">
      <w:r>
        <w:separator/>
      </w:r>
    </w:p>
  </w:footnote>
  <w:footnote w:type="continuationSeparator" w:id="1">
    <w:p w:rsidR="00077432" w14:paraId="5A9D4563" w14:textId="77777777">
      <w:pPr>
        <w:rPr>
          <w:sz w:val="20"/>
        </w:rPr>
      </w:pPr>
      <w:r>
        <w:rPr>
          <w:sz w:val="20"/>
        </w:rPr>
        <w:t xml:space="preserve">(Continued from previous page)  </w:t>
      </w:r>
      <w:r>
        <w:rPr>
          <w:sz w:val="20"/>
        </w:rPr>
        <w:separator/>
      </w:r>
    </w:p>
  </w:footnote>
  <w:footnote w:type="continuationNotice" w:id="2">
    <w:p w:rsidR="00077432" w:rsidP="00910F12" w14:paraId="510A1DAF" w14:textId="77777777">
      <w:pPr>
        <w:jc w:val="right"/>
        <w:rPr>
          <w:sz w:val="20"/>
        </w:rPr>
      </w:pPr>
      <w:r>
        <w:rPr>
          <w:sz w:val="20"/>
        </w:rPr>
        <w:t>(continued….)</w:t>
      </w:r>
    </w:p>
  </w:footnote>
  <w:footnote w:id="3">
    <w:p w:rsidR="001D1906" w:rsidP="001D1906" w14:paraId="605AA21A" w14:textId="77777777">
      <w:pPr>
        <w:pStyle w:val="FootnoteText"/>
      </w:pPr>
      <w:r>
        <w:rPr>
          <w:rStyle w:val="FootnoteReference"/>
        </w:rPr>
        <w:footnoteRef/>
      </w:r>
      <w:r>
        <w:t xml:space="preserve"> CSRIC is an advisory committee established under the Federal Advisory Committee Act, 5 U.S.C. App.2.</w:t>
      </w:r>
    </w:p>
  </w:footnote>
  <w:footnote w:id="4">
    <w:p w:rsidR="001D1906" w:rsidP="001D1906" w14:paraId="10099A09" w14:textId="29EBA3C6">
      <w:pPr>
        <w:pStyle w:val="FootnoteText"/>
      </w:pPr>
      <w:r>
        <w:rPr>
          <w:rStyle w:val="FootnoteReference"/>
        </w:rPr>
        <w:footnoteRef/>
      </w:r>
      <w:r>
        <w:t xml:space="preserve"> </w:t>
      </w:r>
      <w:r w:rsidRPr="00C7065E" w:rsidR="00083CE9">
        <w:rPr>
          <w:i/>
          <w:iCs/>
        </w:rPr>
        <w:t xml:space="preserve">FCC Announces The Membership And First Meeting Of The Communications Security, Reliability, </w:t>
      </w:r>
      <w:r w:rsidR="00083CE9">
        <w:rPr>
          <w:i/>
          <w:iCs/>
        </w:rPr>
        <w:t>a</w:t>
      </w:r>
      <w:r w:rsidRPr="00C7065E" w:rsidR="00083CE9">
        <w:rPr>
          <w:i/>
          <w:iCs/>
        </w:rPr>
        <w:t>nd Interoperability Council VIII</w:t>
      </w:r>
      <w:r w:rsidR="00083CE9">
        <w:t xml:space="preserve">, DA 21-1150 </w:t>
      </w:r>
      <w:r w:rsidR="00F854E8">
        <w:t>(</w:t>
      </w:r>
      <w:r w:rsidR="00083CE9">
        <w:t>PSHSB</w:t>
      </w:r>
      <w:r w:rsidR="00F854E8">
        <w:t xml:space="preserve"> 2021)</w:t>
      </w:r>
      <w:r>
        <w:t>.</w:t>
      </w:r>
    </w:p>
  </w:footnote>
  <w:footnote w:id="5">
    <w:p w:rsidR="000B0FD1" w:rsidP="000B0FD1" w14:paraId="5B637CC7" w14:textId="77777777">
      <w:pPr>
        <w:pStyle w:val="FootnoteText"/>
      </w:pPr>
      <w:r>
        <w:rPr>
          <w:rStyle w:val="FootnoteReference"/>
        </w:rPr>
        <w:footnoteRef/>
      </w:r>
      <w:r>
        <w:t xml:space="preserve"> A Special Government Employee is “</w:t>
      </w:r>
      <w:r w:rsidRPr="002F654F">
        <w:t>an officer or employee of the executive or legislative branch of the United States Government, of any independent agency of the United States or of the District of Columbia, who is retained, designated, appointed, or employed to perform, with or without compensation, for not to exceed one hundred and thirty days during any period of three hundred and sixty-five consecutive day</w:t>
      </w:r>
      <w:r>
        <w:t>s.”</w:t>
      </w:r>
      <w:r w:rsidRPr="002F654F">
        <w:t xml:space="preserve"> </w:t>
      </w:r>
      <w:r>
        <w:t xml:space="preserve"> </w:t>
      </w:r>
      <w:r w:rsidRPr="002F654F">
        <w:t>18 U.S.C. § 202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9838BC" w:rsidP="009838BC" w14:paraId="0D95DC07" w14:textId="37FF24A2">
    <w:pPr>
      <w:tabs>
        <w:tab w:val="center" w:pos="4680"/>
        <w:tab w:val="right" w:pos="9360"/>
      </w:tabs>
    </w:pPr>
    <w:r w:rsidRPr="009838BC">
      <w:rPr>
        <w:b/>
      </w:rPr>
      <w:tab/>
    </w:r>
    <w:r w:rsidRPr="009838BC">
      <w:rPr>
        <w:b/>
      </w:rPr>
      <w:t>Federal Communications Commission</w:t>
    </w:r>
    <w:r w:rsidRPr="009838BC">
      <w:rPr>
        <w:b/>
      </w:rPr>
      <w:tab/>
    </w:r>
    <w:r w:rsidRPr="00E8121C" w:rsidR="00E121D0">
      <w:rPr>
        <w:b/>
      </w:rPr>
      <w:t>DA 2</w:t>
    </w:r>
    <w:r w:rsidRPr="00E8121C" w:rsidR="00FB26A0">
      <w:rPr>
        <w:b/>
      </w:rPr>
      <w:t>1</w:t>
    </w:r>
    <w:r w:rsidRPr="00E8121C" w:rsidR="00E121D0">
      <w:rPr>
        <w:b/>
      </w:rPr>
      <w:t>-</w:t>
    </w:r>
    <w:r w:rsidRPr="00E8121C" w:rsidR="00E8121C">
      <w:rPr>
        <w:b/>
      </w:rPr>
      <w:t>1232</w:t>
    </w:r>
  </w:p>
  <w:p w:rsidR="00390122" w:rsidRPr="009838BC" w:rsidP="009838BC" w14:paraId="4926AA38" w14:textId="0D65614A">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A866AC" w:rsidP="009838BC" w14:paraId="1926C63C" w14:textId="5BD13799">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rPr>
                              <w:rFonts w:ascii="Arial" w:hAnsi="Arial"/>
                              <w:b/>
                            </w:rPr>
                          </w:pPr>
                          <w:r>
                            <w:rPr>
                              <w:rFonts w:ascii="Arial" w:hAnsi="Arial"/>
                              <w:b/>
                            </w:rPr>
                            <w:t>Federal Communications Commission</w:t>
                          </w:r>
                        </w:p>
                        <w:p w:rsidR="00390122" w:rsidP="009838BC" w14:textId="77777777">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3360" o:allowincell="f" stroked="f">
              <v:textbox>
                <w:txbxContent>
                  <w:p w:rsidR="00390122" w:rsidP="009838BC" w14:paraId="1C4D15A1" w14:textId="77777777">
                    <w:pPr>
                      <w:rPr>
                        <w:rFonts w:ascii="Arial" w:hAnsi="Arial"/>
                        <w:b/>
                      </w:rPr>
                    </w:pPr>
                    <w:r>
                      <w:rPr>
                        <w:rFonts w:ascii="Arial" w:hAnsi="Arial"/>
                        <w:b/>
                      </w:rPr>
                      <w:t>Federal Communications Commission</w:t>
                    </w:r>
                  </w:p>
                  <w:p w:rsidR="00390122" w:rsidP="009838BC" w14:paraId="54437749" w14:textId="77777777">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paraId="3B44156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90122" w:rsidRPr="00357D50" w:rsidP="009838BC" w14:paraId="37348056" w14:textId="77777777">
    <w:pPr>
      <w:spacing w:before="40"/>
      <w:rPr>
        <w:rFonts w:ascii="Arial" w:hAnsi="Arial" w:cs="Arial"/>
        <w:b/>
        <w:sz w:val="96"/>
      </w:rPr>
    </w:pPr>
    <w:r>
      <w:rPr>
        <w:noProof/>
      </w:rPr>
      <mc:AlternateContent>
        <mc:Choice Requires="wps">
          <w:drawing>
            <wp:anchor distT="0" distB="0" distL="114300" distR="114300" simplePos="0" relativeHeight="251664384" behindDoc="0" locked="0" layoutInCell="0" allowOverlap="1">
              <wp:simplePos x="0" y="0"/>
              <wp:positionH relativeFrom="margin">
                <wp:align>right</wp:align>
              </wp:positionH>
              <wp:positionV relativeFrom="paragraph">
                <wp:posOffset>720089</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0288"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spacing w:before="40"/>
                            <w:jc w:val="right"/>
                            <w:rPr>
                              <w:rFonts w:ascii="Arial" w:hAnsi="Arial"/>
                              <w:b/>
                              <w:sz w:val="16"/>
                            </w:rPr>
                          </w:pPr>
                          <w:r>
                            <w:rPr>
                              <w:rFonts w:ascii="Arial" w:hAnsi="Arial"/>
                              <w:b/>
                              <w:sz w:val="16"/>
                            </w:rPr>
                            <w:t>News Media Information 202 / 418-0500</w:t>
                          </w:r>
                        </w:p>
                        <w:p w:rsidR="00390122"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39012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90122" w:rsidP="009838BC" w14:paraId="35486928" w14:textId="77777777">
                    <w:pPr>
                      <w:spacing w:before="40"/>
                      <w:jc w:val="right"/>
                      <w:rPr>
                        <w:rFonts w:ascii="Arial" w:hAnsi="Arial"/>
                        <w:b/>
                        <w:sz w:val="16"/>
                      </w:rPr>
                    </w:pPr>
                    <w:r>
                      <w:rPr>
                        <w:rFonts w:ascii="Arial" w:hAnsi="Arial"/>
                        <w:b/>
                        <w:sz w:val="16"/>
                      </w:rPr>
                      <w:t>News Media Information 202 / 418-0500</w:t>
                    </w:r>
                  </w:p>
                  <w:p w:rsidR="00390122" w:rsidP="009838BC" w14:paraId="35F6EF4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390122" w:rsidP="009838BC" w14:paraId="5D468F7F" w14:textId="77777777">
                    <w:pPr>
                      <w:jc w:val="right"/>
                    </w:pPr>
                    <w:r>
                      <w:rPr>
                        <w:rFonts w:ascii="Arial" w:hAnsi="Arial"/>
                        <w:b/>
                        <w:sz w:val="16"/>
                      </w:rPr>
                      <w:t>TTY: 1-888-835-5322</w:t>
                    </w:r>
                  </w:p>
                </w:txbxContent>
              </v:textbox>
            </v:shape>
          </w:pict>
        </mc:Fallback>
      </mc:AlternateContent>
    </w:r>
  </w:p>
  <w:p w:rsidR="00390122" w:rsidRPr="009838BC" w:rsidP="009838BC" w14:paraId="47FFE28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7"/>
    <w:multiLevelType w:val="multilevel"/>
    <w:tmpl w:val="CEB46A4A"/>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ascii="Times New Roman" w:hAnsi="Times New Roman" w:cs="Times New Roman" w:hint="default"/>
        <w:b w:val="0"/>
        <w:bCs w:val="0"/>
        <w:w w:val="93"/>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
    <w:nsid w:val="07C66941"/>
    <w:multiLevelType w:val="hybridMultilevel"/>
    <w:tmpl w:val="6CC437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4C2F58"/>
    <w:multiLevelType w:val="hybridMultilevel"/>
    <w:tmpl w:val="8D08DD9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03065C"/>
    <w:multiLevelType w:val="hybridMultilevel"/>
    <w:tmpl w:val="640EDA7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251F00"/>
    <w:multiLevelType w:val="hybridMultilevel"/>
    <w:tmpl w:val="8A28C0C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4E2286"/>
    <w:multiLevelType w:val="hybridMultilevel"/>
    <w:tmpl w:val="730022EE"/>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843EFD"/>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958510C"/>
    <w:multiLevelType w:val="hybridMultilevel"/>
    <w:tmpl w:val="E7D6A1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1967BD7"/>
    <w:multiLevelType w:val="hybridMultilevel"/>
    <w:tmpl w:val="3E64176E"/>
    <w:lvl w:ilvl="0">
      <w:start w:val="1"/>
      <w:numFmt w:val="lowerRoman"/>
      <w:lvlText w:val="(%1)"/>
      <w:lvlJc w:val="left"/>
      <w:pPr>
        <w:ind w:left="1680" w:hanging="720"/>
      </w:pPr>
      <w:rPr>
        <w:rFonts w:ascii="Times New Roman" w:eastAsia="Times New Roman" w:hAnsi="Times New Roman" w:cs="Times New Roman"/>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5">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2B56AA9"/>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9190F65"/>
    <w:multiLevelType w:val="multilevel"/>
    <w:tmpl w:val="8786C5C6"/>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hint="default"/>
        <w:b w:val="0"/>
        <w:bCs w:val="0"/>
        <w:w w:val="95"/>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9AC6F60"/>
    <w:multiLevelType w:val="hybridMultilevel"/>
    <w:tmpl w:val="E536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D380994"/>
    <w:multiLevelType w:val="hybridMultilevel"/>
    <w:tmpl w:val="9E3E399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F766D78"/>
    <w:multiLevelType w:val="hybridMultilevel"/>
    <w:tmpl w:val="CF4056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22261B7"/>
    <w:multiLevelType w:val="hybridMultilevel"/>
    <w:tmpl w:val="ED5A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042A8A"/>
    <w:multiLevelType w:val="hybridMultilevel"/>
    <w:tmpl w:val="499AF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2"/>
  </w:num>
  <w:num w:numId="4">
    <w:abstractNumId w:val="19"/>
  </w:num>
  <w:num w:numId="5">
    <w:abstractNumId w:val="10"/>
  </w:num>
  <w:num w:numId="6">
    <w:abstractNumId w:val="2"/>
  </w:num>
  <w:num w:numId="7">
    <w:abstractNumId w:val="25"/>
  </w:num>
  <w:num w:numId="8">
    <w:abstractNumId w:val="20"/>
  </w:num>
  <w:num w:numId="9">
    <w:abstractNumId w:val="1"/>
  </w:num>
  <w:num w:numId="10">
    <w:abstractNumId w:val="28"/>
  </w:num>
  <w:num w:numId="11">
    <w:abstractNumId w:val="7"/>
  </w:num>
  <w:num w:numId="12">
    <w:abstractNumId w:val="21"/>
  </w:num>
  <w:num w:numId="13">
    <w:abstractNumId w:val="15"/>
  </w:num>
  <w:num w:numId="14">
    <w:abstractNumId w:val="17"/>
  </w:num>
  <w:num w:numId="15">
    <w:abstractNumId w:val="4"/>
  </w:num>
  <w:num w:numId="16">
    <w:abstractNumId w:val="27"/>
  </w:num>
  <w:num w:numId="17">
    <w:abstractNumId w:val="0"/>
  </w:num>
  <w:num w:numId="18">
    <w:abstractNumId w:val="14"/>
  </w:num>
  <w:num w:numId="19">
    <w:abstractNumId w:val="8"/>
  </w:num>
  <w:num w:numId="20">
    <w:abstractNumId w:val="18"/>
  </w:num>
  <w:num w:numId="21">
    <w:abstractNumId w:val="16"/>
  </w:num>
  <w:num w:numId="22">
    <w:abstractNumId w:val="5"/>
  </w:num>
  <w:num w:numId="23">
    <w:abstractNumId w:val="22"/>
  </w:num>
  <w:num w:numId="24">
    <w:abstractNumId w:val="3"/>
  </w:num>
  <w:num w:numId="25">
    <w:abstractNumId w:val="6"/>
  </w:num>
  <w:num w:numId="26">
    <w:abstractNumId w:val="23"/>
  </w:num>
  <w:num w:numId="27">
    <w:abstractNumId w:val="11"/>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4"/>
    <w:rsid w:val="000072CE"/>
    <w:rsid w:val="00012846"/>
    <w:rsid w:val="00013A8B"/>
    <w:rsid w:val="000152B8"/>
    <w:rsid w:val="00021445"/>
    <w:rsid w:val="0002556A"/>
    <w:rsid w:val="00026E00"/>
    <w:rsid w:val="000314FA"/>
    <w:rsid w:val="00031E93"/>
    <w:rsid w:val="00034930"/>
    <w:rsid w:val="00035BC2"/>
    <w:rsid w:val="00036039"/>
    <w:rsid w:val="00037F90"/>
    <w:rsid w:val="00046E58"/>
    <w:rsid w:val="00061A24"/>
    <w:rsid w:val="000732BB"/>
    <w:rsid w:val="00077432"/>
    <w:rsid w:val="00082BC2"/>
    <w:rsid w:val="00083CE9"/>
    <w:rsid w:val="000875BF"/>
    <w:rsid w:val="00093C33"/>
    <w:rsid w:val="00096D8C"/>
    <w:rsid w:val="000A6138"/>
    <w:rsid w:val="000B0BD1"/>
    <w:rsid w:val="000B0FD1"/>
    <w:rsid w:val="000B26E5"/>
    <w:rsid w:val="000C0B65"/>
    <w:rsid w:val="000C3D37"/>
    <w:rsid w:val="000C75D9"/>
    <w:rsid w:val="000D01FE"/>
    <w:rsid w:val="000D3474"/>
    <w:rsid w:val="000D636E"/>
    <w:rsid w:val="000D70CC"/>
    <w:rsid w:val="000E35A9"/>
    <w:rsid w:val="000E3D42"/>
    <w:rsid w:val="000E5884"/>
    <w:rsid w:val="000F58B2"/>
    <w:rsid w:val="00100018"/>
    <w:rsid w:val="0010078C"/>
    <w:rsid w:val="00105B4A"/>
    <w:rsid w:val="00111CBE"/>
    <w:rsid w:val="00113222"/>
    <w:rsid w:val="0012250B"/>
    <w:rsid w:val="00122BD5"/>
    <w:rsid w:val="001279D8"/>
    <w:rsid w:val="001420C8"/>
    <w:rsid w:val="00144CAE"/>
    <w:rsid w:val="00155C8E"/>
    <w:rsid w:val="001568C8"/>
    <w:rsid w:val="0015774B"/>
    <w:rsid w:val="00170003"/>
    <w:rsid w:val="001752D3"/>
    <w:rsid w:val="00180194"/>
    <w:rsid w:val="0018096C"/>
    <w:rsid w:val="00182244"/>
    <w:rsid w:val="00186144"/>
    <w:rsid w:val="00186822"/>
    <w:rsid w:val="001979D9"/>
    <w:rsid w:val="001A1995"/>
    <w:rsid w:val="001A1C02"/>
    <w:rsid w:val="001A43C0"/>
    <w:rsid w:val="001A6895"/>
    <w:rsid w:val="001B76A0"/>
    <w:rsid w:val="001C2A34"/>
    <w:rsid w:val="001D1906"/>
    <w:rsid w:val="001D4D9B"/>
    <w:rsid w:val="001D6BCF"/>
    <w:rsid w:val="001E01CA"/>
    <w:rsid w:val="001E23FF"/>
    <w:rsid w:val="001F3ACA"/>
    <w:rsid w:val="002060D9"/>
    <w:rsid w:val="002107FF"/>
    <w:rsid w:val="00211FC6"/>
    <w:rsid w:val="0021563D"/>
    <w:rsid w:val="00216CD0"/>
    <w:rsid w:val="00221F9D"/>
    <w:rsid w:val="00226822"/>
    <w:rsid w:val="00232E69"/>
    <w:rsid w:val="0023412D"/>
    <w:rsid w:val="00234E35"/>
    <w:rsid w:val="0023597A"/>
    <w:rsid w:val="00235FBA"/>
    <w:rsid w:val="0024089D"/>
    <w:rsid w:val="00243868"/>
    <w:rsid w:val="00244D82"/>
    <w:rsid w:val="00255ECD"/>
    <w:rsid w:val="00257387"/>
    <w:rsid w:val="00260594"/>
    <w:rsid w:val="002624A4"/>
    <w:rsid w:val="002632C5"/>
    <w:rsid w:val="00273EBF"/>
    <w:rsid w:val="00285017"/>
    <w:rsid w:val="0028587F"/>
    <w:rsid w:val="0029219E"/>
    <w:rsid w:val="002949A3"/>
    <w:rsid w:val="002969F4"/>
    <w:rsid w:val="002A2D2E"/>
    <w:rsid w:val="002A35C4"/>
    <w:rsid w:val="002A673E"/>
    <w:rsid w:val="002C5A5D"/>
    <w:rsid w:val="002C7BE1"/>
    <w:rsid w:val="002D1FA0"/>
    <w:rsid w:val="002F4CA7"/>
    <w:rsid w:val="002F654F"/>
    <w:rsid w:val="0031632F"/>
    <w:rsid w:val="00331CD2"/>
    <w:rsid w:val="0033210B"/>
    <w:rsid w:val="00337D68"/>
    <w:rsid w:val="00343749"/>
    <w:rsid w:val="0034401B"/>
    <w:rsid w:val="00357D50"/>
    <w:rsid w:val="0036392F"/>
    <w:rsid w:val="00363E7F"/>
    <w:rsid w:val="00373DFE"/>
    <w:rsid w:val="003772C5"/>
    <w:rsid w:val="00381C6B"/>
    <w:rsid w:val="003862E4"/>
    <w:rsid w:val="00390122"/>
    <w:rsid w:val="00390A67"/>
    <w:rsid w:val="003925DC"/>
    <w:rsid w:val="00395914"/>
    <w:rsid w:val="00395F7A"/>
    <w:rsid w:val="003B0550"/>
    <w:rsid w:val="003B3D03"/>
    <w:rsid w:val="003B694F"/>
    <w:rsid w:val="003B7EA5"/>
    <w:rsid w:val="003D0D9A"/>
    <w:rsid w:val="003D75A6"/>
    <w:rsid w:val="003E16BF"/>
    <w:rsid w:val="003E4B7B"/>
    <w:rsid w:val="003E4C96"/>
    <w:rsid w:val="003F171C"/>
    <w:rsid w:val="004000EC"/>
    <w:rsid w:val="00406B85"/>
    <w:rsid w:val="004079AF"/>
    <w:rsid w:val="00412FC5"/>
    <w:rsid w:val="00414B58"/>
    <w:rsid w:val="00416AC8"/>
    <w:rsid w:val="00422276"/>
    <w:rsid w:val="004242F1"/>
    <w:rsid w:val="00427E23"/>
    <w:rsid w:val="004312D3"/>
    <w:rsid w:val="00431985"/>
    <w:rsid w:val="0044029E"/>
    <w:rsid w:val="00445A00"/>
    <w:rsid w:val="00451B0F"/>
    <w:rsid w:val="004564F6"/>
    <w:rsid w:val="00460FD3"/>
    <w:rsid w:val="0046125F"/>
    <w:rsid w:val="00461784"/>
    <w:rsid w:val="00463E72"/>
    <w:rsid w:val="004711A0"/>
    <w:rsid w:val="004736C6"/>
    <w:rsid w:val="004763B2"/>
    <w:rsid w:val="00487524"/>
    <w:rsid w:val="00496106"/>
    <w:rsid w:val="004A2A6C"/>
    <w:rsid w:val="004A33F3"/>
    <w:rsid w:val="004B27C7"/>
    <w:rsid w:val="004C12D0"/>
    <w:rsid w:val="004C2EE3"/>
    <w:rsid w:val="004C7FB2"/>
    <w:rsid w:val="004D345C"/>
    <w:rsid w:val="004D7676"/>
    <w:rsid w:val="004E134D"/>
    <w:rsid w:val="004E4A22"/>
    <w:rsid w:val="004E6FA3"/>
    <w:rsid w:val="004F093B"/>
    <w:rsid w:val="005026B0"/>
    <w:rsid w:val="00507683"/>
    <w:rsid w:val="00511968"/>
    <w:rsid w:val="005158F5"/>
    <w:rsid w:val="00546DB5"/>
    <w:rsid w:val="00547585"/>
    <w:rsid w:val="0055614C"/>
    <w:rsid w:val="005735A2"/>
    <w:rsid w:val="00584A61"/>
    <w:rsid w:val="005854BA"/>
    <w:rsid w:val="00590241"/>
    <w:rsid w:val="005A6754"/>
    <w:rsid w:val="005B2BE4"/>
    <w:rsid w:val="005B549B"/>
    <w:rsid w:val="005B739C"/>
    <w:rsid w:val="005C01ED"/>
    <w:rsid w:val="005C2903"/>
    <w:rsid w:val="005D0D97"/>
    <w:rsid w:val="005D3EE3"/>
    <w:rsid w:val="005D427D"/>
    <w:rsid w:val="005D7639"/>
    <w:rsid w:val="005E2863"/>
    <w:rsid w:val="005E3B12"/>
    <w:rsid w:val="005E4596"/>
    <w:rsid w:val="005F0F71"/>
    <w:rsid w:val="005F4E27"/>
    <w:rsid w:val="00607BA5"/>
    <w:rsid w:val="00622D15"/>
    <w:rsid w:val="006239D9"/>
    <w:rsid w:val="00626EB6"/>
    <w:rsid w:val="00633CE6"/>
    <w:rsid w:val="006353A3"/>
    <w:rsid w:val="006469D3"/>
    <w:rsid w:val="00647C98"/>
    <w:rsid w:val="00652DA7"/>
    <w:rsid w:val="00653EC2"/>
    <w:rsid w:val="00655D03"/>
    <w:rsid w:val="00657D07"/>
    <w:rsid w:val="00662B76"/>
    <w:rsid w:val="006813BA"/>
    <w:rsid w:val="00683F84"/>
    <w:rsid w:val="00685B56"/>
    <w:rsid w:val="0068639F"/>
    <w:rsid w:val="00687613"/>
    <w:rsid w:val="00691F67"/>
    <w:rsid w:val="00695A1E"/>
    <w:rsid w:val="00697EC8"/>
    <w:rsid w:val="006A6A81"/>
    <w:rsid w:val="006B4F79"/>
    <w:rsid w:val="006B5B39"/>
    <w:rsid w:val="006C28C2"/>
    <w:rsid w:val="006C2C76"/>
    <w:rsid w:val="006C2FF2"/>
    <w:rsid w:val="006D0D34"/>
    <w:rsid w:val="006D20E1"/>
    <w:rsid w:val="006D5C18"/>
    <w:rsid w:val="006D68BC"/>
    <w:rsid w:val="006E24EA"/>
    <w:rsid w:val="006E26AF"/>
    <w:rsid w:val="006F0F80"/>
    <w:rsid w:val="006F7393"/>
    <w:rsid w:val="0070224F"/>
    <w:rsid w:val="00705881"/>
    <w:rsid w:val="007076DA"/>
    <w:rsid w:val="007115F7"/>
    <w:rsid w:val="00715278"/>
    <w:rsid w:val="007163E7"/>
    <w:rsid w:val="00720F78"/>
    <w:rsid w:val="00723FBD"/>
    <w:rsid w:val="00724CFC"/>
    <w:rsid w:val="007251EF"/>
    <w:rsid w:val="00725C0A"/>
    <w:rsid w:val="007316A3"/>
    <w:rsid w:val="00736EED"/>
    <w:rsid w:val="007419F2"/>
    <w:rsid w:val="0075641C"/>
    <w:rsid w:val="0076573E"/>
    <w:rsid w:val="00766F09"/>
    <w:rsid w:val="00776ABB"/>
    <w:rsid w:val="00785689"/>
    <w:rsid w:val="0078602E"/>
    <w:rsid w:val="0079754B"/>
    <w:rsid w:val="007A1E6D"/>
    <w:rsid w:val="007A3DF5"/>
    <w:rsid w:val="007B1639"/>
    <w:rsid w:val="007B25AA"/>
    <w:rsid w:val="007B433B"/>
    <w:rsid w:val="007C0ABB"/>
    <w:rsid w:val="007C1FF9"/>
    <w:rsid w:val="007C6010"/>
    <w:rsid w:val="007E4CB6"/>
    <w:rsid w:val="007E7E1E"/>
    <w:rsid w:val="007F0CBB"/>
    <w:rsid w:val="007F70D8"/>
    <w:rsid w:val="00800C23"/>
    <w:rsid w:val="00801CDB"/>
    <w:rsid w:val="00801E13"/>
    <w:rsid w:val="00803393"/>
    <w:rsid w:val="00803E28"/>
    <w:rsid w:val="00822CE0"/>
    <w:rsid w:val="00825177"/>
    <w:rsid w:val="00834DDD"/>
    <w:rsid w:val="00835FAD"/>
    <w:rsid w:val="00837C62"/>
    <w:rsid w:val="00841AB1"/>
    <w:rsid w:val="0086390D"/>
    <w:rsid w:val="008717A3"/>
    <w:rsid w:val="008846DD"/>
    <w:rsid w:val="0089117B"/>
    <w:rsid w:val="00893E80"/>
    <w:rsid w:val="00896011"/>
    <w:rsid w:val="008A61D9"/>
    <w:rsid w:val="008B594C"/>
    <w:rsid w:val="008B5BD2"/>
    <w:rsid w:val="008C09FC"/>
    <w:rsid w:val="008C0A27"/>
    <w:rsid w:val="008C1ED0"/>
    <w:rsid w:val="008C22FD"/>
    <w:rsid w:val="008D16C9"/>
    <w:rsid w:val="008D50AC"/>
    <w:rsid w:val="008D6D1B"/>
    <w:rsid w:val="008D7514"/>
    <w:rsid w:val="008E031C"/>
    <w:rsid w:val="008E1509"/>
    <w:rsid w:val="008E7F56"/>
    <w:rsid w:val="00910F12"/>
    <w:rsid w:val="00915F14"/>
    <w:rsid w:val="00917E1F"/>
    <w:rsid w:val="00922CB0"/>
    <w:rsid w:val="00926503"/>
    <w:rsid w:val="00927DBB"/>
    <w:rsid w:val="0093086D"/>
    <w:rsid w:val="00930ECF"/>
    <w:rsid w:val="0095531F"/>
    <w:rsid w:val="00956530"/>
    <w:rsid w:val="009651DD"/>
    <w:rsid w:val="00971678"/>
    <w:rsid w:val="009838BC"/>
    <w:rsid w:val="009907DB"/>
    <w:rsid w:val="00996A42"/>
    <w:rsid w:val="009A05B4"/>
    <w:rsid w:val="009A500A"/>
    <w:rsid w:val="009B5966"/>
    <w:rsid w:val="009C41BA"/>
    <w:rsid w:val="009C75C2"/>
    <w:rsid w:val="009C7BEF"/>
    <w:rsid w:val="009E40F7"/>
    <w:rsid w:val="00A13ACF"/>
    <w:rsid w:val="00A168B5"/>
    <w:rsid w:val="00A20BAC"/>
    <w:rsid w:val="00A30E15"/>
    <w:rsid w:val="00A409EB"/>
    <w:rsid w:val="00A45F4F"/>
    <w:rsid w:val="00A50EDC"/>
    <w:rsid w:val="00A600A9"/>
    <w:rsid w:val="00A72FC1"/>
    <w:rsid w:val="00A77D68"/>
    <w:rsid w:val="00A81F22"/>
    <w:rsid w:val="00A8490C"/>
    <w:rsid w:val="00A864DC"/>
    <w:rsid w:val="00A866AC"/>
    <w:rsid w:val="00A87C35"/>
    <w:rsid w:val="00A953EB"/>
    <w:rsid w:val="00AA55B7"/>
    <w:rsid w:val="00AA5B9E"/>
    <w:rsid w:val="00AA78E3"/>
    <w:rsid w:val="00AB2407"/>
    <w:rsid w:val="00AB53DF"/>
    <w:rsid w:val="00AB7282"/>
    <w:rsid w:val="00AC1D60"/>
    <w:rsid w:val="00AD2CC0"/>
    <w:rsid w:val="00AD7571"/>
    <w:rsid w:val="00AE21EF"/>
    <w:rsid w:val="00AE4C85"/>
    <w:rsid w:val="00AE5695"/>
    <w:rsid w:val="00AF122E"/>
    <w:rsid w:val="00AF27BA"/>
    <w:rsid w:val="00B02682"/>
    <w:rsid w:val="00B05C3E"/>
    <w:rsid w:val="00B070A9"/>
    <w:rsid w:val="00B07E5C"/>
    <w:rsid w:val="00B10AC8"/>
    <w:rsid w:val="00B20AD1"/>
    <w:rsid w:val="00B26BDA"/>
    <w:rsid w:val="00B326E3"/>
    <w:rsid w:val="00B32722"/>
    <w:rsid w:val="00B37AB9"/>
    <w:rsid w:val="00B40B73"/>
    <w:rsid w:val="00B41575"/>
    <w:rsid w:val="00B52D64"/>
    <w:rsid w:val="00B57ADB"/>
    <w:rsid w:val="00B60644"/>
    <w:rsid w:val="00B70E15"/>
    <w:rsid w:val="00B811F7"/>
    <w:rsid w:val="00B835B3"/>
    <w:rsid w:val="00B85291"/>
    <w:rsid w:val="00BA5DC6"/>
    <w:rsid w:val="00BA6196"/>
    <w:rsid w:val="00BA7FE9"/>
    <w:rsid w:val="00BB626C"/>
    <w:rsid w:val="00BC4030"/>
    <w:rsid w:val="00BC5FBB"/>
    <w:rsid w:val="00BC6D8C"/>
    <w:rsid w:val="00BD167D"/>
    <w:rsid w:val="00BD37F7"/>
    <w:rsid w:val="00BD438B"/>
    <w:rsid w:val="00BD72E9"/>
    <w:rsid w:val="00BE3A67"/>
    <w:rsid w:val="00BE65CE"/>
    <w:rsid w:val="00C033D5"/>
    <w:rsid w:val="00C05737"/>
    <w:rsid w:val="00C16AF2"/>
    <w:rsid w:val="00C22477"/>
    <w:rsid w:val="00C24BE4"/>
    <w:rsid w:val="00C27A22"/>
    <w:rsid w:val="00C30155"/>
    <w:rsid w:val="00C34006"/>
    <w:rsid w:val="00C426B1"/>
    <w:rsid w:val="00C42D43"/>
    <w:rsid w:val="00C43876"/>
    <w:rsid w:val="00C445DD"/>
    <w:rsid w:val="00C52E20"/>
    <w:rsid w:val="00C53F8B"/>
    <w:rsid w:val="00C54631"/>
    <w:rsid w:val="00C6062A"/>
    <w:rsid w:val="00C62385"/>
    <w:rsid w:val="00C6345B"/>
    <w:rsid w:val="00C638F4"/>
    <w:rsid w:val="00C64F64"/>
    <w:rsid w:val="00C7065E"/>
    <w:rsid w:val="00C7338B"/>
    <w:rsid w:val="00C76C94"/>
    <w:rsid w:val="00C82B6B"/>
    <w:rsid w:val="00C8329B"/>
    <w:rsid w:val="00C85F61"/>
    <w:rsid w:val="00C86764"/>
    <w:rsid w:val="00C87496"/>
    <w:rsid w:val="00C90D6A"/>
    <w:rsid w:val="00CB71EA"/>
    <w:rsid w:val="00CC2104"/>
    <w:rsid w:val="00CC2380"/>
    <w:rsid w:val="00CC72B6"/>
    <w:rsid w:val="00CC7FCD"/>
    <w:rsid w:val="00CD032D"/>
    <w:rsid w:val="00CD46C4"/>
    <w:rsid w:val="00CE60EC"/>
    <w:rsid w:val="00CE6B35"/>
    <w:rsid w:val="00CF0B1E"/>
    <w:rsid w:val="00CF1417"/>
    <w:rsid w:val="00D00ACB"/>
    <w:rsid w:val="00D020DD"/>
    <w:rsid w:val="00D0218D"/>
    <w:rsid w:val="00D03C99"/>
    <w:rsid w:val="00D06044"/>
    <w:rsid w:val="00D13678"/>
    <w:rsid w:val="00D14F4B"/>
    <w:rsid w:val="00D216CD"/>
    <w:rsid w:val="00D22705"/>
    <w:rsid w:val="00D23DD1"/>
    <w:rsid w:val="00D317EB"/>
    <w:rsid w:val="00D42B9E"/>
    <w:rsid w:val="00D46493"/>
    <w:rsid w:val="00D47690"/>
    <w:rsid w:val="00D50F8D"/>
    <w:rsid w:val="00D52317"/>
    <w:rsid w:val="00D72D13"/>
    <w:rsid w:val="00D77E2C"/>
    <w:rsid w:val="00D81715"/>
    <w:rsid w:val="00D831AE"/>
    <w:rsid w:val="00D90921"/>
    <w:rsid w:val="00D944AE"/>
    <w:rsid w:val="00DA2529"/>
    <w:rsid w:val="00DA334A"/>
    <w:rsid w:val="00DB09BC"/>
    <w:rsid w:val="00DB130A"/>
    <w:rsid w:val="00DB1642"/>
    <w:rsid w:val="00DB1A41"/>
    <w:rsid w:val="00DB236C"/>
    <w:rsid w:val="00DB6490"/>
    <w:rsid w:val="00DC10A1"/>
    <w:rsid w:val="00DC1F72"/>
    <w:rsid w:val="00DC392D"/>
    <w:rsid w:val="00DC655F"/>
    <w:rsid w:val="00DD4636"/>
    <w:rsid w:val="00DD6594"/>
    <w:rsid w:val="00DD7EBD"/>
    <w:rsid w:val="00DE01D0"/>
    <w:rsid w:val="00DE2CB1"/>
    <w:rsid w:val="00DE3E0D"/>
    <w:rsid w:val="00DF2FAC"/>
    <w:rsid w:val="00DF5D42"/>
    <w:rsid w:val="00DF62B6"/>
    <w:rsid w:val="00E002D6"/>
    <w:rsid w:val="00E05416"/>
    <w:rsid w:val="00E07225"/>
    <w:rsid w:val="00E121D0"/>
    <w:rsid w:val="00E143BC"/>
    <w:rsid w:val="00E155B7"/>
    <w:rsid w:val="00E20EDC"/>
    <w:rsid w:val="00E423A1"/>
    <w:rsid w:val="00E52BEC"/>
    <w:rsid w:val="00E53600"/>
    <w:rsid w:val="00E5409F"/>
    <w:rsid w:val="00E56F49"/>
    <w:rsid w:val="00E61405"/>
    <w:rsid w:val="00E616AB"/>
    <w:rsid w:val="00E71426"/>
    <w:rsid w:val="00E75403"/>
    <w:rsid w:val="00E8121C"/>
    <w:rsid w:val="00E90255"/>
    <w:rsid w:val="00E91E6D"/>
    <w:rsid w:val="00E967F2"/>
    <w:rsid w:val="00EB52C5"/>
    <w:rsid w:val="00EC0185"/>
    <w:rsid w:val="00EC4B59"/>
    <w:rsid w:val="00EC62ED"/>
    <w:rsid w:val="00EC7CF9"/>
    <w:rsid w:val="00ED5701"/>
    <w:rsid w:val="00ED711C"/>
    <w:rsid w:val="00EE1CAE"/>
    <w:rsid w:val="00EE4777"/>
    <w:rsid w:val="00EF1C76"/>
    <w:rsid w:val="00EF4CBF"/>
    <w:rsid w:val="00F01C17"/>
    <w:rsid w:val="00F021FA"/>
    <w:rsid w:val="00F02501"/>
    <w:rsid w:val="00F14574"/>
    <w:rsid w:val="00F151B2"/>
    <w:rsid w:val="00F15A75"/>
    <w:rsid w:val="00F164F1"/>
    <w:rsid w:val="00F30AFD"/>
    <w:rsid w:val="00F31908"/>
    <w:rsid w:val="00F3240F"/>
    <w:rsid w:val="00F35770"/>
    <w:rsid w:val="00F3662D"/>
    <w:rsid w:val="00F40123"/>
    <w:rsid w:val="00F4402A"/>
    <w:rsid w:val="00F50B8A"/>
    <w:rsid w:val="00F53A9F"/>
    <w:rsid w:val="00F53CB2"/>
    <w:rsid w:val="00F57ACA"/>
    <w:rsid w:val="00F62E97"/>
    <w:rsid w:val="00F633AD"/>
    <w:rsid w:val="00F64209"/>
    <w:rsid w:val="00F73E9E"/>
    <w:rsid w:val="00F854E8"/>
    <w:rsid w:val="00F86E56"/>
    <w:rsid w:val="00F86F1D"/>
    <w:rsid w:val="00F93BF5"/>
    <w:rsid w:val="00F96A6A"/>
    <w:rsid w:val="00F96F63"/>
    <w:rsid w:val="00FA3B4A"/>
    <w:rsid w:val="00FA57C2"/>
    <w:rsid w:val="00FB09EC"/>
    <w:rsid w:val="00FB26A0"/>
    <w:rsid w:val="00FC0AE4"/>
    <w:rsid w:val="00FC72B3"/>
    <w:rsid w:val="00FD1FC5"/>
    <w:rsid w:val="00FD29BE"/>
    <w:rsid w:val="00FD4C8F"/>
    <w:rsid w:val="00FE2A81"/>
    <w:rsid w:val="00FE4205"/>
    <w:rsid w:val="00FF5F5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952B840"/>
  <w15:docId w15:val="{8179FE89-838E-424C-BD98-3CE2CE5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1C"/>
    <w:pPr>
      <w:widowControl w:val="0"/>
    </w:pPr>
    <w:rPr>
      <w:snapToGrid w:val="0"/>
      <w:kern w:val="28"/>
      <w:sz w:val="22"/>
    </w:rPr>
  </w:style>
  <w:style w:type="paragraph" w:styleId="Heading1">
    <w:name w:val="heading 1"/>
    <w:basedOn w:val="Normal"/>
    <w:next w:val="ParaNum"/>
    <w:qFormat/>
    <w:rsid w:val="00E812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121C"/>
    <w:pPr>
      <w:keepNext/>
      <w:numPr>
        <w:ilvl w:val="1"/>
        <w:numId w:val="3"/>
      </w:numPr>
      <w:spacing w:after="120"/>
      <w:outlineLvl w:val="1"/>
    </w:pPr>
    <w:rPr>
      <w:b/>
    </w:rPr>
  </w:style>
  <w:style w:type="paragraph" w:styleId="Heading3">
    <w:name w:val="heading 3"/>
    <w:basedOn w:val="Normal"/>
    <w:next w:val="ParaNum"/>
    <w:qFormat/>
    <w:rsid w:val="00E8121C"/>
    <w:pPr>
      <w:keepNext/>
      <w:numPr>
        <w:ilvl w:val="2"/>
        <w:numId w:val="3"/>
      </w:numPr>
      <w:tabs>
        <w:tab w:val="left" w:pos="2160"/>
      </w:tabs>
      <w:spacing w:after="120"/>
      <w:outlineLvl w:val="2"/>
    </w:pPr>
    <w:rPr>
      <w:b/>
    </w:rPr>
  </w:style>
  <w:style w:type="paragraph" w:styleId="Heading4">
    <w:name w:val="heading 4"/>
    <w:basedOn w:val="Normal"/>
    <w:next w:val="ParaNum"/>
    <w:qFormat/>
    <w:rsid w:val="00E8121C"/>
    <w:pPr>
      <w:keepNext/>
      <w:numPr>
        <w:ilvl w:val="3"/>
        <w:numId w:val="3"/>
      </w:numPr>
      <w:tabs>
        <w:tab w:val="left" w:pos="2880"/>
      </w:tabs>
      <w:spacing w:after="120"/>
      <w:outlineLvl w:val="3"/>
    </w:pPr>
    <w:rPr>
      <w:b/>
    </w:rPr>
  </w:style>
  <w:style w:type="paragraph" w:styleId="Heading5">
    <w:name w:val="heading 5"/>
    <w:basedOn w:val="Normal"/>
    <w:next w:val="ParaNum"/>
    <w:qFormat/>
    <w:rsid w:val="00E812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121C"/>
    <w:pPr>
      <w:numPr>
        <w:ilvl w:val="5"/>
        <w:numId w:val="3"/>
      </w:numPr>
      <w:tabs>
        <w:tab w:val="left" w:pos="4320"/>
      </w:tabs>
      <w:spacing w:after="120"/>
      <w:outlineLvl w:val="5"/>
    </w:pPr>
    <w:rPr>
      <w:b/>
    </w:rPr>
  </w:style>
  <w:style w:type="paragraph" w:styleId="Heading7">
    <w:name w:val="heading 7"/>
    <w:basedOn w:val="Normal"/>
    <w:next w:val="ParaNum"/>
    <w:qFormat/>
    <w:rsid w:val="00E812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12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12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81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8121C"/>
  </w:style>
  <w:style w:type="paragraph" w:customStyle="1" w:styleId="ParaNum">
    <w:name w:val="ParaNum"/>
    <w:basedOn w:val="Normal"/>
    <w:rsid w:val="00E8121C"/>
    <w:pPr>
      <w:numPr>
        <w:numId w:val="2"/>
      </w:numPr>
      <w:tabs>
        <w:tab w:val="clear" w:pos="1080"/>
        <w:tab w:val="num" w:pos="1440"/>
      </w:tabs>
      <w:spacing w:after="120"/>
    </w:pPr>
  </w:style>
  <w:style w:type="paragraph" w:styleId="EndnoteText">
    <w:name w:val="endnote text"/>
    <w:basedOn w:val="Normal"/>
    <w:semiHidden/>
    <w:rsid w:val="00E8121C"/>
    <w:rPr>
      <w:sz w:val="20"/>
    </w:rPr>
  </w:style>
  <w:style w:type="character" w:styleId="EndnoteReference">
    <w:name w:val="endnote reference"/>
    <w:semiHidden/>
    <w:rsid w:val="00E8121C"/>
    <w:rPr>
      <w:vertAlign w:val="superscript"/>
    </w:rPr>
  </w:style>
  <w:style w:type="paragraph" w:styleId="FootnoteText">
    <w:name w:val="footnote text"/>
    <w:link w:val="FootnoteTextChar"/>
    <w:rsid w:val="00E8121C"/>
    <w:pPr>
      <w:spacing w:after="120"/>
    </w:pPr>
  </w:style>
  <w:style w:type="character" w:styleId="FootnoteReference">
    <w:name w:val="footnote reference"/>
    <w:rsid w:val="00E8121C"/>
    <w:rPr>
      <w:rFonts w:ascii="Times New Roman" w:hAnsi="Times New Roman"/>
      <w:dstrike w:val="0"/>
      <w:color w:val="auto"/>
      <w:sz w:val="22"/>
      <w:vertAlign w:val="superscript"/>
    </w:rPr>
  </w:style>
  <w:style w:type="paragraph" w:styleId="TOC1">
    <w:name w:val="toc 1"/>
    <w:basedOn w:val="Normal"/>
    <w:next w:val="Normal"/>
    <w:uiPriority w:val="39"/>
    <w:rsid w:val="00E812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121C"/>
    <w:pPr>
      <w:tabs>
        <w:tab w:val="left" w:pos="720"/>
        <w:tab w:val="right" w:leader="dot" w:pos="9360"/>
      </w:tabs>
      <w:suppressAutoHyphens/>
      <w:ind w:left="720" w:right="720" w:hanging="360"/>
    </w:pPr>
    <w:rPr>
      <w:noProof/>
    </w:rPr>
  </w:style>
  <w:style w:type="paragraph" w:styleId="TOC3">
    <w:name w:val="toc 3"/>
    <w:basedOn w:val="Normal"/>
    <w:next w:val="Normal"/>
    <w:semiHidden/>
    <w:rsid w:val="00E812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12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12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12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12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12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12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121C"/>
    <w:pPr>
      <w:tabs>
        <w:tab w:val="right" w:pos="9360"/>
      </w:tabs>
      <w:suppressAutoHyphens/>
    </w:pPr>
  </w:style>
  <w:style w:type="character" w:customStyle="1" w:styleId="EquationCaption">
    <w:name w:val="_Equation Caption"/>
    <w:rsid w:val="00E8121C"/>
  </w:style>
  <w:style w:type="paragraph" w:styleId="Header">
    <w:name w:val="header"/>
    <w:basedOn w:val="Normal"/>
    <w:autoRedefine/>
    <w:rsid w:val="00E8121C"/>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E8121C"/>
    <w:pPr>
      <w:tabs>
        <w:tab w:val="center" w:pos="4320"/>
        <w:tab w:val="right" w:pos="8640"/>
      </w:tabs>
    </w:pPr>
  </w:style>
  <w:style w:type="character" w:styleId="PageNumber">
    <w:name w:val="page number"/>
    <w:basedOn w:val="DefaultParagraphFont"/>
    <w:rsid w:val="00E8121C"/>
  </w:style>
  <w:style w:type="paragraph" w:styleId="BlockText">
    <w:name w:val="Block Text"/>
    <w:basedOn w:val="Normal"/>
    <w:rsid w:val="00E8121C"/>
    <w:pPr>
      <w:spacing w:after="240"/>
      <w:ind w:left="1440" w:right="1440"/>
    </w:pPr>
  </w:style>
  <w:style w:type="paragraph" w:customStyle="1" w:styleId="Paratitle">
    <w:name w:val="Para title"/>
    <w:basedOn w:val="Normal"/>
    <w:rsid w:val="00E8121C"/>
    <w:pPr>
      <w:tabs>
        <w:tab w:val="center" w:pos="9270"/>
      </w:tabs>
      <w:spacing w:after="240"/>
    </w:pPr>
    <w:rPr>
      <w:spacing w:val="-2"/>
    </w:rPr>
  </w:style>
  <w:style w:type="paragraph" w:customStyle="1" w:styleId="Bullet">
    <w:name w:val="Bullet"/>
    <w:basedOn w:val="Normal"/>
    <w:rsid w:val="00E8121C"/>
    <w:pPr>
      <w:numPr>
        <w:numId w:val="1"/>
      </w:numPr>
      <w:tabs>
        <w:tab w:val="clear" w:pos="360"/>
        <w:tab w:val="left" w:pos="2160"/>
      </w:tabs>
      <w:spacing w:after="220"/>
      <w:ind w:left="2160" w:hanging="720"/>
    </w:pPr>
  </w:style>
  <w:style w:type="paragraph" w:customStyle="1" w:styleId="TableFormat">
    <w:name w:val="TableFormat"/>
    <w:basedOn w:val="Bullet"/>
    <w:rsid w:val="00E8121C"/>
    <w:pPr>
      <w:numPr>
        <w:numId w:val="0"/>
      </w:numPr>
      <w:tabs>
        <w:tab w:val="clear" w:pos="2160"/>
        <w:tab w:val="left" w:pos="5040"/>
      </w:tabs>
      <w:ind w:left="5040" w:hanging="3600"/>
    </w:pPr>
  </w:style>
  <w:style w:type="paragraph" w:customStyle="1" w:styleId="TOCTitle">
    <w:name w:val="TOC Title"/>
    <w:basedOn w:val="Normal"/>
    <w:rsid w:val="00E812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121C"/>
    <w:pPr>
      <w:jc w:val="center"/>
    </w:pPr>
    <w:rPr>
      <w:rFonts w:ascii="Times New Roman Bold" w:hAnsi="Times New Roman Bold"/>
      <w:b/>
      <w:bCs/>
      <w:caps/>
      <w:szCs w:val="22"/>
    </w:rPr>
  </w:style>
  <w:style w:type="character" w:styleId="Hyperlink">
    <w:name w:val="Hyperlink"/>
    <w:rsid w:val="00E8121C"/>
    <w:rPr>
      <w:color w:val="0000FF"/>
      <w:u w:val="single"/>
    </w:rPr>
  </w:style>
  <w:style w:type="character" w:customStyle="1" w:styleId="FooterChar">
    <w:name w:val="Footer Char"/>
    <w:link w:val="Footer"/>
    <w:uiPriority w:val="99"/>
    <w:rsid w:val="00E8121C"/>
    <w:rPr>
      <w:snapToGrid w:val="0"/>
      <w:kern w:val="28"/>
      <w:sz w:val="22"/>
    </w:rPr>
  </w:style>
  <w:style w:type="character" w:customStyle="1" w:styleId="FootnoteTextChar">
    <w:name w:val="Footnote Text Char"/>
    <w:link w:val="FootnoteText"/>
    <w:rsid w:val="005B549B"/>
  </w:style>
  <w:style w:type="paragraph" w:styleId="ListParagraph">
    <w:name w:val="List Paragraph"/>
    <w:basedOn w:val="Normal"/>
    <w:uiPriority w:val="34"/>
    <w:qFormat/>
    <w:rsid w:val="005B549B"/>
    <w:pPr>
      <w:widowControl/>
      <w:spacing w:after="120"/>
      <w:ind w:left="720"/>
      <w:contextualSpacing/>
    </w:pPr>
    <w:rPr>
      <w:rFonts w:eastAsia="Calibri"/>
      <w:snapToGrid/>
      <w:kern w:val="0"/>
      <w:szCs w:val="22"/>
    </w:rPr>
  </w:style>
  <w:style w:type="paragraph" w:customStyle="1" w:styleId="lbexindentitem">
    <w:name w:val="lbexindentitem"/>
    <w:basedOn w:val="Normal"/>
    <w:rsid w:val="00414B58"/>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F3ACA"/>
    <w:rPr>
      <w:color w:val="605E5C"/>
      <w:shd w:val="clear" w:color="auto" w:fill="E1DFDD"/>
    </w:rPr>
  </w:style>
  <w:style w:type="character" w:styleId="CommentReference">
    <w:name w:val="annotation reference"/>
    <w:basedOn w:val="DefaultParagraphFont"/>
    <w:uiPriority w:val="99"/>
    <w:semiHidden/>
    <w:unhideWhenUsed/>
    <w:rsid w:val="006C2FF2"/>
    <w:rPr>
      <w:sz w:val="16"/>
      <w:szCs w:val="16"/>
    </w:rPr>
  </w:style>
  <w:style w:type="paragraph" w:styleId="CommentText">
    <w:name w:val="annotation text"/>
    <w:basedOn w:val="Normal"/>
    <w:link w:val="CommentTextChar"/>
    <w:uiPriority w:val="99"/>
    <w:unhideWhenUsed/>
    <w:rsid w:val="006C2FF2"/>
    <w:rPr>
      <w:sz w:val="20"/>
    </w:rPr>
  </w:style>
  <w:style w:type="character" w:customStyle="1" w:styleId="CommentTextChar">
    <w:name w:val="Comment Text Char"/>
    <w:basedOn w:val="DefaultParagraphFont"/>
    <w:link w:val="CommentText"/>
    <w:uiPriority w:val="99"/>
    <w:rsid w:val="006C2FF2"/>
    <w:rPr>
      <w:snapToGrid w:val="0"/>
      <w:kern w:val="28"/>
    </w:rPr>
  </w:style>
  <w:style w:type="paragraph" w:styleId="CommentSubject">
    <w:name w:val="annotation subject"/>
    <w:basedOn w:val="CommentText"/>
    <w:next w:val="CommentText"/>
    <w:link w:val="CommentSubjectChar"/>
    <w:uiPriority w:val="99"/>
    <w:semiHidden/>
    <w:unhideWhenUsed/>
    <w:rsid w:val="006C2FF2"/>
    <w:rPr>
      <w:b/>
      <w:bCs/>
    </w:rPr>
  </w:style>
  <w:style w:type="character" w:customStyle="1" w:styleId="CommentSubjectChar">
    <w:name w:val="Comment Subject Char"/>
    <w:basedOn w:val="CommentTextChar"/>
    <w:link w:val="CommentSubject"/>
    <w:uiPriority w:val="99"/>
    <w:semiHidden/>
    <w:rsid w:val="006C2FF2"/>
    <w:rPr>
      <w:b/>
      <w:bCs/>
      <w:snapToGrid w:val="0"/>
      <w:kern w:val="28"/>
    </w:rPr>
  </w:style>
  <w:style w:type="paragraph" w:styleId="BalloonText">
    <w:name w:val="Balloon Text"/>
    <w:basedOn w:val="Normal"/>
    <w:link w:val="BalloonTextChar"/>
    <w:uiPriority w:val="99"/>
    <w:semiHidden/>
    <w:unhideWhenUsed/>
    <w:rsid w:val="006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F2"/>
    <w:rPr>
      <w:rFonts w:ascii="Segoe UI" w:hAnsi="Segoe UI" w:cs="Segoe UI"/>
      <w:snapToGrid w:val="0"/>
      <w:kern w:val="28"/>
      <w:sz w:val="18"/>
      <w:szCs w:val="18"/>
    </w:rPr>
  </w:style>
  <w:style w:type="paragraph" w:styleId="Revision">
    <w:name w:val="Revision"/>
    <w:hidden/>
    <w:uiPriority w:val="99"/>
    <w:semiHidden/>
    <w:rsid w:val="00012846"/>
    <w:rPr>
      <w:snapToGrid w:val="0"/>
      <w:kern w:val="28"/>
      <w:sz w:val="22"/>
    </w:rPr>
  </w:style>
  <w:style w:type="character" w:customStyle="1" w:styleId="UnresolvedMention2">
    <w:name w:val="Unresolved Mention2"/>
    <w:basedOn w:val="DefaultParagraphFont"/>
    <w:uiPriority w:val="99"/>
    <w:rsid w:val="00FB26A0"/>
    <w:rPr>
      <w:color w:val="605E5C"/>
      <w:shd w:val="clear" w:color="auto" w:fill="E1DFDD"/>
    </w:rPr>
  </w:style>
  <w:style w:type="character" w:customStyle="1" w:styleId="UnresolvedMention">
    <w:name w:val="Unresolved Mention"/>
    <w:uiPriority w:val="99"/>
    <w:unhideWhenUsed/>
    <w:rsid w:val="00E8121C"/>
    <w:rPr>
      <w:color w:val="605E5C"/>
      <w:shd w:val="clear" w:color="auto" w:fill="E1DFDD"/>
    </w:rPr>
  </w:style>
  <w:style w:type="character" w:styleId="FollowedHyperlink">
    <w:name w:val="FollowedHyperlink"/>
    <w:basedOn w:val="DefaultParagraphFont"/>
    <w:uiPriority w:val="99"/>
    <w:semiHidden/>
    <w:unhideWhenUsed/>
    <w:rsid w:val="00077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communications-security-reliability-and-interoperability-council-1" TargetMode="External" /><Relationship Id="rId6" Type="http://schemas.openxmlformats.org/officeDocument/2006/relationships/hyperlink" Target="mailto:CSRIC@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