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36F9E79" w14:textId="6C84F476">
      <w:pPr>
        <w:jc w:val="right"/>
        <w:rPr>
          <w:b/>
          <w:sz w:val="24"/>
        </w:rPr>
      </w:pPr>
      <w:r>
        <w:rPr>
          <w:b/>
          <w:sz w:val="24"/>
        </w:rPr>
        <w:t>DA 21-1237</w:t>
      </w:r>
    </w:p>
    <w:p w:rsidR="00013A8B" w:rsidRPr="00B20363" w:rsidP="00013A8B" w14:paraId="7C1F5DD2" w14:textId="51071591">
      <w:pPr>
        <w:spacing w:before="60"/>
        <w:jc w:val="right"/>
        <w:rPr>
          <w:b/>
          <w:sz w:val="24"/>
        </w:rPr>
      </w:pPr>
      <w:r>
        <w:rPr>
          <w:b/>
          <w:sz w:val="24"/>
        </w:rPr>
        <w:t xml:space="preserve">Released:  </w:t>
      </w:r>
      <w:r w:rsidR="00FF7AB8">
        <w:rPr>
          <w:b/>
          <w:sz w:val="24"/>
        </w:rPr>
        <w:t>October 1, 2021</w:t>
      </w:r>
    </w:p>
    <w:p w:rsidR="00013A8B" w:rsidP="00013A8B" w14:paraId="5A5F47A2" w14:textId="77777777">
      <w:pPr>
        <w:jc w:val="right"/>
        <w:rPr>
          <w:sz w:val="24"/>
        </w:rPr>
      </w:pPr>
    </w:p>
    <w:p w:rsidR="00FF7AB8" w:rsidRPr="00B26B1B" w:rsidP="00FF7AB8" w14:paraId="093DBA4C" w14:textId="77777777">
      <w:pPr>
        <w:spacing w:after="240"/>
        <w:jc w:val="center"/>
        <w:rPr>
          <w:b/>
          <w:caps/>
          <w:sz w:val="24"/>
          <w:szCs w:val="24"/>
        </w:rPr>
      </w:pPr>
      <w:bookmarkStart w:id="0" w:name="_Hlk57623808"/>
      <w:r w:rsidRPr="00B26B1B">
        <w:rPr>
          <w:b/>
          <w:caps/>
          <w:sz w:val="24"/>
          <w:szCs w:val="24"/>
        </w:rPr>
        <w:t>WIRELINE COMPETITION BUREAU RELEASES THE 202</w:t>
      </w:r>
      <w:r>
        <w:rPr>
          <w:b/>
          <w:caps/>
          <w:sz w:val="24"/>
          <w:szCs w:val="24"/>
        </w:rPr>
        <w:t>2</w:t>
      </w:r>
      <w:r w:rsidRPr="00B26B1B">
        <w:rPr>
          <w:b/>
          <w:caps/>
          <w:sz w:val="24"/>
          <w:szCs w:val="24"/>
        </w:rPr>
        <w:t xml:space="preserve"> TELECOMMUNICATIONS REPORTING WORKSHEETS AND ACCOMPANYING INSTRUCTIONS</w:t>
      </w:r>
    </w:p>
    <w:bookmarkEnd w:id="0"/>
    <w:p w:rsidR="00013A8B" w:rsidP="00013A8B" w14:paraId="64C60D94" w14:textId="78585897">
      <w:pPr>
        <w:jc w:val="center"/>
        <w:rPr>
          <w:b/>
          <w:sz w:val="24"/>
        </w:rPr>
      </w:pPr>
      <w:r>
        <w:rPr>
          <w:b/>
          <w:sz w:val="24"/>
        </w:rPr>
        <w:t>WC Docket No. 06-122</w:t>
      </w:r>
    </w:p>
    <w:p w:rsidR="00FF7AB8" w:rsidP="00FF7AB8" w14:paraId="5710B8F0" w14:textId="3BB984DB">
      <w:pPr>
        <w:rPr>
          <w:b/>
          <w:sz w:val="24"/>
        </w:rPr>
      </w:pPr>
    </w:p>
    <w:p w:rsidR="00FF7AB8" w:rsidP="00FF7AB8" w14:paraId="513A2B3F" w14:textId="77777777">
      <w:pPr>
        <w:autoSpaceDE w:val="0"/>
        <w:autoSpaceDN w:val="0"/>
        <w:adjustRightInd w:val="0"/>
        <w:spacing w:after="120"/>
        <w:ind w:firstLine="720"/>
        <w:rPr>
          <w:szCs w:val="22"/>
        </w:rPr>
      </w:pPr>
      <w:r>
        <w:rPr>
          <w:szCs w:val="22"/>
        </w:rPr>
        <w:t>The Wireline Competition Bureau (Bureau) announces the release of the (1) annual Telecommunications Reporting Worksheet, FCC Form 499-A (FCC Form 499-A) and accompanying instructions (FCC Form 499-A Instructions) to be used in 2022 to report 2021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2022 to report projected and collected revenues on a quarterly basis.</w:t>
      </w:r>
      <w:r>
        <w:rPr>
          <w:rStyle w:val="FootnoteReference1"/>
          <w:szCs w:val="22"/>
        </w:rPr>
        <w:footnoteReference w:id="4"/>
      </w:r>
      <w:r>
        <w:rPr>
          <w:szCs w:val="22"/>
        </w:rPr>
        <w:t xml:space="preserve"> </w:t>
      </w:r>
    </w:p>
    <w:p w:rsidR="00FF7AB8" w:rsidRPr="005A7205" w:rsidP="00FF7AB8" w14:paraId="3F99E322" w14:textId="77777777">
      <w:pPr>
        <w:autoSpaceDE w:val="0"/>
        <w:autoSpaceDN w:val="0"/>
        <w:adjustRightInd w:val="0"/>
        <w:spacing w:after="120"/>
        <w:ind w:firstLine="720"/>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The </w:t>
      </w:r>
      <w:r w:rsidRPr="00307B05">
        <w:rPr>
          <w:szCs w:val="22"/>
        </w:rPr>
        <w:t>Bureau sought comment on the proposed revisions by Public Notice.</w:t>
      </w:r>
      <w:r>
        <w:rPr>
          <w:rStyle w:val="FootnoteReference"/>
          <w:szCs w:val="22"/>
        </w:rPr>
        <w:footnoteReference w:id="6"/>
      </w:r>
      <w:r w:rsidRPr="00307B05">
        <w:rPr>
          <w:szCs w:val="22"/>
        </w:rPr>
        <w:t xml:space="preserve"> </w:t>
      </w:r>
      <w:r w:rsidRPr="00307B05">
        <w:t xml:space="preserve"> The Bureau submitted an extension without change of the information collection for the FCC Forms and the accompanying instructions (collection 3060-0855) to the Office of Management and Budget (OMB) for approval pursuant to 44 U.S.C.§ 3507 of the Paperwork Reduction Act of 1995</w:t>
      </w:r>
      <w:r w:rsidRPr="00307B05">
        <w:rPr>
          <w:szCs w:val="22"/>
        </w:rPr>
        <w:t>.</w:t>
      </w:r>
      <w:r>
        <w:rPr>
          <w:rStyle w:val="FootnoteReference"/>
          <w:szCs w:val="22"/>
        </w:rPr>
        <w:footnoteReference w:id="7"/>
      </w:r>
      <w:r w:rsidRPr="00307B05">
        <w:t xml:space="preserve">  This information collection was approved by OMB on </w:t>
      </w:r>
      <w:r w:rsidRPr="000369A5">
        <w:t>September</w:t>
      </w:r>
      <w:r w:rsidRPr="00307B05">
        <w:t xml:space="preserve"> </w:t>
      </w:r>
      <w:r w:rsidRPr="000369A5">
        <w:t>16</w:t>
      </w:r>
      <w:r w:rsidRPr="00307B05">
        <w:t xml:space="preserve">, </w:t>
      </w:r>
      <w:r w:rsidRPr="000369A5">
        <w:t>2021</w:t>
      </w:r>
      <w:r w:rsidRPr="00307B05">
        <w:t>.</w:t>
      </w:r>
      <w:r>
        <w:rPr>
          <w:rStyle w:val="FootnoteReference"/>
        </w:rPr>
        <w:footnoteReference w:id="8"/>
      </w:r>
      <w:r>
        <w:t xml:space="preserve">  </w:t>
      </w:r>
    </w:p>
    <w:p w:rsidR="00FF7AB8" w:rsidP="00FF7AB8" w14:paraId="0DAB61A0" w14:textId="77777777">
      <w:pPr>
        <w:ind w:firstLine="720"/>
        <w:rPr>
          <w:color w:val="0000FF"/>
          <w:u w:val="single"/>
        </w:rPr>
      </w:pPr>
      <w:r>
        <w:t>The revisions to the 2022 FCC Forms 499-A and 499-Q and the accompanying instructions, as applicable, are summarized below.  The revised FCC Forms and the accompanying instructions are also attached to this Public Notice for informational purposes only and will be available soon on the Universal Service Administrative Company’s (USAC) we</w:t>
      </w:r>
      <w:r w:rsidRPr="00723A99">
        <w:t xml:space="preserve">bsite at </w:t>
      </w:r>
      <w:r w:rsidRPr="00723A99">
        <w:rPr>
          <w:u w:val="single"/>
        </w:rPr>
        <w:t>https://www.usac.org/service-providers/contributing-to-the-usf/forms-to-file/</w:t>
      </w:r>
      <w:r w:rsidRPr="00723A99">
        <w:t>.</w:t>
      </w:r>
    </w:p>
    <w:p w:rsidR="00FF7AB8" w:rsidP="00FF7AB8" w14:paraId="02CCFB8A" w14:textId="77777777">
      <w:pPr>
        <w:rPr>
          <w:b/>
        </w:rPr>
      </w:pPr>
    </w:p>
    <w:p w:rsidR="00FF7AB8" w:rsidRPr="00DC3766" w:rsidP="00FF7AB8" w14:paraId="0CDA8A65" w14:textId="77777777">
      <w:pPr>
        <w:spacing w:after="120"/>
        <w:ind w:left="720"/>
        <w:rPr>
          <w:bCs/>
          <w:szCs w:val="22"/>
          <w:u w:val="single"/>
        </w:rPr>
      </w:pPr>
      <w:r w:rsidRPr="00DC3766">
        <w:rPr>
          <w:bCs/>
          <w:u w:val="single"/>
        </w:rPr>
        <w:t>Changes to the 202</w:t>
      </w:r>
      <w:r>
        <w:rPr>
          <w:bCs/>
          <w:u w:val="single"/>
        </w:rPr>
        <w:t>2</w:t>
      </w:r>
      <w:r w:rsidRPr="00DC3766">
        <w:rPr>
          <w:bCs/>
          <w:u w:val="single"/>
        </w:rPr>
        <w:t xml:space="preserve"> FCC Form 499-A and FCC Form 499-Q, where applicable, and instructions:</w:t>
      </w:r>
    </w:p>
    <w:p w:rsidR="00F61B1D" w:rsidRPr="00F61B1D" w:rsidP="00FF7AB8" w14:paraId="45387B52" w14:textId="77777777">
      <w:pPr>
        <w:widowControl/>
        <w:numPr>
          <w:ilvl w:val="0"/>
          <w:numId w:val="7"/>
        </w:numPr>
        <w:spacing w:after="120"/>
        <w:rPr>
          <w:b/>
          <w:szCs w:val="22"/>
        </w:rPr>
      </w:pPr>
      <w:r w:rsidRPr="00FF7AB8">
        <w:rPr>
          <w:b/>
        </w:rPr>
        <w:t>Date Changes:</w:t>
      </w:r>
      <w:r w:rsidRPr="00B94947">
        <w:t xml:space="preserve">  Dates were updated throughout the FCC Forms and instructions.  References to “20</w:t>
      </w:r>
      <w:r>
        <w:t>21</w:t>
      </w:r>
      <w:r w:rsidRPr="00B94947">
        <w:t>” were changed to “202</w:t>
      </w:r>
      <w:r>
        <w:t>2</w:t>
      </w:r>
      <w:r w:rsidRPr="00B94947">
        <w:t>” and references to “20</w:t>
      </w:r>
      <w:r>
        <w:t>20</w:t>
      </w:r>
      <w:r w:rsidRPr="00B94947">
        <w:t>” were changed to “20</w:t>
      </w:r>
      <w:r>
        <w:t>21</w:t>
      </w:r>
      <w:r w:rsidRPr="00B94947">
        <w:t>.”</w:t>
      </w:r>
    </w:p>
    <w:p w:rsidR="00FF7AB8" w:rsidRPr="00FF7AB8" w:rsidP="00FF7AB8" w14:paraId="49B40A1A" w14:textId="2CC2B8CE">
      <w:pPr>
        <w:widowControl/>
        <w:numPr>
          <w:ilvl w:val="0"/>
          <w:numId w:val="7"/>
        </w:numPr>
        <w:spacing w:after="120"/>
        <w:rPr>
          <w:b/>
          <w:szCs w:val="22"/>
        </w:rPr>
      </w:pPr>
      <w:r w:rsidRPr="00FF7AB8">
        <w:rPr>
          <w:b/>
          <w:szCs w:val="22"/>
        </w:rPr>
        <w:t xml:space="preserve">Clarifications and Stylistic Changes:  </w:t>
      </w:r>
      <w:r w:rsidRPr="007C358D">
        <w:t xml:space="preserve">In a number of instances, </w:t>
      </w:r>
      <w:r w:rsidRPr="00654369">
        <w:t xml:space="preserve">additional non-substantive clarifications and minor stylistic changes, such as </w:t>
      </w:r>
      <w:r>
        <w:t xml:space="preserve">correcting </w:t>
      </w:r>
      <w:r w:rsidRPr="00654369">
        <w:t>typo</w:t>
      </w:r>
      <w:r>
        <w:t>graphical errors</w:t>
      </w:r>
      <w:r w:rsidRPr="00654369">
        <w:t xml:space="preserve"> and spacing, are also mad</w:t>
      </w:r>
      <w:r>
        <w:t>e.</w:t>
      </w:r>
    </w:p>
    <w:p w:rsidR="00FF7AB8" w:rsidRPr="00DC3766" w:rsidP="00FF7AB8" w14:paraId="2D86F0B5" w14:textId="77777777">
      <w:pPr>
        <w:spacing w:after="120"/>
        <w:ind w:firstLine="720"/>
        <w:rPr>
          <w:bCs/>
          <w:u w:val="single"/>
        </w:rPr>
      </w:pPr>
      <w:r w:rsidRPr="00DC3766">
        <w:rPr>
          <w:bCs/>
          <w:u w:val="single"/>
        </w:rPr>
        <w:t>Updates to the 202</w:t>
      </w:r>
      <w:r>
        <w:rPr>
          <w:bCs/>
          <w:u w:val="single"/>
        </w:rPr>
        <w:t>2</w:t>
      </w:r>
      <w:r w:rsidRPr="00DC3766">
        <w:rPr>
          <w:bCs/>
          <w:u w:val="single"/>
        </w:rPr>
        <w:t xml:space="preserve"> FCC Form 499-A Instructions:</w:t>
      </w:r>
    </w:p>
    <w:p w:rsidR="00FF7AB8" w:rsidRPr="000369A5" w:rsidP="00FF7AB8" w14:paraId="558240BC" w14:textId="77777777">
      <w:pPr>
        <w:widowControl/>
        <w:numPr>
          <w:ilvl w:val="0"/>
          <w:numId w:val="7"/>
        </w:numPr>
        <w:spacing w:after="120"/>
        <w:rPr>
          <w:b/>
        </w:rPr>
      </w:pPr>
      <w:bookmarkStart w:id="2" w:name="_Hlk79064260"/>
      <w:r w:rsidRPr="00654369">
        <w:t xml:space="preserve">Page 7 is updated to clarify that a </w:t>
      </w:r>
      <w:r w:rsidRPr="00F404BA">
        <w:rPr>
          <w:i/>
          <w:iCs/>
        </w:rPr>
        <w:t>de minimis</w:t>
      </w:r>
      <w:r w:rsidRPr="00654369">
        <w:t xml:space="preserve"> provider may still have an indirect contribution obligation through </w:t>
      </w:r>
      <w:r>
        <w:t>Universal Service Fund (</w:t>
      </w:r>
      <w:r w:rsidRPr="00654369">
        <w:t>USF</w:t>
      </w:r>
      <w:r>
        <w:t>)</w:t>
      </w:r>
      <w:r w:rsidRPr="00654369">
        <w:t xml:space="preserve"> pass-through fees assessed by an underlying wholesale provide</w:t>
      </w:r>
      <w:r>
        <w:t>r.</w:t>
      </w:r>
    </w:p>
    <w:p w:rsidR="00FF7AB8" w:rsidRPr="006C5906" w:rsidP="00FF7AB8" w14:paraId="1E66E71C" w14:textId="77777777">
      <w:pPr>
        <w:widowControl/>
        <w:numPr>
          <w:ilvl w:val="0"/>
          <w:numId w:val="7"/>
        </w:numPr>
        <w:spacing w:after="120"/>
        <w:rPr>
          <w:b/>
        </w:rPr>
      </w:pPr>
      <w:r w:rsidRPr="006C5906">
        <w:t>Page</w:t>
      </w:r>
      <w:r>
        <w:t>s 8-</w:t>
      </w:r>
      <w:r w:rsidRPr="006C5906">
        <w:t xml:space="preserve">9 </w:t>
      </w:r>
      <w:r>
        <w:t xml:space="preserve">are </w:t>
      </w:r>
      <w:r w:rsidRPr="006C5906">
        <w:t xml:space="preserve">updated to clarify that </w:t>
      </w:r>
      <w:r>
        <w:t xml:space="preserve">even if </w:t>
      </w:r>
      <w:r w:rsidRPr="006C5906">
        <w:t>systems integrators</w:t>
      </w:r>
      <w:r>
        <w:t xml:space="preserve"> do not have a USF contribution obligation, they may</w:t>
      </w:r>
      <w:r w:rsidRPr="006C5906">
        <w:t xml:space="preserve"> have an obligation to file the Form 499-A </w:t>
      </w:r>
      <w:r>
        <w:t>if</w:t>
      </w:r>
      <w:r w:rsidRPr="006C5906">
        <w:t xml:space="preserve"> they have an obligation to contribute to other support mechanisms (T</w:t>
      </w:r>
      <w:r>
        <w:t xml:space="preserve">elecommunications </w:t>
      </w:r>
      <w:r w:rsidRPr="006C5906">
        <w:t>R</w:t>
      </w:r>
      <w:r>
        <w:t xml:space="preserve">elay </w:t>
      </w:r>
      <w:r w:rsidRPr="006C5906">
        <w:t>S</w:t>
      </w:r>
      <w:r>
        <w:t>ervices</w:t>
      </w:r>
      <w:r w:rsidRPr="006C5906">
        <w:t>, N</w:t>
      </w:r>
      <w:r>
        <w:t xml:space="preserve">orth </w:t>
      </w:r>
      <w:r w:rsidRPr="006C5906">
        <w:t>A</w:t>
      </w:r>
      <w:r>
        <w:t xml:space="preserve">merican </w:t>
      </w:r>
      <w:r w:rsidRPr="006C5906">
        <w:t>N</w:t>
      </w:r>
      <w:r>
        <w:t xml:space="preserve">umbering </w:t>
      </w:r>
      <w:r w:rsidRPr="006C5906">
        <w:t>P</w:t>
      </w:r>
      <w:r>
        <w:t>lan</w:t>
      </w:r>
      <w:r w:rsidRPr="006C5906">
        <w:t>, or L</w:t>
      </w:r>
      <w:r>
        <w:t xml:space="preserve">ocal </w:t>
      </w:r>
      <w:r w:rsidRPr="006C5906">
        <w:t>N</w:t>
      </w:r>
      <w:r>
        <w:t xml:space="preserve">umber </w:t>
      </w:r>
      <w:r w:rsidRPr="006C5906">
        <w:t>P</w:t>
      </w:r>
      <w:r>
        <w:t xml:space="preserve">ortability </w:t>
      </w:r>
      <w:r w:rsidRPr="006C5906">
        <w:t>A</w:t>
      </w:r>
      <w:r>
        <w:t>dministration</w:t>
      </w:r>
      <w:r w:rsidRPr="006C5906">
        <w:t>).</w:t>
      </w:r>
      <w:r>
        <w:rPr>
          <w:rStyle w:val="FootnoteReference"/>
        </w:rPr>
        <w:footnoteReference w:id="9"/>
      </w:r>
    </w:p>
    <w:p w:rsidR="00FF7AB8" w:rsidRPr="006C5906" w:rsidP="00FF7AB8" w14:paraId="265D6249" w14:textId="77777777">
      <w:pPr>
        <w:keepNext/>
        <w:widowControl/>
        <w:numPr>
          <w:ilvl w:val="0"/>
          <w:numId w:val="7"/>
        </w:numPr>
        <w:spacing w:after="120"/>
        <w:rPr>
          <w:b/>
        </w:rPr>
      </w:pPr>
      <w:r>
        <w:rPr>
          <w:bCs/>
        </w:rPr>
        <w:t>Page 14 is updated to clarify that traffic studies also include international revenues.</w:t>
      </w:r>
    </w:p>
    <w:p w:rsidR="00FF7AB8" w:rsidP="00FF7AB8" w14:paraId="267B90B8" w14:textId="77777777">
      <w:pPr>
        <w:widowControl/>
        <w:numPr>
          <w:ilvl w:val="0"/>
          <w:numId w:val="7"/>
        </w:numPr>
        <w:spacing w:after="120"/>
        <w:rPr>
          <w:bCs/>
        </w:rPr>
      </w:pPr>
      <w:r w:rsidRPr="006C5906">
        <w:rPr>
          <w:bCs/>
        </w:rPr>
        <w:t>Pages 24 and 29 are updated to clarify that non-USF revenues received as support from the federal or state governments may be reported on Line 308, including from programs such as the Emergency Connectivity Fund, Emergency Broadband Benefit Program, and the COVID-19 Telehealth Program</w:t>
      </w:r>
      <w:r>
        <w:rPr>
          <w:bCs/>
        </w:rPr>
        <w:t>.</w:t>
      </w:r>
    </w:p>
    <w:p w:rsidR="00FF7AB8" w:rsidP="00FF7AB8" w14:paraId="58B99CAD" w14:textId="77777777">
      <w:pPr>
        <w:widowControl/>
        <w:numPr>
          <w:ilvl w:val="0"/>
          <w:numId w:val="7"/>
        </w:numPr>
        <w:spacing w:after="120"/>
        <w:rPr>
          <w:bCs/>
        </w:rPr>
      </w:pPr>
      <w:r w:rsidRPr="006C5906">
        <w:rPr>
          <w:bCs/>
        </w:rPr>
        <w:t>Page 34 is updated to clarify that any charge identified on a bill as recovering contributions to state universal service support mechanisms must be shown on Line 403 and included in column (a) in the total.</w:t>
      </w:r>
    </w:p>
    <w:p w:rsidR="00FF7AB8" w:rsidP="00FF7AB8" w14:paraId="52687A80" w14:textId="77777777">
      <w:pPr>
        <w:widowControl/>
        <w:numPr>
          <w:ilvl w:val="0"/>
          <w:numId w:val="7"/>
        </w:numPr>
        <w:spacing w:after="120"/>
        <w:rPr>
          <w:bCs/>
        </w:rPr>
      </w:pPr>
      <w:r w:rsidRPr="006B45F4">
        <w:rPr>
          <w:bCs/>
        </w:rPr>
        <w:t>Page 34 is updated to clarify that Line 418 includes revenue from the provision of broadband transmission service offered on a common-carrier basis by rate-of-return carriers that are exempt from contribution obligations on those services pursuant to Commission order.</w:t>
      </w:r>
    </w:p>
    <w:p w:rsidR="00FF7AB8" w:rsidP="00FF7AB8" w14:paraId="15D52CF3" w14:textId="77777777">
      <w:pPr>
        <w:widowControl/>
        <w:numPr>
          <w:ilvl w:val="0"/>
          <w:numId w:val="7"/>
        </w:numPr>
        <w:spacing w:after="120"/>
        <w:rPr>
          <w:bCs/>
        </w:rPr>
      </w:pPr>
      <w:r w:rsidRPr="006B45F4">
        <w:rPr>
          <w:bCs/>
        </w:rPr>
        <w:t>Page 39 is updated to clarify that reseller certifications must be signed by an employee of the customer rather than a third-party representative or consultant.</w:t>
      </w:r>
    </w:p>
    <w:p w:rsidR="00FF7AB8" w:rsidP="00FF7AB8" w14:paraId="20EE49FE" w14:textId="77777777">
      <w:pPr>
        <w:widowControl/>
        <w:numPr>
          <w:ilvl w:val="0"/>
          <w:numId w:val="7"/>
        </w:numPr>
        <w:spacing w:after="120"/>
        <w:rPr>
          <w:bCs/>
        </w:rPr>
      </w:pPr>
      <w:r w:rsidRPr="006B45F4">
        <w:rPr>
          <w:bCs/>
        </w:rPr>
        <w:t>Page 41 is updated to clarify how filers should report good-faith estimates of interstate and international revenues, consistent with USAC’s E-file system configuration requirements, which does not support figures reported in percentages.</w:t>
      </w:r>
    </w:p>
    <w:p w:rsidR="00FF7AB8" w:rsidP="00FF7AB8" w14:paraId="4776D228" w14:textId="77777777">
      <w:pPr>
        <w:widowControl/>
        <w:numPr>
          <w:ilvl w:val="0"/>
          <w:numId w:val="7"/>
        </w:numPr>
        <w:spacing w:after="120"/>
        <w:rPr>
          <w:bCs/>
        </w:rPr>
      </w:pPr>
      <w:r w:rsidRPr="006B45F4">
        <w:rPr>
          <w:bCs/>
        </w:rPr>
        <w:t>Page 42 is updated to clarify that a safe harbor can be applied to revenues reported on Line 311.</w:t>
      </w:r>
    </w:p>
    <w:p w:rsidR="00FF7AB8" w:rsidRPr="006C5906" w:rsidP="00FF7AB8" w14:paraId="42974E52" w14:textId="77777777">
      <w:pPr>
        <w:widowControl/>
        <w:numPr>
          <w:ilvl w:val="0"/>
          <w:numId w:val="7"/>
        </w:numPr>
        <w:spacing w:after="120"/>
        <w:rPr>
          <w:bCs/>
        </w:rPr>
      </w:pPr>
      <w:bookmarkStart w:id="3" w:name="_Hlk79065286"/>
      <w:r w:rsidRPr="006B45F4">
        <w:rPr>
          <w:bCs/>
        </w:rPr>
        <w:t>Page 51 is updated to provide an active link for other common filing requirements for telecommunications carriers and other providers of interstate telecommunications.</w:t>
      </w:r>
    </w:p>
    <w:bookmarkEnd w:id="3"/>
    <w:p w:rsidR="00FF7AB8" w:rsidP="00FF7AB8" w14:paraId="5B00C802" w14:textId="77777777">
      <w:pPr>
        <w:widowControl/>
        <w:spacing w:after="120"/>
        <w:ind w:firstLine="720"/>
        <w:rPr>
          <w:bCs/>
          <w:u w:val="single"/>
        </w:rPr>
      </w:pPr>
      <w:r w:rsidRPr="00FF5645">
        <w:rPr>
          <w:bCs/>
          <w:u w:val="single"/>
        </w:rPr>
        <w:t>Changes to the 2022 Form 499-Q Instructions:</w:t>
      </w:r>
    </w:p>
    <w:p w:rsidR="00FF7AB8" w:rsidRPr="000369A5" w:rsidP="008B33F5" w14:paraId="2364D03E" w14:textId="77777777">
      <w:pPr>
        <w:widowControl/>
        <w:numPr>
          <w:ilvl w:val="0"/>
          <w:numId w:val="7"/>
        </w:numPr>
        <w:rPr>
          <w:bCs/>
        </w:rPr>
      </w:pPr>
      <w:r w:rsidRPr="002840E9">
        <w:rPr>
          <w:b/>
        </w:rPr>
        <w:t>Circularity Factor Update:</w:t>
      </w:r>
      <w:r w:rsidRPr="002840E9">
        <w:rPr>
          <w:bCs/>
        </w:rPr>
        <w:t xml:space="preserve">  The </w:t>
      </w:r>
      <w:r w:rsidRPr="000369A5">
        <w:rPr>
          <w:bCs/>
        </w:rPr>
        <w:t xml:space="preserve">circularity factor </w:t>
      </w:r>
      <w:r>
        <w:rPr>
          <w:bCs/>
        </w:rPr>
        <w:t xml:space="preserve">is </w:t>
      </w:r>
      <w:r w:rsidRPr="000369A5">
        <w:rPr>
          <w:bCs/>
        </w:rPr>
        <w:t>updated in the Form 499-Q instructions based upon the quarterly contribution factors subsequent to the Fourth Quarter 2021 contribution factor announcement.</w:t>
      </w:r>
    </w:p>
    <w:bookmarkEnd w:id="2"/>
    <w:p w:rsidR="00FF7AB8" w:rsidP="008B33F5" w14:paraId="191377BA" w14:textId="77777777">
      <w:pPr>
        <w:ind w:firstLine="720"/>
        <w:jc w:val="center"/>
        <w:rPr>
          <w:szCs w:val="22"/>
        </w:rPr>
      </w:pPr>
    </w:p>
    <w:p w:rsidR="00FF7AB8" w:rsidP="00FF7AB8" w14:paraId="22EA68D2" w14:textId="3CFB8B15">
      <w:pPr>
        <w:spacing w:after="120"/>
        <w:ind w:firstLine="720"/>
        <w:jc w:val="center"/>
        <w:rPr>
          <w:szCs w:val="22"/>
        </w:rPr>
      </w:pPr>
      <w:r>
        <w:rPr>
          <w:szCs w:val="22"/>
        </w:rPr>
        <w:t>**************</w:t>
      </w:r>
      <w:r w:rsidRPr="004D02C8">
        <w:rPr>
          <w:szCs w:val="22"/>
        </w:rPr>
        <w:t>***</w:t>
      </w:r>
    </w:p>
    <w:p w:rsidR="00FF7AB8" w:rsidP="00FF7AB8" w14:paraId="15C411BD" w14:textId="77777777">
      <w:pPr>
        <w:widowControl/>
        <w:spacing w:after="120"/>
        <w:ind w:left="90" w:firstLine="630"/>
      </w:pPr>
      <w:r w:rsidRPr="004D02C8">
        <w:t xml:space="preserve">People with Disabilities:  To request materials in accessible formats for people with disabilities (Braille, large print, electronic files, audio format), send an e-mail to </w:t>
      </w:r>
      <w:hyperlink r:id="rId5" w:history="1">
        <w:r w:rsidRPr="00C72885">
          <w:rPr>
            <w:rStyle w:val="Hyperlink"/>
            <w:szCs w:val="22"/>
          </w:rPr>
          <w:t>fcc504@fcc.gov</w:t>
        </w:r>
      </w:hyperlink>
      <w:r w:rsidRPr="004D02C8">
        <w:t xml:space="preserve"> or call the Consumer &amp; Governmental Affairs Bureau at 202-418-0530 (voice), 202-418-0432 (</w:t>
      </w:r>
      <w:r>
        <w:t>TTY</w:t>
      </w:r>
      <w:r w:rsidRPr="004D02C8">
        <w:t>).</w:t>
      </w:r>
    </w:p>
    <w:p w:rsidR="00FF7AB8" w:rsidP="00FF7AB8" w14:paraId="59F225DE" w14:textId="77777777">
      <w:pPr>
        <w:ind w:firstLine="720"/>
      </w:pPr>
      <w:r>
        <w:t xml:space="preserve">For further information, please contact Veronica Garcia-Ulloa, Telecommunications Access Policy Division, Wireline Competition Bureau, at </w:t>
      </w:r>
      <w:hyperlink r:id="rId6" w:history="1">
        <w:r w:rsidRPr="00630B10">
          <w:rPr>
            <w:rStyle w:val="Hyperlink"/>
          </w:rPr>
          <w:t>Veronica.Garcia-Ulloa@fcc.gov</w:t>
        </w:r>
      </w:hyperlink>
      <w:r>
        <w:t xml:space="preserve"> or at (202) 418-0481. </w:t>
      </w:r>
    </w:p>
    <w:p w:rsidR="00FF7AB8" w:rsidP="00FF7AB8" w14:paraId="51233791" w14:textId="77777777"/>
    <w:p w:rsidR="00FF7AB8" w:rsidRPr="00B26B1B" w:rsidP="00FF7AB8" w14:paraId="1DE94426" w14:textId="4F1796DB">
      <w:r w:rsidRPr="004D02C8">
        <w:rPr>
          <w:b/>
        </w:rPr>
        <w:t>Attachments:</w:t>
      </w:r>
    </w:p>
    <w:p w:rsidR="00FF7AB8" w:rsidP="00FF7AB8" w14:paraId="18E81A08" w14:textId="77777777">
      <w:pPr>
        <w:keepNext/>
        <w:keepLines/>
      </w:pPr>
    </w:p>
    <w:p w:rsidR="00FF7AB8" w:rsidRPr="004D02C8" w:rsidP="00FF7AB8" w14:paraId="1B3B6F8A" w14:textId="77777777">
      <w:pPr>
        <w:keepNext/>
        <w:keepLines/>
      </w:pPr>
      <w:r>
        <w:t>Attachment A:  2022 FCC Form 499-A</w:t>
      </w:r>
    </w:p>
    <w:p w:rsidR="00FF7AB8" w:rsidRPr="004D02C8" w:rsidP="00FF7AB8" w14:paraId="5232B150" w14:textId="77777777">
      <w:pPr>
        <w:rPr>
          <w:szCs w:val="22"/>
        </w:rPr>
      </w:pPr>
      <w:r>
        <w:t>Attachment B</w:t>
      </w:r>
      <w:r w:rsidRPr="004D02C8">
        <w:t xml:space="preserve">:  </w:t>
      </w:r>
      <w:r>
        <w:t xml:space="preserve">2022 </w:t>
      </w:r>
      <w:r>
        <w:rPr>
          <w:szCs w:val="22"/>
        </w:rPr>
        <w:t xml:space="preserve">FCC </w:t>
      </w:r>
      <w:r w:rsidRPr="004D02C8">
        <w:rPr>
          <w:szCs w:val="22"/>
        </w:rPr>
        <w:t>Form 4</w:t>
      </w:r>
      <w:r>
        <w:rPr>
          <w:szCs w:val="22"/>
        </w:rPr>
        <w:t>99-A Instructions</w:t>
      </w:r>
    </w:p>
    <w:p w:rsidR="00FF7AB8" w:rsidRPr="004D02C8" w:rsidP="00FF7AB8" w14:paraId="7DC91C08" w14:textId="77777777">
      <w:pPr>
        <w:keepNext/>
        <w:keepLines/>
      </w:pPr>
      <w:r>
        <w:t xml:space="preserve">Attachment C:  2022 FCC Form 499-Q </w:t>
      </w:r>
    </w:p>
    <w:p w:rsidR="00FF7AB8" w:rsidP="00FF7AB8" w14:paraId="2745542C" w14:textId="77777777">
      <w:pPr>
        <w:rPr>
          <w:szCs w:val="22"/>
        </w:rPr>
      </w:pPr>
      <w:r>
        <w:t>Attachment D</w:t>
      </w:r>
      <w:r w:rsidRPr="004D02C8">
        <w:t xml:space="preserve">:  </w:t>
      </w:r>
      <w:r>
        <w:t xml:space="preserve">2022 FCC </w:t>
      </w:r>
      <w:r w:rsidRPr="004D02C8">
        <w:rPr>
          <w:szCs w:val="22"/>
        </w:rPr>
        <w:t>Form 4</w:t>
      </w:r>
      <w:r>
        <w:rPr>
          <w:szCs w:val="22"/>
        </w:rPr>
        <w:t>99-Q Instructions</w:t>
      </w:r>
    </w:p>
    <w:p w:rsidR="00FF7AB8" w:rsidP="00FF7AB8" w14:paraId="572AA9A9" w14:textId="04885411">
      <w:pPr>
        <w:rPr>
          <w:b/>
          <w:sz w:val="24"/>
        </w:rPr>
      </w:pPr>
    </w:p>
    <w:p w:rsidR="00FF7AB8" w:rsidP="00FF7AB8" w14:paraId="06C4DD0E" w14:textId="77777777">
      <w:pPr>
        <w:jc w:val="center"/>
        <w:rPr>
          <w:b/>
          <w:sz w:val="24"/>
        </w:rPr>
      </w:pPr>
    </w:p>
    <w:p w:rsidR="00FF7AB8" w:rsidP="00FF7AB8" w14:paraId="2A6E5F0A" w14:textId="1AE4DEE8">
      <w:pPr>
        <w:jc w:val="center"/>
        <w:rPr>
          <w:b/>
          <w:sz w:val="24"/>
        </w:rPr>
      </w:pPr>
    </w:p>
    <w:p w:rsidR="00FF7AB8" w:rsidP="00FF7AB8" w14:paraId="594836EF" w14:textId="77777777">
      <w:pPr>
        <w:jc w:val="center"/>
        <w:rPr>
          <w:b/>
          <w:sz w:val="24"/>
        </w:rPr>
      </w:pPr>
    </w:p>
    <w:p w:rsidR="00FF7AB8" w:rsidP="00FF7AB8" w14:paraId="52C88DFB" w14:textId="496107A0">
      <w:pPr>
        <w:jc w:val="center"/>
        <w:rPr>
          <w:b/>
          <w:sz w:val="24"/>
        </w:rPr>
      </w:pPr>
      <w:r w:rsidRPr="00FF7AB8">
        <w:rPr>
          <w:b/>
          <w:sz w:val="24"/>
        </w:rPr>
        <w:t>-</w:t>
      </w:r>
      <w:r>
        <w:rPr>
          <w:b/>
          <w:sz w:val="24"/>
        </w:rPr>
        <w:t xml:space="preserve">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DE91E8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3440E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361F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CB277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7AB8" w14:paraId="1C109298" w14:textId="77777777">
      <w:r>
        <w:separator/>
      </w:r>
    </w:p>
  </w:footnote>
  <w:footnote w:type="continuationSeparator" w:id="1">
    <w:p w:rsidR="00FF7AB8" w14:paraId="6F3283FA" w14:textId="77777777">
      <w:pPr>
        <w:rPr>
          <w:sz w:val="20"/>
        </w:rPr>
      </w:pPr>
      <w:r>
        <w:rPr>
          <w:sz w:val="20"/>
        </w:rPr>
        <w:t xml:space="preserve">(Continued from previous page)  </w:t>
      </w:r>
      <w:r>
        <w:rPr>
          <w:sz w:val="20"/>
        </w:rPr>
        <w:separator/>
      </w:r>
    </w:p>
  </w:footnote>
  <w:footnote w:type="continuationNotice" w:id="2">
    <w:p w:rsidR="00FF7AB8" w:rsidP="00910F12" w14:paraId="50CBA995" w14:textId="77777777">
      <w:pPr>
        <w:jc w:val="right"/>
        <w:rPr>
          <w:sz w:val="20"/>
        </w:rPr>
      </w:pPr>
      <w:r>
        <w:rPr>
          <w:sz w:val="20"/>
        </w:rPr>
        <w:t>(continued….)</w:t>
      </w:r>
    </w:p>
  </w:footnote>
  <w:footnote w:id="3">
    <w:p w:rsidR="00FF7AB8" w:rsidP="00FF7AB8" w14:paraId="29BAD9CD" w14:textId="5D88725B">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w:t>
      </w:r>
      <w:r w:rsidRPr="00FF4664">
        <w:t xml:space="preserve">mpany Schedule of Filings, </w:t>
      </w:r>
      <w:hyperlink r:id="rId1" w:history="1">
        <w:r w:rsidRPr="005B782B" w:rsidR="008B33F5">
          <w:rPr>
            <w:rStyle w:val="Hyperlink"/>
            <w:snapToGrid w:val="0"/>
            <w:kern w:val="28"/>
          </w:rPr>
          <w:t>https://www.usac.org/service-providers/contributing-to-the-usf/when-to-file/</w:t>
        </w:r>
      </w:hyperlink>
      <w:r w:rsidR="008B33F5">
        <w:rPr>
          <w:snapToGrid w:val="0"/>
          <w:kern w:val="28"/>
          <w:u w:val="single"/>
        </w:rPr>
        <w:t xml:space="preserve"> </w:t>
      </w:r>
      <w:r w:rsidRPr="00AB4723">
        <w:t xml:space="preserve">(last </w:t>
      </w:r>
      <w:r>
        <w:t xml:space="preserve">visited </w:t>
      </w:r>
      <w:r w:rsidR="008B33F5">
        <w:t>Oct. 1</w:t>
      </w:r>
      <w:r>
        <w:t>, 2021).</w:t>
      </w:r>
    </w:p>
  </w:footnote>
  <w:footnote w:id="4">
    <w:p w:rsidR="00FF7AB8" w:rsidP="00FF7AB8" w14:paraId="004261B2"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FF7AB8" w:rsidRPr="00FE5686" w:rsidP="00FF7AB8" w14:paraId="0DAAA370"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See, e.g.</w:t>
      </w:r>
      <w:r w:rsidRPr="008B33F5">
        <w:rPr>
          <w:iCs/>
        </w:rPr>
        <w:t>,</w:t>
      </w:r>
      <w:r w:rsidRPr="002878C6">
        <w:rPr>
          <w:i/>
        </w:rPr>
        <w:t xml:space="preserve">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6">
    <w:p w:rsidR="00FF7AB8" w:rsidRPr="009A72F5" w:rsidP="00FF7AB8" w14:paraId="664CB4E3" w14:textId="77777777">
      <w:pPr>
        <w:pStyle w:val="FootnoteText"/>
      </w:pPr>
      <w:r>
        <w:rPr>
          <w:rStyle w:val="FootnoteReference"/>
        </w:rPr>
        <w:footnoteRef/>
      </w:r>
      <w:r>
        <w:t xml:space="preserve"> </w:t>
      </w:r>
      <w:r w:rsidRPr="003F49E8">
        <w:rPr>
          <w:i/>
          <w:iCs/>
        </w:rPr>
        <w:t>Wireline Competition Bureau Seeks Comment on Proposed Changes to the 202</w:t>
      </w:r>
      <w:r>
        <w:rPr>
          <w:i/>
          <w:iCs/>
        </w:rPr>
        <w:t>2</w:t>
      </w:r>
      <w:r w:rsidRPr="003F49E8">
        <w:rPr>
          <w:i/>
          <w:iCs/>
        </w:rPr>
        <w:t xml:space="preserve"> FCC Form 499-A, FCC Form 499-Q, and Accompanying Instructions</w:t>
      </w:r>
      <w:r>
        <w:t xml:space="preserve">, Public Notice, </w:t>
      </w:r>
      <w:r w:rsidRPr="00B94947">
        <w:t xml:space="preserve">DA </w:t>
      </w:r>
      <w:r>
        <w:t>21</w:t>
      </w:r>
      <w:r w:rsidRPr="00B94947">
        <w:t>-</w:t>
      </w:r>
      <w:r>
        <w:t xml:space="preserve">785 (rel. July 1, 2021) </w:t>
      </w:r>
      <w:r w:rsidRPr="009A72F5">
        <w:t>(</w:t>
      </w:r>
      <w:bookmarkStart w:id="1" w:name="_Hlk83640683"/>
      <w:r>
        <w:rPr>
          <w:i/>
          <w:iCs/>
        </w:rPr>
        <w:t>2022 Form 499 Public Notice</w:t>
      </w:r>
      <w:r w:rsidRPr="009A72F5">
        <w:t>)</w:t>
      </w:r>
      <w:r>
        <w:t>.</w:t>
      </w:r>
    </w:p>
    <w:bookmarkEnd w:id="1"/>
  </w:footnote>
  <w:footnote w:id="7">
    <w:p w:rsidR="00FF7AB8" w:rsidRPr="00CE3B72" w:rsidP="00FF7AB8" w14:paraId="27C44F53" w14:textId="4C6E7AC3">
      <w:pPr>
        <w:pStyle w:val="FootnoteText"/>
        <w:rPr>
          <w:highlight w:val="yellow"/>
        </w:rPr>
      </w:pPr>
      <w:r>
        <w:rPr>
          <w:rStyle w:val="FootnoteReference"/>
        </w:rPr>
        <w:footnoteRef/>
      </w:r>
      <w:r>
        <w:t xml:space="preserve"> </w:t>
      </w:r>
      <w:r>
        <w:rPr>
          <w:i/>
        </w:rPr>
        <w:t xml:space="preserve">See </w:t>
      </w:r>
      <w:r w:rsidRPr="005F0ED1">
        <w:t>OMB</w:t>
      </w:r>
      <w:r>
        <w:t xml:space="preserve"> Website, OMB Control Number History, </w:t>
      </w:r>
      <w:hyperlink r:id="rId2" w:history="1">
        <w:r w:rsidRPr="005B782B" w:rsidR="008B33F5">
          <w:rPr>
            <w:rStyle w:val="Hyperlink"/>
          </w:rPr>
          <w:t>http://reginfo.gov/public/do/PRAOMBHistory?ombControlNumber=3060-0855</w:t>
        </w:r>
      </w:hyperlink>
      <w:r w:rsidR="008B33F5">
        <w:t xml:space="preserve"> </w:t>
      </w:r>
      <w:r w:rsidRPr="001A486C">
        <w:t xml:space="preserve">(ICR Reference Number </w:t>
      </w:r>
      <w:r w:rsidRPr="00E358C5">
        <w:rPr>
          <w:sz w:val="18"/>
          <w:szCs w:val="18"/>
        </w:rPr>
        <w:t>202108-3060-015</w:t>
      </w:r>
      <w:r w:rsidRPr="001A486C">
        <w:t xml:space="preserve">) (last visited </w:t>
      </w:r>
      <w:r w:rsidR="008B33F5">
        <w:t>Oct. 1</w:t>
      </w:r>
      <w:r w:rsidRPr="001A486C">
        <w:t>, 202</w:t>
      </w:r>
      <w:r>
        <w:t>1</w:t>
      </w:r>
      <w:r w:rsidRPr="001A486C">
        <w:t>).</w:t>
      </w:r>
    </w:p>
  </w:footnote>
  <w:footnote w:id="8">
    <w:p w:rsidR="00FF7AB8" w:rsidRPr="000F260A" w:rsidP="00FF7AB8" w14:paraId="3123ED8F" w14:textId="0F9C2CA8">
      <w:pPr>
        <w:pStyle w:val="FootnoteText"/>
      </w:pPr>
      <w:r w:rsidRPr="001A486C">
        <w:rPr>
          <w:rStyle w:val="FootnoteReference"/>
        </w:rPr>
        <w:footnoteRef/>
      </w:r>
      <w:r w:rsidRPr="001A486C">
        <w:t xml:space="preserve"> </w:t>
      </w:r>
      <w:r w:rsidRPr="001A486C">
        <w:rPr>
          <w:i/>
        </w:rPr>
        <w:t xml:space="preserve">See </w:t>
      </w:r>
      <w:r w:rsidRPr="005F0ED1">
        <w:t>Notice</w:t>
      </w:r>
      <w:r w:rsidRPr="001A486C">
        <w:t xml:space="preserve"> of Office of Management and Budget Action (NOA) (dated </w:t>
      </w:r>
      <w:r>
        <w:t>Sept</w:t>
      </w:r>
      <w:r w:rsidRPr="001A486C">
        <w:t xml:space="preserve">. </w:t>
      </w:r>
      <w:r>
        <w:t>16</w:t>
      </w:r>
      <w:r w:rsidRPr="001A486C">
        <w:t>, 202</w:t>
      </w:r>
      <w:r>
        <w:t>1</w:t>
      </w:r>
      <w:r w:rsidRPr="001A486C">
        <w:t xml:space="preserve">), </w:t>
      </w:r>
      <w:hyperlink r:id="rId2" w:history="1">
        <w:r w:rsidRPr="005B782B" w:rsidR="008B33F5">
          <w:rPr>
            <w:rStyle w:val="Hyperlink"/>
          </w:rPr>
          <w:t>http://reginfo.gov/public/do/PRAOMBHistory?ombControlNumber=3060-0855</w:t>
        </w:r>
      </w:hyperlink>
      <w:r w:rsidR="008B33F5">
        <w:t xml:space="preserve"> </w:t>
      </w:r>
      <w:r w:rsidRPr="001A486C">
        <w:t xml:space="preserve">(ICR Reference Number </w:t>
      </w:r>
      <w:r w:rsidRPr="00E358C5">
        <w:rPr>
          <w:sz w:val="18"/>
          <w:szCs w:val="18"/>
        </w:rPr>
        <w:t>202108-3060-015</w:t>
      </w:r>
      <w:r w:rsidRPr="001A486C">
        <w:t xml:space="preserve">) (last visited </w:t>
      </w:r>
      <w:r w:rsidR="008B33F5">
        <w:t>Oct. 1</w:t>
      </w:r>
      <w:r w:rsidRPr="001A486C">
        <w:t>, 202</w:t>
      </w:r>
      <w:r>
        <w:t>1</w:t>
      </w:r>
      <w:r w:rsidRPr="001A486C">
        <w:t>).</w:t>
      </w:r>
    </w:p>
  </w:footnote>
  <w:footnote w:id="9">
    <w:p w:rsidR="00FF7AB8" w:rsidRPr="00345C80" w:rsidP="00FF7AB8" w14:paraId="4A5D4896" w14:textId="77777777">
      <w:pPr>
        <w:pStyle w:val="FootnoteText"/>
      </w:pPr>
      <w:r>
        <w:rPr>
          <w:rStyle w:val="FootnoteReference"/>
        </w:rPr>
        <w:footnoteRef/>
      </w:r>
      <w:r>
        <w:t xml:space="preserve"> </w:t>
      </w:r>
      <w:r w:rsidRPr="000F6CCE">
        <w:t xml:space="preserve">Based on comments submitted in response to the </w:t>
      </w:r>
      <w:r w:rsidRPr="000F6CCE">
        <w:rPr>
          <w:i/>
          <w:iCs/>
        </w:rPr>
        <w:t>2022 Form 499 Public Notice</w:t>
      </w:r>
      <w:r w:rsidRPr="000F6CCE">
        <w:t>, the Bureau slightly modified the originally proposed language to more accurately reflect the filing requirements of systems integrators, otherwise the revisions proposed in the P</w:t>
      </w:r>
      <w:r>
        <w:t>ublic Notice</w:t>
      </w:r>
      <w:r w:rsidRPr="000F6CCE">
        <w:t xml:space="preserve"> remain unchanged.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F48B2B" w14:textId="2EF834AB">
    <w:pPr>
      <w:tabs>
        <w:tab w:val="center" w:pos="4680"/>
        <w:tab w:val="right" w:pos="9360"/>
      </w:tabs>
    </w:pPr>
    <w:r w:rsidRPr="009838BC">
      <w:rPr>
        <w:b/>
      </w:rPr>
      <w:tab/>
      <w:t>Federal Communications Commission</w:t>
    </w:r>
    <w:r w:rsidRPr="009838BC">
      <w:rPr>
        <w:b/>
      </w:rPr>
      <w:tab/>
    </w:r>
    <w:r w:rsidR="00FF7AB8">
      <w:rPr>
        <w:b/>
      </w:rPr>
      <w:t>DA 21-1237</w:t>
    </w:r>
  </w:p>
  <w:p w:rsidR="009838BC" w:rsidRPr="009838BC" w:rsidP="009838BC" w14:paraId="758BB84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C2861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5B547E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2D1C9DE" w14:textId="77777777">
                <w:pPr>
                  <w:rPr>
                    <w:rFonts w:ascii="Arial" w:hAnsi="Arial"/>
                    <w:b/>
                    <w:snapToGrid/>
                  </w:rPr>
                </w:pPr>
                <w:r>
                  <w:rPr>
                    <w:rFonts w:ascii="Arial" w:hAnsi="Arial"/>
                    <w:b/>
                  </w:rPr>
                  <w:t>Federal Communications Commission</w:t>
                </w:r>
              </w:p>
              <w:p w:rsidR="00DE0AB8" w:rsidP="00DE0AB8" w14:paraId="353A0DE9" w14:textId="77777777">
                <w:pPr>
                  <w:rPr>
                    <w:rFonts w:ascii="Arial" w:hAnsi="Arial"/>
                    <w:b/>
                  </w:rPr>
                </w:pPr>
                <w:r>
                  <w:rPr>
                    <w:rFonts w:ascii="Arial" w:hAnsi="Arial"/>
                    <w:b/>
                  </w:rPr>
                  <w:t>45 L Street NE</w:t>
                </w:r>
              </w:p>
              <w:p w:rsidR="009838BC" w:rsidP="00DE0AB8" w14:paraId="0F34695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694D5B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2365AA5" w14:textId="77777777">
                <w:pPr>
                  <w:spacing w:before="40"/>
                  <w:jc w:val="right"/>
                  <w:rPr>
                    <w:rFonts w:ascii="Arial" w:hAnsi="Arial"/>
                    <w:b/>
                    <w:sz w:val="16"/>
                  </w:rPr>
                </w:pPr>
                <w:r>
                  <w:rPr>
                    <w:rFonts w:ascii="Arial" w:hAnsi="Arial"/>
                    <w:b/>
                    <w:sz w:val="16"/>
                  </w:rPr>
                  <w:t>News Media Information 202 / 418-0500</w:t>
                </w:r>
              </w:p>
              <w:p w:rsidR="009838BC" w:rsidP="009838BC" w14:paraId="6A40487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F2956AC" w14:textId="77777777">
                <w:pPr>
                  <w:jc w:val="right"/>
                </w:pPr>
                <w:r>
                  <w:rPr>
                    <w:rFonts w:ascii="Arial" w:hAnsi="Arial"/>
                    <w:b/>
                    <w:sz w:val="16"/>
                  </w:rPr>
                  <w:t>TTY: 1-888-835-5322</w:t>
                </w:r>
              </w:p>
            </w:txbxContent>
          </v:textbox>
        </v:shape>
      </w:pict>
    </w:r>
  </w:p>
  <w:p w:rsidR="006F7393" w:rsidRPr="009838BC" w:rsidP="009838BC" w14:paraId="36D6C08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101F08"/>
    <w:multiLevelType w:val="hybridMultilevel"/>
    <w:tmpl w:val="F64C41DA"/>
    <w:lvl w:ilvl="0">
      <w:start w:val="1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9424EC"/>
    <w:multiLevelType w:val="hybridMultilevel"/>
    <w:tmpl w:val="7A2098AA"/>
    <w:lvl w:ilvl="0">
      <w:start w:val="1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0667A80"/>
    <w:multiLevelType w:val="hybridMultilevel"/>
    <w:tmpl w:val="820EB4A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8"/>
    <w:rsid w:val="000072CE"/>
    <w:rsid w:val="00013A8B"/>
    <w:rsid w:val="00021445"/>
    <w:rsid w:val="00036039"/>
    <w:rsid w:val="000369A5"/>
    <w:rsid w:val="00037F90"/>
    <w:rsid w:val="000875BF"/>
    <w:rsid w:val="00096D8C"/>
    <w:rsid w:val="000C0B65"/>
    <w:rsid w:val="000E3D42"/>
    <w:rsid w:val="000E5884"/>
    <w:rsid w:val="000F260A"/>
    <w:rsid w:val="000F6CCE"/>
    <w:rsid w:val="00122BD5"/>
    <w:rsid w:val="001409CB"/>
    <w:rsid w:val="001979D9"/>
    <w:rsid w:val="001A486C"/>
    <w:rsid w:val="001D6BCF"/>
    <w:rsid w:val="001E01CA"/>
    <w:rsid w:val="002060D9"/>
    <w:rsid w:val="00226822"/>
    <w:rsid w:val="00260594"/>
    <w:rsid w:val="002840E9"/>
    <w:rsid w:val="00285017"/>
    <w:rsid w:val="002878C6"/>
    <w:rsid w:val="002A2D2E"/>
    <w:rsid w:val="00307B05"/>
    <w:rsid w:val="00343749"/>
    <w:rsid w:val="00345C80"/>
    <w:rsid w:val="00357D50"/>
    <w:rsid w:val="003925DC"/>
    <w:rsid w:val="003B0550"/>
    <w:rsid w:val="003B694F"/>
    <w:rsid w:val="003F171C"/>
    <w:rsid w:val="003F49E8"/>
    <w:rsid w:val="00412FC5"/>
    <w:rsid w:val="00422276"/>
    <w:rsid w:val="004242F1"/>
    <w:rsid w:val="00445A00"/>
    <w:rsid w:val="00451B0F"/>
    <w:rsid w:val="0046125F"/>
    <w:rsid w:val="00487524"/>
    <w:rsid w:val="00496106"/>
    <w:rsid w:val="004C12D0"/>
    <w:rsid w:val="004C2EE3"/>
    <w:rsid w:val="004D02C8"/>
    <w:rsid w:val="004E4A22"/>
    <w:rsid w:val="00511968"/>
    <w:rsid w:val="0055614C"/>
    <w:rsid w:val="005A7205"/>
    <w:rsid w:val="005B782B"/>
    <w:rsid w:val="005F0ED1"/>
    <w:rsid w:val="00607BA5"/>
    <w:rsid w:val="00626EB6"/>
    <w:rsid w:val="00630B10"/>
    <w:rsid w:val="006353A3"/>
    <w:rsid w:val="00654369"/>
    <w:rsid w:val="00655D03"/>
    <w:rsid w:val="00683F84"/>
    <w:rsid w:val="006A6A81"/>
    <w:rsid w:val="006B45F4"/>
    <w:rsid w:val="006C5906"/>
    <w:rsid w:val="006E26AF"/>
    <w:rsid w:val="006F7393"/>
    <w:rsid w:val="0070224F"/>
    <w:rsid w:val="007115F7"/>
    <w:rsid w:val="00723A99"/>
    <w:rsid w:val="00785689"/>
    <w:rsid w:val="0079754B"/>
    <w:rsid w:val="007A1E6D"/>
    <w:rsid w:val="007C358D"/>
    <w:rsid w:val="00822CE0"/>
    <w:rsid w:val="00837C62"/>
    <w:rsid w:val="00841AB1"/>
    <w:rsid w:val="008B33F5"/>
    <w:rsid w:val="008C22FD"/>
    <w:rsid w:val="00910F12"/>
    <w:rsid w:val="00926503"/>
    <w:rsid w:val="00930ECF"/>
    <w:rsid w:val="009838BC"/>
    <w:rsid w:val="009A72F5"/>
    <w:rsid w:val="00A45F4F"/>
    <w:rsid w:val="00A600A9"/>
    <w:rsid w:val="00A866AC"/>
    <w:rsid w:val="00AA55B7"/>
    <w:rsid w:val="00AA5B9E"/>
    <w:rsid w:val="00AB2407"/>
    <w:rsid w:val="00AB4723"/>
    <w:rsid w:val="00AB53DF"/>
    <w:rsid w:val="00B07E5C"/>
    <w:rsid w:val="00B20363"/>
    <w:rsid w:val="00B26B1B"/>
    <w:rsid w:val="00B326E3"/>
    <w:rsid w:val="00B811F7"/>
    <w:rsid w:val="00B94947"/>
    <w:rsid w:val="00BA5DC6"/>
    <w:rsid w:val="00BA6196"/>
    <w:rsid w:val="00BC6D8C"/>
    <w:rsid w:val="00C16AF2"/>
    <w:rsid w:val="00C34006"/>
    <w:rsid w:val="00C426B1"/>
    <w:rsid w:val="00C72885"/>
    <w:rsid w:val="00C82B6B"/>
    <w:rsid w:val="00C90D6A"/>
    <w:rsid w:val="00CC72B6"/>
    <w:rsid w:val="00CE3B72"/>
    <w:rsid w:val="00D0218D"/>
    <w:rsid w:val="00D216CD"/>
    <w:rsid w:val="00DA2529"/>
    <w:rsid w:val="00DB130A"/>
    <w:rsid w:val="00DC10A1"/>
    <w:rsid w:val="00DC3766"/>
    <w:rsid w:val="00DC655F"/>
    <w:rsid w:val="00DD7EBD"/>
    <w:rsid w:val="00DE0AB8"/>
    <w:rsid w:val="00DF62B6"/>
    <w:rsid w:val="00E07225"/>
    <w:rsid w:val="00E155B7"/>
    <w:rsid w:val="00E358C5"/>
    <w:rsid w:val="00E5409F"/>
    <w:rsid w:val="00EC0185"/>
    <w:rsid w:val="00F021FA"/>
    <w:rsid w:val="00F404BA"/>
    <w:rsid w:val="00F57ACA"/>
    <w:rsid w:val="00F61B1D"/>
    <w:rsid w:val="00F62E97"/>
    <w:rsid w:val="00F64209"/>
    <w:rsid w:val="00F86E0D"/>
    <w:rsid w:val="00F93BF5"/>
    <w:rsid w:val="00F96F63"/>
    <w:rsid w:val="00FE5686"/>
    <w:rsid w:val="00FF4664"/>
    <w:rsid w:val="00FF5645"/>
    <w:rsid w:val="00FF7A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6CD7DE"/>
  <w15:chartTrackingRefBased/>
  <w15:docId w15:val="{5F2874B9-2BDC-4ABD-91F1-67645153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Reference1">
    <w:name w:val="Footnote Reference1"/>
    <w:rsid w:val="00FF7AB8"/>
    <w:rPr>
      <w:color w:val="000000"/>
      <w:sz w:val="20"/>
      <w:vertAlign w:val="superscript"/>
    </w:rPr>
  </w:style>
  <w:style w:type="paragraph" w:styleId="ListParagraph">
    <w:name w:val="List Paragraph"/>
    <w:basedOn w:val="Normal"/>
    <w:uiPriority w:val="34"/>
    <w:qFormat/>
    <w:rsid w:val="00FF7AB8"/>
    <w:pPr>
      <w:widowControl/>
      <w:ind w:left="720"/>
    </w:pPr>
    <w:rPr>
      <w:snapToGrid/>
      <w:kern w:val="0"/>
      <w:sz w:val="24"/>
      <w:szCs w:val="24"/>
    </w:rPr>
  </w:style>
  <w:style w:type="character" w:customStyle="1" w:styleId="UnresolvedMention">
    <w:name w:val="Unresolved Mention"/>
    <w:basedOn w:val="DefaultParagraphFont"/>
    <w:uiPriority w:val="99"/>
    <w:semiHidden/>
    <w:unhideWhenUsed/>
    <w:rsid w:val="008B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Veronica.Garcia-Ullo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service-providers/contributing-to-the-usf/when-to-file/" TargetMode="External" /><Relationship Id="rId2" Type="http://schemas.openxmlformats.org/officeDocument/2006/relationships/hyperlink" Target="http://reginfo.gov/public/do/PRAOMBHistory?ombControlNumber=3060-085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