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7A619E38" w14:textId="55F1D275">
      <w:pPr>
        <w:jc w:val="right"/>
        <w:rPr>
          <w:b/>
          <w:sz w:val="24"/>
        </w:rPr>
      </w:pPr>
      <w:r>
        <w:rPr>
          <w:b/>
          <w:sz w:val="24"/>
        </w:rPr>
        <w:t>DA 21-</w:t>
      </w:r>
      <w:r w:rsidR="001639DA">
        <w:rPr>
          <w:b/>
          <w:sz w:val="24"/>
        </w:rPr>
        <w:t>1240</w:t>
      </w:r>
    </w:p>
    <w:p w:rsidR="00013A8B" w:rsidRPr="00B20363" w:rsidP="00013A8B" w14:paraId="0DFFB498" w14:textId="18F36336">
      <w:pPr>
        <w:spacing w:before="60"/>
        <w:jc w:val="right"/>
        <w:rPr>
          <w:b/>
          <w:sz w:val="24"/>
        </w:rPr>
      </w:pPr>
      <w:r>
        <w:rPr>
          <w:b/>
          <w:sz w:val="24"/>
        </w:rPr>
        <w:t xml:space="preserve">Released:  </w:t>
      </w:r>
      <w:r w:rsidR="00AF161F">
        <w:rPr>
          <w:b/>
          <w:sz w:val="24"/>
        </w:rPr>
        <w:t>October 1</w:t>
      </w:r>
      <w:r w:rsidR="00654DF4">
        <w:rPr>
          <w:b/>
          <w:sz w:val="24"/>
        </w:rPr>
        <w:t>, 2021</w:t>
      </w:r>
    </w:p>
    <w:p w:rsidR="00013A8B" w:rsidP="00013A8B" w14:paraId="25BFF493" w14:textId="77777777">
      <w:pPr>
        <w:jc w:val="right"/>
        <w:rPr>
          <w:sz w:val="24"/>
        </w:rPr>
      </w:pPr>
    </w:p>
    <w:p w:rsidR="00013A8B" w:rsidP="00013A8B" w14:paraId="0A0298B5" w14:textId="2AD71D71">
      <w:pPr>
        <w:spacing w:after="240"/>
        <w:jc w:val="center"/>
        <w:rPr>
          <w:b/>
          <w:sz w:val="24"/>
        </w:rPr>
      </w:pPr>
      <w:bookmarkStart w:id="0" w:name="_Hlk83976767"/>
      <w:r>
        <w:rPr>
          <w:b/>
          <w:sz w:val="24"/>
          <w:szCs w:val="24"/>
        </w:rPr>
        <w:t>CONSUMER AND GOVER</w:t>
      </w:r>
      <w:r w:rsidR="00AF161F">
        <w:rPr>
          <w:b/>
          <w:sz w:val="24"/>
          <w:szCs w:val="24"/>
        </w:rPr>
        <w:t>N</w:t>
      </w:r>
      <w:r>
        <w:rPr>
          <w:b/>
          <w:sz w:val="24"/>
          <w:szCs w:val="24"/>
        </w:rPr>
        <w:t>MENTAL AFFAIRS BUREAU</w:t>
      </w:r>
      <w:r w:rsidRPr="00B124C0" w:rsidR="004633B1">
        <w:rPr>
          <w:b/>
          <w:sz w:val="24"/>
          <w:szCs w:val="24"/>
        </w:rPr>
        <w:t xml:space="preserve"> </w:t>
      </w:r>
      <w:r>
        <w:rPr>
          <w:b/>
          <w:sz w:val="24"/>
          <w:szCs w:val="24"/>
        </w:rPr>
        <w:t xml:space="preserve">ANNOUNCES INTERIM </w:t>
      </w:r>
      <w:r w:rsidR="006C474F">
        <w:rPr>
          <w:b/>
          <w:sz w:val="24"/>
          <w:szCs w:val="24"/>
        </w:rPr>
        <w:t>USAGE CHARGES</w:t>
      </w:r>
      <w:r>
        <w:rPr>
          <w:b/>
          <w:sz w:val="24"/>
          <w:szCs w:val="24"/>
        </w:rPr>
        <w:t xml:space="preserve"> FOR THE REASSIGNED NUMBERS DATABASE</w:t>
      </w:r>
    </w:p>
    <w:bookmarkEnd w:id="0"/>
    <w:p w:rsidR="00013A8B" w:rsidP="00013A8B" w14:paraId="20A92049" w14:textId="652356B5">
      <w:pPr>
        <w:jc w:val="center"/>
        <w:rPr>
          <w:b/>
          <w:sz w:val="24"/>
          <w:szCs w:val="24"/>
        </w:rPr>
      </w:pPr>
      <w:r>
        <w:rPr>
          <w:b/>
          <w:sz w:val="24"/>
          <w:szCs w:val="24"/>
        </w:rPr>
        <w:t>CG</w:t>
      </w:r>
      <w:r w:rsidRPr="00654DF4" w:rsidR="004633B1">
        <w:rPr>
          <w:b/>
          <w:sz w:val="24"/>
          <w:szCs w:val="24"/>
        </w:rPr>
        <w:t xml:space="preserve"> Docket No. </w:t>
      </w:r>
      <w:r>
        <w:rPr>
          <w:b/>
          <w:sz w:val="24"/>
          <w:szCs w:val="24"/>
        </w:rPr>
        <w:t>17-59</w:t>
      </w:r>
    </w:p>
    <w:p w:rsidR="00654DF4" w:rsidP="00654DF4" w14:paraId="46B37042" w14:textId="19D14324">
      <w:pPr>
        <w:rPr>
          <w:b/>
          <w:szCs w:val="22"/>
        </w:rPr>
      </w:pPr>
    </w:p>
    <w:p w:rsidR="009D1220" w:rsidRPr="009D1220" w:rsidP="009D1220" w14:paraId="397731DD" w14:textId="5749E8E5">
      <w:pPr>
        <w:spacing w:after="120"/>
        <w:ind w:firstLine="720"/>
        <w:rPr>
          <w:szCs w:val="22"/>
        </w:rPr>
      </w:pPr>
      <w:r w:rsidRPr="00AF72E1">
        <w:rPr>
          <w:szCs w:val="22"/>
        </w:rPr>
        <w:t xml:space="preserve">On December 13, 2018, the Commission released the </w:t>
      </w:r>
      <w:r w:rsidRPr="00A57652">
        <w:rPr>
          <w:i/>
          <w:iCs/>
          <w:szCs w:val="22"/>
        </w:rPr>
        <w:t>Reassigned Numbers Order</w:t>
      </w:r>
      <w:r w:rsidRPr="00AF72E1">
        <w:rPr>
          <w:szCs w:val="22"/>
        </w:rPr>
        <w:t xml:space="preserve">, establishing a single, comprehensive Reassigned Numbers Database </w:t>
      </w:r>
      <w:r>
        <w:rPr>
          <w:szCs w:val="22"/>
        </w:rPr>
        <w:t xml:space="preserve">(RND or Database) </w:t>
      </w:r>
      <w:r w:rsidRPr="00AF72E1">
        <w:rPr>
          <w:szCs w:val="22"/>
        </w:rPr>
        <w:t>to address the problem of unwanted calls to consumers with numbers reassigned from a previous consumer.</w:t>
      </w:r>
      <w:r>
        <w:rPr>
          <w:rStyle w:val="FootnoteReference"/>
          <w:szCs w:val="22"/>
        </w:rPr>
        <w:footnoteReference w:id="3"/>
      </w:r>
      <w:r w:rsidRPr="00AF72E1">
        <w:rPr>
          <w:szCs w:val="22"/>
        </w:rPr>
        <w:t xml:space="preserve">  </w:t>
      </w:r>
      <w:r>
        <w:rPr>
          <w:szCs w:val="22"/>
        </w:rPr>
        <w:t>C</w:t>
      </w:r>
      <w:r w:rsidRPr="00AF72E1">
        <w:rPr>
          <w:szCs w:val="22"/>
        </w:rPr>
        <w:t xml:space="preserve">allers and caller agents will be able to use </w:t>
      </w:r>
      <w:r>
        <w:rPr>
          <w:szCs w:val="22"/>
        </w:rPr>
        <w:t>the Database</w:t>
      </w:r>
      <w:r w:rsidRPr="00AF72E1">
        <w:rPr>
          <w:szCs w:val="22"/>
        </w:rPr>
        <w:t xml:space="preserve"> to determine whether a telephone number has been reassigned from the consumer they intend to reach, thus allowing them to avoid calling consumers with reassigned numbers who may not wish to receive their call</w:t>
      </w:r>
      <w:r w:rsidR="009442FF">
        <w:rPr>
          <w:szCs w:val="22"/>
        </w:rPr>
        <w:t>.</w:t>
      </w:r>
      <w:r>
        <w:rPr>
          <w:rStyle w:val="FootnoteReference"/>
          <w:szCs w:val="22"/>
        </w:rPr>
        <w:footnoteReference w:id="4"/>
      </w:r>
      <w:r w:rsidRPr="00AF72E1">
        <w:rPr>
          <w:szCs w:val="22"/>
        </w:rPr>
        <w:t xml:space="preserve"> </w:t>
      </w:r>
      <w:r>
        <w:rPr>
          <w:szCs w:val="22"/>
        </w:rPr>
        <w:t xml:space="preserve"> </w:t>
      </w:r>
      <w:r w:rsidR="00A02690">
        <w:rPr>
          <w:szCs w:val="22"/>
        </w:rPr>
        <w:t>With this Public Notice, t</w:t>
      </w:r>
      <w:r w:rsidR="001366E0">
        <w:rPr>
          <w:szCs w:val="22"/>
        </w:rPr>
        <w:t xml:space="preserve">he Consumer and </w:t>
      </w:r>
      <w:r w:rsidR="00F27510">
        <w:rPr>
          <w:szCs w:val="22"/>
        </w:rPr>
        <w:t>Governmental</w:t>
      </w:r>
      <w:r w:rsidR="001366E0">
        <w:rPr>
          <w:szCs w:val="22"/>
        </w:rPr>
        <w:t xml:space="preserve"> Affairs Bureau (</w:t>
      </w:r>
      <w:r w:rsidR="004633B1">
        <w:rPr>
          <w:szCs w:val="22"/>
        </w:rPr>
        <w:t>Bureau</w:t>
      </w:r>
      <w:r w:rsidR="001366E0">
        <w:rPr>
          <w:szCs w:val="22"/>
        </w:rPr>
        <w:t>)</w:t>
      </w:r>
      <w:r w:rsidR="004633B1">
        <w:rPr>
          <w:szCs w:val="22"/>
        </w:rPr>
        <w:t xml:space="preserve"> </w:t>
      </w:r>
      <w:r w:rsidR="00F27510">
        <w:rPr>
          <w:szCs w:val="22"/>
        </w:rPr>
        <w:t xml:space="preserve">announces the initial interim </w:t>
      </w:r>
      <w:r w:rsidR="005A6958">
        <w:rPr>
          <w:szCs w:val="22"/>
        </w:rPr>
        <w:t>usage charges</w:t>
      </w:r>
      <w:r w:rsidR="00F27510">
        <w:rPr>
          <w:szCs w:val="22"/>
        </w:rPr>
        <w:t xml:space="preserve"> for subscriptions to the </w:t>
      </w:r>
      <w:r w:rsidR="00256CE1">
        <w:rPr>
          <w:szCs w:val="22"/>
        </w:rPr>
        <w:t>RND.</w:t>
      </w:r>
      <w:r>
        <w:rPr>
          <w:rStyle w:val="FootnoteReference"/>
          <w:szCs w:val="22"/>
        </w:rPr>
        <w:footnoteReference w:id="5"/>
      </w:r>
      <w:r w:rsidR="00256CE1">
        <w:rPr>
          <w:szCs w:val="22"/>
        </w:rPr>
        <w:t xml:space="preserve">  After a successful beta test</w:t>
      </w:r>
      <w:r>
        <w:rPr>
          <w:szCs w:val="22"/>
        </w:rPr>
        <w:t xml:space="preserve">, </w:t>
      </w:r>
      <w:r w:rsidR="00256CE1">
        <w:rPr>
          <w:szCs w:val="22"/>
        </w:rPr>
        <w:t>the Database</w:t>
      </w:r>
      <w:r>
        <w:rPr>
          <w:szCs w:val="22"/>
        </w:rPr>
        <w:t xml:space="preserve"> </w:t>
      </w:r>
      <w:r w:rsidR="00FF3B85">
        <w:rPr>
          <w:szCs w:val="22"/>
        </w:rPr>
        <w:t xml:space="preserve">is expected to </w:t>
      </w:r>
      <w:r>
        <w:rPr>
          <w:szCs w:val="22"/>
        </w:rPr>
        <w:t xml:space="preserve">be available for </w:t>
      </w:r>
      <w:r w:rsidR="009442FF">
        <w:rPr>
          <w:szCs w:val="22"/>
        </w:rPr>
        <w:t>full use on November 1, 2021</w:t>
      </w:r>
      <w:r w:rsidR="00F27510">
        <w:rPr>
          <w:szCs w:val="22"/>
        </w:rPr>
        <w:t>.</w:t>
      </w:r>
      <w:r>
        <w:rPr>
          <w:rStyle w:val="FootnoteReference"/>
          <w:szCs w:val="22"/>
        </w:rPr>
        <w:footnoteReference w:id="6"/>
      </w:r>
    </w:p>
    <w:p w:rsidR="00AF72E1" w:rsidP="00AF72E1" w14:paraId="79526125" w14:textId="0B39A225">
      <w:pPr>
        <w:spacing w:after="120"/>
        <w:ind w:firstLine="720"/>
        <w:rPr>
          <w:szCs w:val="22"/>
        </w:rPr>
      </w:pPr>
      <w:r w:rsidRPr="00256CE1">
        <w:rPr>
          <w:i/>
          <w:iCs/>
          <w:szCs w:val="22"/>
        </w:rPr>
        <w:t>Subscription Tiers and Rates.</w:t>
      </w:r>
      <w:r>
        <w:rPr>
          <w:szCs w:val="22"/>
        </w:rPr>
        <w:t xml:space="preserve">  </w:t>
      </w:r>
      <w:r w:rsidR="00F27510">
        <w:rPr>
          <w:szCs w:val="22"/>
        </w:rPr>
        <w:t xml:space="preserve">The </w:t>
      </w:r>
      <w:r>
        <w:rPr>
          <w:szCs w:val="22"/>
        </w:rPr>
        <w:t xml:space="preserve">RND will offer </w:t>
      </w:r>
      <w:r w:rsidR="00491B3B">
        <w:rPr>
          <w:szCs w:val="22"/>
        </w:rPr>
        <w:t>six</w:t>
      </w:r>
      <w:r w:rsidR="00F27510">
        <w:rPr>
          <w:szCs w:val="22"/>
        </w:rPr>
        <w:t xml:space="preserve"> subscription tiers</w:t>
      </w:r>
      <w:r w:rsidR="00B71B26">
        <w:rPr>
          <w:szCs w:val="22"/>
        </w:rPr>
        <w:t xml:space="preserve">: </w:t>
      </w:r>
      <w:r w:rsidR="006C0599">
        <w:rPr>
          <w:szCs w:val="22"/>
        </w:rPr>
        <w:t>Extra Small</w:t>
      </w:r>
      <w:r w:rsidR="00491B3B">
        <w:rPr>
          <w:szCs w:val="22"/>
        </w:rPr>
        <w:t xml:space="preserve">, </w:t>
      </w:r>
      <w:r w:rsidR="00A02690">
        <w:rPr>
          <w:szCs w:val="22"/>
        </w:rPr>
        <w:t>S</w:t>
      </w:r>
      <w:r w:rsidR="00B71B26">
        <w:rPr>
          <w:szCs w:val="22"/>
        </w:rPr>
        <w:t xml:space="preserve">mall, </w:t>
      </w:r>
      <w:r w:rsidR="00A02690">
        <w:rPr>
          <w:szCs w:val="22"/>
        </w:rPr>
        <w:t>M</w:t>
      </w:r>
      <w:r w:rsidR="00B71B26">
        <w:rPr>
          <w:szCs w:val="22"/>
        </w:rPr>
        <w:t xml:space="preserve">edium, </w:t>
      </w:r>
      <w:r w:rsidR="00A02690">
        <w:rPr>
          <w:szCs w:val="22"/>
        </w:rPr>
        <w:t>L</w:t>
      </w:r>
      <w:r w:rsidR="00B71B26">
        <w:rPr>
          <w:szCs w:val="22"/>
        </w:rPr>
        <w:t xml:space="preserve">arge, </w:t>
      </w:r>
      <w:r w:rsidR="00A02690">
        <w:rPr>
          <w:szCs w:val="22"/>
        </w:rPr>
        <w:t>E</w:t>
      </w:r>
      <w:r w:rsidR="00491B3B">
        <w:rPr>
          <w:szCs w:val="22"/>
        </w:rPr>
        <w:t xml:space="preserve">xtra </w:t>
      </w:r>
      <w:r w:rsidR="00A02690">
        <w:rPr>
          <w:szCs w:val="22"/>
        </w:rPr>
        <w:t>L</w:t>
      </w:r>
      <w:r w:rsidR="00491B3B">
        <w:rPr>
          <w:szCs w:val="22"/>
        </w:rPr>
        <w:t xml:space="preserve">arge, </w:t>
      </w:r>
      <w:r w:rsidR="00B71B26">
        <w:rPr>
          <w:szCs w:val="22"/>
        </w:rPr>
        <w:t xml:space="preserve">and </w:t>
      </w:r>
      <w:r w:rsidR="00A02690">
        <w:rPr>
          <w:szCs w:val="22"/>
        </w:rPr>
        <w:t>J</w:t>
      </w:r>
      <w:r w:rsidR="00B71B26">
        <w:rPr>
          <w:szCs w:val="22"/>
        </w:rPr>
        <w:t>umbo</w:t>
      </w:r>
      <w:r>
        <w:rPr>
          <w:szCs w:val="22"/>
        </w:rPr>
        <w:t xml:space="preserve">, as </w:t>
      </w:r>
      <w:r w:rsidR="00A73BF0">
        <w:rPr>
          <w:szCs w:val="22"/>
        </w:rPr>
        <w:t>summarized in the table below and further detailed</w:t>
      </w:r>
      <w:r>
        <w:rPr>
          <w:szCs w:val="22"/>
        </w:rPr>
        <w:t xml:space="preserve"> in</w:t>
      </w:r>
      <w:r w:rsidR="00A73BF0">
        <w:rPr>
          <w:szCs w:val="22"/>
        </w:rPr>
        <w:t xml:space="preserve"> </w:t>
      </w:r>
      <w:r w:rsidR="00491B3B">
        <w:rPr>
          <w:szCs w:val="22"/>
        </w:rPr>
        <w:t>Appendix A.</w:t>
      </w:r>
      <w:r>
        <w:rPr>
          <w:szCs w:val="22"/>
        </w:rPr>
        <w:t xml:space="preserve">  Those wishing to use the RND </w:t>
      </w:r>
      <w:r>
        <w:rPr>
          <w:szCs w:val="22"/>
        </w:rPr>
        <w:t>may</w:t>
      </w:r>
      <w:r>
        <w:rPr>
          <w:szCs w:val="22"/>
        </w:rPr>
        <w:t xml:space="preserve"> sign up for a one-month subscription, a three-month subscription, or a six-month subscription.  </w:t>
      </w:r>
      <w:r w:rsidR="00A02690">
        <w:rPr>
          <w:szCs w:val="22"/>
        </w:rPr>
        <w:t>T</w:t>
      </w:r>
      <w:r>
        <w:rPr>
          <w:szCs w:val="22"/>
        </w:rPr>
        <w:t xml:space="preserve">he </w:t>
      </w:r>
      <w:r w:rsidR="001C120B">
        <w:rPr>
          <w:szCs w:val="22"/>
        </w:rPr>
        <w:t xml:space="preserve">RND </w:t>
      </w:r>
      <w:r>
        <w:rPr>
          <w:szCs w:val="22"/>
        </w:rPr>
        <w:t xml:space="preserve">Administrator </w:t>
      </w:r>
      <w:r w:rsidR="001C120B">
        <w:rPr>
          <w:szCs w:val="22"/>
        </w:rPr>
        <w:t xml:space="preserve">(Administrator) </w:t>
      </w:r>
      <w:r>
        <w:rPr>
          <w:szCs w:val="22"/>
        </w:rPr>
        <w:t>expects to offer an annual subscription</w:t>
      </w:r>
      <w:r w:rsidR="009442FF">
        <w:rPr>
          <w:szCs w:val="22"/>
        </w:rPr>
        <w:t xml:space="preserve"> option </w:t>
      </w:r>
      <w:r w:rsidR="00A02690">
        <w:rPr>
          <w:szCs w:val="22"/>
        </w:rPr>
        <w:t xml:space="preserve">in the future, </w:t>
      </w:r>
      <w:r w:rsidR="009442FF">
        <w:rPr>
          <w:szCs w:val="22"/>
        </w:rPr>
        <w:t>as well</w:t>
      </w:r>
      <w:r>
        <w:rPr>
          <w:szCs w:val="22"/>
        </w:rPr>
        <w:t>.</w:t>
      </w:r>
    </w:p>
    <w:p w:rsidR="00A73BF0" w:rsidP="00A73BF0" w14:paraId="1D8782FB" w14:textId="199D3810">
      <w:pPr>
        <w:spacing w:after="120"/>
        <w:jc w:val="center"/>
        <w:rPr>
          <w:szCs w:val="22"/>
        </w:rPr>
      </w:pPr>
      <w:r w:rsidRPr="006C0599">
        <w:rPr>
          <w:noProof/>
        </w:rPr>
        <w:drawing>
          <wp:inline distT="0" distB="0" distL="0" distR="0">
            <wp:extent cx="5943600" cy="15862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586230"/>
                    </a:xfrm>
                    <a:prstGeom prst="rect">
                      <a:avLst/>
                    </a:prstGeom>
                    <a:noFill/>
                    <a:ln>
                      <a:noFill/>
                    </a:ln>
                  </pic:spPr>
                </pic:pic>
              </a:graphicData>
            </a:graphic>
          </wp:inline>
        </w:drawing>
      </w:r>
    </w:p>
    <w:p w:rsidR="00A73BF0" w:rsidRPr="00A73BF0" w:rsidP="00A73BF0" w14:paraId="0588D947" w14:textId="513AC2D5">
      <w:pPr>
        <w:spacing w:after="120"/>
        <w:jc w:val="center"/>
        <w:rPr>
          <w:i/>
          <w:iCs/>
          <w:szCs w:val="22"/>
        </w:rPr>
      </w:pPr>
      <w:r w:rsidRPr="00A73BF0">
        <w:rPr>
          <w:i/>
          <w:iCs/>
          <w:szCs w:val="22"/>
        </w:rPr>
        <w:t>RND Interim Usage Charges</w:t>
      </w:r>
    </w:p>
    <w:p w:rsidR="00A73BF0" w:rsidP="00256CE1" w14:paraId="783EED33" w14:textId="77777777">
      <w:pPr>
        <w:spacing w:after="120"/>
        <w:ind w:firstLine="720"/>
        <w:rPr>
          <w:szCs w:val="22"/>
        </w:rPr>
      </w:pPr>
    </w:p>
    <w:p w:rsidR="009C1ABB" w:rsidRPr="009C1ABB" w:rsidP="00256CE1" w14:paraId="31C76114" w14:textId="5DF67204">
      <w:pPr>
        <w:spacing w:after="120"/>
        <w:ind w:firstLine="720"/>
        <w:rPr>
          <w:szCs w:val="22"/>
        </w:rPr>
      </w:pPr>
      <w:r>
        <w:rPr>
          <w:szCs w:val="22"/>
        </w:rPr>
        <w:t xml:space="preserve">The </w:t>
      </w:r>
      <w:r w:rsidR="006E442D">
        <w:rPr>
          <w:szCs w:val="22"/>
        </w:rPr>
        <w:t xml:space="preserve">interim </w:t>
      </w:r>
      <w:r>
        <w:rPr>
          <w:szCs w:val="22"/>
        </w:rPr>
        <w:t xml:space="preserve">tiers and </w:t>
      </w:r>
      <w:r w:rsidR="00491B3B">
        <w:rPr>
          <w:szCs w:val="22"/>
        </w:rPr>
        <w:t>usage charges</w:t>
      </w:r>
      <w:r>
        <w:rPr>
          <w:szCs w:val="22"/>
        </w:rPr>
        <w:t xml:space="preserve"> are the same regardless of whether the subscriber is a caller or a caller agent.  Caller agents may register for a tier based on the aggregate number of queries needed for all of their clients, potentially allowing caller agents to register for a higher tier (and thus pay a lower </w:t>
      </w:r>
      <w:r w:rsidR="00DE0C14">
        <w:rPr>
          <w:szCs w:val="22"/>
        </w:rPr>
        <w:t>charge</w:t>
      </w:r>
      <w:r>
        <w:rPr>
          <w:szCs w:val="22"/>
        </w:rPr>
        <w:t xml:space="preserve"> per query) than their individual clients would </w:t>
      </w:r>
      <w:r w:rsidR="006E442D">
        <w:rPr>
          <w:szCs w:val="22"/>
        </w:rPr>
        <w:t>use on their own</w:t>
      </w:r>
      <w:r>
        <w:rPr>
          <w:szCs w:val="22"/>
        </w:rPr>
        <w:t>.</w:t>
      </w:r>
    </w:p>
    <w:p w:rsidR="00256CE1" w:rsidRPr="00256CE1" w:rsidP="00256CE1" w14:paraId="6DC8022B" w14:textId="5280E515">
      <w:pPr>
        <w:spacing w:after="120"/>
        <w:ind w:firstLine="720"/>
        <w:rPr>
          <w:szCs w:val="22"/>
        </w:rPr>
      </w:pPr>
      <w:r w:rsidRPr="00256CE1">
        <w:rPr>
          <w:i/>
          <w:iCs/>
          <w:szCs w:val="22"/>
        </w:rPr>
        <w:t xml:space="preserve">Other </w:t>
      </w:r>
      <w:r w:rsidR="00DE0C14">
        <w:rPr>
          <w:i/>
          <w:iCs/>
          <w:szCs w:val="22"/>
        </w:rPr>
        <w:t>Usage Charge</w:t>
      </w:r>
      <w:r w:rsidRPr="00256CE1">
        <w:rPr>
          <w:i/>
          <w:iCs/>
          <w:szCs w:val="22"/>
        </w:rPr>
        <w:t xml:space="preserve"> Features.</w:t>
      </w:r>
      <w:r w:rsidRPr="00256CE1">
        <w:rPr>
          <w:szCs w:val="22"/>
        </w:rPr>
        <w:t xml:space="preserve">  </w:t>
      </w:r>
      <w:r>
        <w:rPr>
          <w:szCs w:val="22"/>
        </w:rPr>
        <w:t xml:space="preserve">Under the interim </w:t>
      </w:r>
      <w:r w:rsidR="00DE0C14">
        <w:rPr>
          <w:szCs w:val="22"/>
        </w:rPr>
        <w:t>usage charge</w:t>
      </w:r>
      <w:r>
        <w:rPr>
          <w:szCs w:val="22"/>
        </w:rPr>
        <w:t xml:space="preserve"> model, i</w:t>
      </w:r>
      <w:r w:rsidRPr="00256CE1">
        <w:rPr>
          <w:szCs w:val="22"/>
        </w:rPr>
        <w:t xml:space="preserve">f </w:t>
      </w:r>
      <w:r>
        <w:rPr>
          <w:szCs w:val="22"/>
        </w:rPr>
        <w:t>a</w:t>
      </w:r>
      <w:r w:rsidRPr="00256CE1">
        <w:rPr>
          <w:szCs w:val="22"/>
        </w:rPr>
        <w:t xml:space="preserve"> subscriber exhausts its queries before the end of the subscription </w:t>
      </w:r>
      <w:r>
        <w:rPr>
          <w:szCs w:val="22"/>
        </w:rPr>
        <w:t>term</w:t>
      </w:r>
      <w:r w:rsidRPr="00256CE1">
        <w:rPr>
          <w:szCs w:val="22"/>
        </w:rPr>
        <w:t>, it has three options:</w:t>
      </w:r>
    </w:p>
    <w:p w:rsidR="00256CE1" w:rsidRPr="00256CE1" w:rsidP="00256CE1" w14:paraId="2D0823CF" w14:textId="768FBAFB">
      <w:pPr>
        <w:numPr>
          <w:ilvl w:val="0"/>
          <w:numId w:val="11"/>
        </w:numPr>
        <w:spacing w:after="120"/>
        <w:rPr>
          <w:szCs w:val="22"/>
        </w:rPr>
      </w:pPr>
      <w:r w:rsidRPr="00256CE1">
        <w:rPr>
          <w:szCs w:val="22"/>
        </w:rPr>
        <w:t>Buy a new subscription</w:t>
      </w:r>
      <w:r>
        <w:rPr>
          <w:szCs w:val="22"/>
        </w:rPr>
        <w:t>.  A</w:t>
      </w:r>
      <w:r w:rsidRPr="00256CE1">
        <w:rPr>
          <w:szCs w:val="22"/>
        </w:rPr>
        <w:t xml:space="preserve">fter using all the queries in the original subscription, the caller </w:t>
      </w:r>
      <w:r>
        <w:rPr>
          <w:szCs w:val="22"/>
        </w:rPr>
        <w:t>may</w:t>
      </w:r>
      <w:r w:rsidRPr="00256CE1">
        <w:rPr>
          <w:szCs w:val="22"/>
        </w:rPr>
        <w:t xml:space="preserve"> purchase a new subscription</w:t>
      </w:r>
      <w:r>
        <w:rPr>
          <w:szCs w:val="22"/>
        </w:rPr>
        <w:t>.  The new subscription would begin a new term (one-month, three-month, or six-month, depending on the option the subscriber selects).</w:t>
      </w:r>
    </w:p>
    <w:p w:rsidR="00256CE1" w:rsidRPr="00256CE1" w:rsidP="00256CE1" w14:paraId="2C527D2A" w14:textId="52E33A07">
      <w:pPr>
        <w:numPr>
          <w:ilvl w:val="0"/>
          <w:numId w:val="11"/>
        </w:numPr>
        <w:spacing w:after="120"/>
        <w:rPr>
          <w:szCs w:val="22"/>
        </w:rPr>
      </w:pPr>
      <w:r w:rsidRPr="00256CE1">
        <w:rPr>
          <w:szCs w:val="22"/>
        </w:rPr>
        <w:t>Upgrade to a higher tier</w:t>
      </w:r>
      <w:r>
        <w:rPr>
          <w:szCs w:val="22"/>
        </w:rPr>
        <w:t>.  The</w:t>
      </w:r>
      <w:r w:rsidRPr="00256CE1">
        <w:rPr>
          <w:szCs w:val="22"/>
        </w:rPr>
        <w:t xml:space="preserve"> subscriber </w:t>
      </w:r>
      <w:r>
        <w:rPr>
          <w:szCs w:val="22"/>
        </w:rPr>
        <w:t>has the option to</w:t>
      </w:r>
      <w:r w:rsidRPr="00256CE1">
        <w:rPr>
          <w:szCs w:val="22"/>
        </w:rPr>
        <w:t xml:space="preserve"> pay the difference between the original tier and </w:t>
      </w:r>
      <w:r>
        <w:rPr>
          <w:szCs w:val="22"/>
        </w:rPr>
        <w:t>a</w:t>
      </w:r>
      <w:r w:rsidRPr="00256CE1">
        <w:rPr>
          <w:szCs w:val="22"/>
        </w:rPr>
        <w:t xml:space="preserve"> new</w:t>
      </w:r>
      <w:r>
        <w:rPr>
          <w:szCs w:val="22"/>
        </w:rPr>
        <w:t>, higher</w:t>
      </w:r>
      <w:r w:rsidRPr="00256CE1">
        <w:rPr>
          <w:szCs w:val="22"/>
        </w:rPr>
        <w:t xml:space="preserve"> tier, </w:t>
      </w:r>
      <w:r>
        <w:rPr>
          <w:szCs w:val="22"/>
        </w:rPr>
        <w:t>to increase the number of queries available, while keeping the original subscription term the same.</w:t>
      </w:r>
    </w:p>
    <w:p w:rsidR="00256CE1" w:rsidRPr="00256CE1" w:rsidP="00256CE1" w14:paraId="20D671E6" w14:textId="35E14A78">
      <w:pPr>
        <w:numPr>
          <w:ilvl w:val="0"/>
          <w:numId w:val="11"/>
        </w:numPr>
        <w:spacing w:after="120"/>
        <w:rPr>
          <w:i/>
          <w:iCs/>
          <w:szCs w:val="22"/>
        </w:rPr>
      </w:pPr>
      <w:r w:rsidRPr="00256CE1">
        <w:rPr>
          <w:szCs w:val="22"/>
        </w:rPr>
        <w:t xml:space="preserve">Top </w:t>
      </w:r>
      <w:r w:rsidR="00AA2089">
        <w:rPr>
          <w:szCs w:val="22"/>
        </w:rPr>
        <w:t>o</w:t>
      </w:r>
      <w:r w:rsidRPr="00256CE1">
        <w:rPr>
          <w:szCs w:val="22"/>
        </w:rPr>
        <w:t>ff the subscription</w:t>
      </w:r>
      <w:r>
        <w:rPr>
          <w:szCs w:val="22"/>
        </w:rPr>
        <w:t xml:space="preserve">.  The subscriber has the option to pay ten percent </w:t>
      </w:r>
      <w:r w:rsidRPr="00256CE1">
        <w:rPr>
          <w:szCs w:val="22"/>
        </w:rPr>
        <w:t xml:space="preserve">of the </w:t>
      </w:r>
      <w:r w:rsidR="00DE0C14">
        <w:rPr>
          <w:szCs w:val="22"/>
        </w:rPr>
        <w:t>usage charge</w:t>
      </w:r>
      <w:r w:rsidRPr="00256CE1">
        <w:rPr>
          <w:szCs w:val="22"/>
        </w:rPr>
        <w:t xml:space="preserve"> of the subscription </w:t>
      </w:r>
      <w:r>
        <w:rPr>
          <w:szCs w:val="22"/>
        </w:rPr>
        <w:t>to receive ten percent</w:t>
      </w:r>
      <w:r w:rsidRPr="00256CE1">
        <w:rPr>
          <w:szCs w:val="22"/>
        </w:rPr>
        <w:t xml:space="preserve"> more queries, </w:t>
      </w:r>
      <w:r>
        <w:rPr>
          <w:szCs w:val="22"/>
        </w:rPr>
        <w:t>while keeping the original subscription term the same.</w:t>
      </w:r>
    </w:p>
    <w:p w:rsidR="00F27510" w:rsidP="00F27510" w14:paraId="7353E195" w14:textId="0618487D">
      <w:pPr>
        <w:spacing w:after="120"/>
        <w:ind w:firstLine="720"/>
        <w:rPr>
          <w:szCs w:val="22"/>
        </w:rPr>
      </w:pPr>
      <w:r w:rsidRPr="009C1ABB">
        <w:rPr>
          <w:i/>
          <w:iCs/>
          <w:szCs w:val="22"/>
        </w:rPr>
        <w:t xml:space="preserve">Basis for the Interim </w:t>
      </w:r>
      <w:r w:rsidR="00DE0C14">
        <w:rPr>
          <w:i/>
          <w:iCs/>
          <w:szCs w:val="22"/>
        </w:rPr>
        <w:t>Usage Charges</w:t>
      </w:r>
      <w:r w:rsidRPr="009C1ABB">
        <w:rPr>
          <w:i/>
          <w:iCs/>
          <w:szCs w:val="22"/>
        </w:rPr>
        <w:t>.</w:t>
      </w:r>
      <w:r>
        <w:rPr>
          <w:szCs w:val="22"/>
        </w:rPr>
        <w:t xml:space="preserve">  </w:t>
      </w:r>
      <w:r>
        <w:rPr>
          <w:szCs w:val="22"/>
        </w:rPr>
        <w:t>Th</w:t>
      </w:r>
      <w:r w:rsidR="003C5FD0">
        <w:rPr>
          <w:szCs w:val="22"/>
        </w:rPr>
        <w:t>e</w:t>
      </w:r>
      <w:r>
        <w:rPr>
          <w:szCs w:val="22"/>
        </w:rPr>
        <w:t xml:space="preserve"> interim </w:t>
      </w:r>
      <w:r w:rsidR="00DE0C14">
        <w:rPr>
          <w:szCs w:val="22"/>
        </w:rPr>
        <w:t>usage charges are</w:t>
      </w:r>
      <w:r>
        <w:rPr>
          <w:szCs w:val="22"/>
        </w:rPr>
        <w:t xml:space="preserve"> based on the </w:t>
      </w:r>
      <w:r w:rsidRPr="00F27510">
        <w:rPr>
          <w:szCs w:val="22"/>
        </w:rPr>
        <w:t>Administrator’s recommendation</w:t>
      </w:r>
      <w:r w:rsidR="004633B1">
        <w:rPr>
          <w:szCs w:val="22"/>
        </w:rPr>
        <w:t xml:space="preserve"> </w:t>
      </w:r>
      <w:r w:rsidR="000C0C5D">
        <w:rPr>
          <w:szCs w:val="22"/>
        </w:rPr>
        <w:t>consistent</w:t>
      </w:r>
      <w:r w:rsidR="004633B1">
        <w:rPr>
          <w:szCs w:val="22"/>
        </w:rPr>
        <w:t xml:space="preserve"> with the</w:t>
      </w:r>
      <w:r w:rsidR="009D1220">
        <w:rPr>
          <w:szCs w:val="22"/>
        </w:rPr>
        <w:t xml:space="preserve"> </w:t>
      </w:r>
      <w:r w:rsidR="009D1220">
        <w:rPr>
          <w:i/>
          <w:iCs/>
          <w:szCs w:val="22"/>
        </w:rPr>
        <w:t>Reassigned Numbers Order</w:t>
      </w:r>
      <w:r w:rsidR="009D1220">
        <w:rPr>
          <w:szCs w:val="22"/>
        </w:rPr>
        <w:t>,</w:t>
      </w:r>
      <w:r w:rsidR="004633B1">
        <w:rPr>
          <w:szCs w:val="22"/>
        </w:rPr>
        <w:t xml:space="preserve"> guidance </w:t>
      </w:r>
      <w:r w:rsidR="00EA3F00">
        <w:rPr>
          <w:szCs w:val="22"/>
        </w:rPr>
        <w:t>provided</w:t>
      </w:r>
      <w:r w:rsidR="004633B1">
        <w:rPr>
          <w:szCs w:val="22"/>
        </w:rPr>
        <w:t xml:space="preserve"> by the </w:t>
      </w:r>
      <w:r w:rsidR="00B46E08">
        <w:rPr>
          <w:szCs w:val="22"/>
        </w:rPr>
        <w:t>contract’s Performance Work Statement</w:t>
      </w:r>
      <w:r w:rsidR="00EA3F00">
        <w:rPr>
          <w:szCs w:val="22"/>
        </w:rPr>
        <w:t>,</w:t>
      </w:r>
      <w:r w:rsidR="00552891">
        <w:rPr>
          <w:szCs w:val="22"/>
        </w:rPr>
        <w:t xml:space="preserve"> and a recommendation from the North American Numbering Council</w:t>
      </w:r>
      <w:r w:rsidR="00AF161F">
        <w:rPr>
          <w:szCs w:val="22"/>
        </w:rPr>
        <w:t xml:space="preserve"> (NANC)</w:t>
      </w:r>
      <w:r w:rsidR="00C8573B">
        <w:rPr>
          <w:szCs w:val="22"/>
        </w:rPr>
        <w:t>, described below</w:t>
      </w:r>
      <w:r w:rsidR="0092037A">
        <w:rPr>
          <w:szCs w:val="22"/>
        </w:rPr>
        <w:t xml:space="preserve">, all of which reflect consideration of the relatively few comments specifically addressing such </w:t>
      </w:r>
      <w:r w:rsidR="00DE0C14">
        <w:rPr>
          <w:szCs w:val="22"/>
        </w:rPr>
        <w:t>usage charges</w:t>
      </w:r>
      <w:r w:rsidR="004633B1">
        <w:rPr>
          <w:szCs w:val="22"/>
        </w:rPr>
        <w:t>.</w:t>
      </w:r>
      <w:r>
        <w:rPr>
          <w:rStyle w:val="FootnoteReference"/>
          <w:szCs w:val="22"/>
        </w:rPr>
        <w:footnoteReference w:id="7"/>
      </w:r>
      <w:r w:rsidR="004633B1">
        <w:rPr>
          <w:szCs w:val="22"/>
        </w:rPr>
        <w:t xml:space="preserve">  In addition, the Administrator obtained</w:t>
      </w:r>
      <w:r w:rsidR="00F974D2">
        <w:rPr>
          <w:szCs w:val="22"/>
        </w:rPr>
        <w:t xml:space="preserve"> some</w:t>
      </w:r>
      <w:r w:rsidR="004633B1">
        <w:rPr>
          <w:szCs w:val="22"/>
        </w:rPr>
        <w:t xml:space="preserve"> information </w:t>
      </w:r>
      <w:r w:rsidR="00F974D2">
        <w:rPr>
          <w:szCs w:val="22"/>
        </w:rPr>
        <w:t>from the volume of queries</w:t>
      </w:r>
      <w:r w:rsidR="00B46E08">
        <w:rPr>
          <w:szCs w:val="22"/>
        </w:rPr>
        <w:t xml:space="preserve"> entered by</w:t>
      </w:r>
      <w:r w:rsidR="004633B1">
        <w:rPr>
          <w:szCs w:val="22"/>
        </w:rPr>
        <w:t xml:space="preserve"> use</w:t>
      </w:r>
      <w:r w:rsidR="00B46E08">
        <w:rPr>
          <w:szCs w:val="22"/>
        </w:rPr>
        <w:t>rs</w:t>
      </w:r>
      <w:r w:rsidR="004633B1">
        <w:rPr>
          <w:szCs w:val="22"/>
        </w:rPr>
        <w:t xml:space="preserve"> of the Database </w:t>
      </w:r>
      <w:r w:rsidR="00F974D2">
        <w:rPr>
          <w:szCs w:val="22"/>
        </w:rPr>
        <w:t>during</w:t>
      </w:r>
      <w:r w:rsidR="004633B1">
        <w:rPr>
          <w:szCs w:val="22"/>
        </w:rPr>
        <w:t xml:space="preserve"> the RND beta test</w:t>
      </w:r>
      <w:r>
        <w:rPr>
          <w:szCs w:val="22"/>
        </w:rPr>
        <w:t>.</w:t>
      </w:r>
      <w:r>
        <w:rPr>
          <w:rStyle w:val="FootnoteReference"/>
          <w:szCs w:val="22"/>
        </w:rPr>
        <w:footnoteReference w:id="8"/>
      </w:r>
    </w:p>
    <w:p w:rsidR="001D4EE8" w:rsidP="006E442D" w14:paraId="032B1473" w14:textId="234175B0">
      <w:pPr>
        <w:spacing w:after="120"/>
        <w:ind w:firstLine="720"/>
        <w:rPr>
          <w:szCs w:val="22"/>
        </w:rPr>
      </w:pPr>
      <w:r>
        <w:rPr>
          <w:szCs w:val="22"/>
        </w:rPr>
        <w:t xml:space="preserve">Before adopting </w:t>
      </w:r>
      <w:r>
        <w:rPr>
          <w:szCs w:val="22"/>
        </w:rPr>
        <w:t xml:space="preserve">the </w:t>
      </w:r>
      <w:r w:rsidRPr="008060AC">
        <w:rPr>
          <w:i/>
          <w:iCs/>
          <w:szCs w:val="22"/>
        </w:rPr>
        <w:t>Reassigned Numbers Order</w:t>
      </w:r>
      <w:r>
        <w:rPr>
          <w:szCs w:val="22"/>
        </w:rPr>
        <w:t>, the Commission</w:t>
      </w:r>
      <w:r w:rsidRPr="00F27510">
        <w:rPr>
          <w:szCs w:val="22"/>
        </w:rPr>
        <w:t xml:space="preserve"> asked for comment on </w:t>
      </w:r>
      <w:r>
        <w:rPr>
          <w:szCs w:val="22"/>
        </w:rPr>
        <w:t>how the Database should be funded and how any usage charges should be set.</w:t>
      </w:r>
      <w:r>
        <w:rPr>
          <w:rStyle w:val="FootnoteReference"/>
          <w:szCs w:val="22"/>
        </w:rPr>
        <w:footnoteReference w:id="9"/>
      </w:r>
      <w:r>
        <w:rPr>
          <w:szCs w:val="22"/>
        </w:rPr>
        <w:t xml:space="preserve">  The </w:t>
      </w:r>
      <w:r w:rsidRPr="004B0174">
        <w:rPr>
          <w:szCs w:val="22"/>
        </w:rPr>
        <w:t>majority of commenters favor</w:t>
      </w:r>
      <w:r>
        <w:rPr>
          <w:szCs w:val="22"/>
        </w:rPr>
        <w:t>ed</w:t>
      </w:r>
      <w:r w:rsidRPr="004B0174">
        <w:rPr>
          <w:szCs w:val="22"/>
        </w:rPr>
        <w:t xml:space="preserve"> keeping </w:t>
      </w:r>
      <w:r w:rsidR="00DE0C14">
        <w:rPr>
          <w:szCs w:val="22"/>
        </w:rPr>
        <w:t>usage charges</w:t>
      </w:r>
      <w:r w:rsidRPr="004B0174">
        <w:rPr>
          <w:szCs w:val="22"/>
        </w:rPr>
        <w:t xml:space="preserve"> to use any </w:t>
      </w:r>
      <w:r w:rsidR="00C74B40">
        <w:rPr>
          <w:szCs w:val="22"/>
        </w:rPr>
        <w:t>D</w:t>
      </w:r>
      <w:r w:rsidRPr="004B0174">
        <w:rPr>
          <w:szCs w:val="22"/>
        </w:rPr>
        <w:t>atabase solution low so as to not deter usage.</w:t>
      </w:r>
      <w:r>
        <w:rPr>
          <w:rStyle w:val="FootnoteReference"/>
          <w:szCs w:val="22"/>
        </w:rPr>
        <w:footnoteReference w:id="10"/>
      </w:r>
      <w:r w:rsidRPr="004B0174">
        <w:rPr>
          <w:szCs w:val="22"/>
        </w:rPr>
        <w:t xml:space="preserve">  </w:t>
      </w:r>
      <w:r>
        <w:rPr>
          <w:szCs w:val="22"/>
        </w:rPr>
        <w:t>Some</w:t>
      </w:r>
      <w:r w:rsidRPr="004B0174">
        <w:rPr>
          <w:szCs w:val="22"/>
        </w:rPr>
        <w:t xml:space="preserve"> commenters suggested that the Commission follow the F</w:t>
      </w:r>
      <w:r w:rsidR="00622086">
        <w:rPr>
          <w:szCs w:val="22"/>
        </w:rPr>
        <w:t xml:space="preserve">ederal </w:t>
      </w:r>
      <w:r w:rsidRPr="004B0174">
        <w:rPr>
          <w:szCs w:val="22"/>
        </w:rPr>
        <w:t>T</w:t>
      </w:r>
      <w:r w:rsidR="00622086">
        <w:rPr>
          <w:szCs w:val="22"/>
        </w:rPr>
        <w:t xml:space="preserve">rade </w:t>
      </w:r>
      <w:r w:rsidRPr="004B0174">
        <w:rPr>
          <w:szCs w:val="22"/>
        </w:rPr>
        <w:t>C</w:t>
      </w:r>
      <w:r w:rsidR="00622086">
        <w:rPr>
          <w:szCs w:val="22"/>
        </w:rPr>
        <w:t>ommission</w:t>
      </w:r>
      <w:r w:rsidRPr="004B0174">
        <w:rPr>
          <w:szCs w:val="22"/>
        </w:rPr>
        <w:t xml:space="preserve">’s subscription-based </w:t>
      </w:r>
      <w:r w:rsidRPr="004B0174">
        <w:rPr>
          <w:szCs w:val="22"/>
        </w:rPr>
        <w:t>approach</w:t>
      </w:r>
      <w:r w:rsidRPr="00F27510">
        <w:rPr>
          <w:szCs w:val="22"/>
        </w:rPr>
        <w:t>.</w:t>
      </w:r>
      <w:r>
        <w:rPr>
          <w:rStyle w:val="FootnoteReference"/>
          <w:szCs w:val="22"/>
        </w:rPr>
        <w:footnoteReference w:id="11"/>
      </w:r>
      <w:r w:rsidRPr="00F27510">
        <w:rPr>
          <w:szCs w:val="22"/>
        </w:rPr>
        <w:t xml:space="preserve"> </w:t>
      </w:r>
      <w:r>
        <w:rPr>
          <w:szCs w:val="22"/>
        </w:rPr>
        <w:t xml:space="preserve"> None of the comments, however, provided or suggested a</w:t>
      </w:r>
      <w:r w:rsidR="00E8246E">
        <w:rPr>
          <w:szCs w:val="22"/>
        </w:rPr>
        <w:t xml:space="preserve"> workable</w:t>
      </w:r>
      <w:r>
        <w:rPr>
          <w:szCs w:val="22"/>
        </w:rPr>
        <w:t xml:space="preserve"> detailed methodology for setting </w:t>
      </w:r>
      <w:r w:rsidR="00DE0C14">
        <w:rPr>
          <w:szCs w:val="22"/>
        </w:rPr>
        <w:t>usage charge</w:t>
      </w:r>
      <w:r>
        <w:rPr>
          <w:szCs w:val="22"/>
        </w:rPr>
        <w:t xml:space="preserve"> levels. </w:t>
      </w:r>
    </w:p>
    <w:p w:rsidR="00B5536E" w:rsidP="006E442D" w14:paraId="69CB9A7C" w14:textId="26E22E73">
      <w:pPr>
        <w:spacing w:after="120"/>
        <w:ind w:firstLine="720"/>
      </w:pPr>
      <w:r>
        <w:t>In t</w:t>
      </w:r>
      <w:r w:rsidR="001D4EE8">
        <w:t xml:space="preserve">he </w:t>
      </w:r>
      <w:r w:rsidR="001D4EE8">
        <w:rPr>
          <w:i/>
          <w:iCs/>
        </w:rPr>
        <w:t>Reassigned Numbers Order</w:t>
      </w:r>
      <w:r w:rsidR="001D4EE8">
        <w:t xml:space="preserve"> </w:t>
      </w:r>
      <w:r>
        <w:t xml:space="preserve">the Commission </w:t>
      </w:r>
      <w:r w:rsidR="00D63A3F">
        <w:t>determined</w:t>
      </w:r>
      <w:r w:rsidR="001D4EE8">
        <w:t xml:space="preserve"> </w:t>
      </w:r>
      <w:r w:rsidR="00D63A3F">
        <w:t xml:space="preserve">that Database costs would be recovered from users of the </w:t>
      </w:r>
      <w:r w:rsidR="00C74B40">
        <w:t>D</w:t>
      </w:r>
      <w:r w:rsidR="00D63A3F">
        <w:t xml:space="preserve">atabase, but did not specify </w:t>
      </w:r>
      <w:r w:rsidR="00A73354">
        <w:t>usage charges</w:t>
      </w:r>
      <w:r w:rsidR="00D63A3F">
        <w:t xml:space="preserve"> or a rate structure.</w:t>
      </w:r>
      <w:r>
        <w:rPr>
          <w:rStyle w:val="FootnoteReference"/>
        </w:rPr>
        <w:footnoteReference w:id="12"/>
      </w:r>
      <w:r w:rsidR="00D63A3F">
        <w:t xml:space="preserve"> </w:t>
      </w:r>
      <w:r w:rsidR="00D455BD">
        <w:t xml:space="preserve"> Instead, the Commission directed the </w:t>
      </w:r>
      <w:r w:rsidR="00A73354">
        <w:t>NANC “to consider how to structure fees and the amount of such fees” and to submit recommendations to the Commission.</w:t>
      </w:r>
      <w:r>
        <w:rPr>
          <w:rStyle w:val="FootnoteReference"/>
        </w:rPr>
        <w:footnoteReference w:id="13"/>
      </w:r>
      <w:r w:rsidR="001D4EE8">
        <w:t xml:space="preserve"> </w:t>
      </w:r>
      <w:r w:rsidR="001D4EE8">
        <w:rPr>
          <w:i/>
          <w:iCs/>
        </w:rPr>
        <w:t xml:space="preserve"> </w:t>
      </w:r>
      <w:r w:rsidRPr="008F64F0" w:rsidR="006E442D">
        <w:t xml:space="preserve">In February 2020, the </w:t>
      </w:r>
      <w:r w:rsidR="00A73354">
        <w:t>NANC</w:t>
      </w:r>
      <w:r w:rsidRPr="008F64F0" w:rsidR="006E442D">
        <w:t xml:space="preserve"> made</w:t>
      </w:r>
      <w:r w:rsidR="00A73354">
        <w:t xml:space="preserve"> those</w:t>
      </w:r>
      <w:r w:rsidRPr="008F64F0" w:rsidR="006E442D">
        <w:t xml:space="preserve"> recommendations to the Commission.</w:t>
      </w:r>
      <w:r>
        <w:rPr>
          <w:rStyle w:val="FootnoteReference"/>
          <w:sz w:val="24"/>
        </w:rPr>
        <w:footnoteReference w:id="14"/>
      </w:r>
      <w:r w:rsidRPr="008F64F0" w:rsidR="006E442D">
        <w:t xml:space="preserve">  </w:t>
      </w:r>
      <w:r w:rsidR="004552FD">
        <w:t>These recommendations included</w:t>
      </w:r>
      <w:r w:rsidR="00B46E08">
        <w:t xml:space="preserve"> </w:t>
      </w:r>
      <w:r w:rsidR="004552FD">
        <w:t>a tiered pricing structure</w:t>
      </w:r>
      <w:r w:rsidR="00C76EED">
        <w:t xml:space="preserve"> based on usage levels.</w:t>
      </w:r>
      <w:r>
        <w:rPr>
          <w:rStyle w:val="FootnoteReference"/>
        </w:rPr>
        <w:footnoteReference w:id="15"/>
      </w:r>
      <w:r w:rsidR="00155543">
        <w:t xml:space="preserve"> </w:t>
      </w:r>
      <w:r w:rsidR="00F60754">
        <w:t xml:space="preserve"> </w:t>
      </w:r>
      <w:r w:rsidR="00155543">
        <w:t xml:space="preserve">However, the NANC </w:t>
      </w:r>
      <w:r w:rsidR="003C5FD0">
        <w:t xml:space="preserve">stated that it </w:t>
      </w:r>
      <w:r w:rsidR="00155543">
        <w:t xml:space="preserve">lacked the data to credibly recommend </w:t>
      </w:r>
      <w:r w:rsidR="00C86D8B">
        <w:t>usage charges</w:t>
      </w:r>
      <w:r w:rsidR="00155543">
        <w:t xml:space="preserve"> for each tier.</w:t>
      </w:r>
      <w:r>
        <w:rPr>
          <w:rStyle w:val="FootnoteReference"/>
        </w:rPr>
        <w:footnoteReference w:id="16"/>
      </w:r>
      <w:r w:rsidR="004552FD">
        <w:t xml:space="preserve">  </w:t>
      </w:r>
      <w:r w:rsidR="00204E88">
        <w:t>As directed by the Commission, t</w:t>
      </w:r>
      <w:r w:rsidRPr="008F64F0" w:rsidR="006E442D">
        <w:t>he Wireline Competition Bureau and the Consumer and Governmental Affairs Bureau sought comment on the cost and fee structure recommendations on February 26, 2020.</w:t>
      </w:r>
      <w:r>
        <w:rPr>
          <w:rStyle w:val="FootnoteReference"/>
          <w:sz w:val="24"/>
        </w:rPr>
        <w:footnoteReference w:id="17"/>
      </w:r>
      <w:r>
        <w:t xml:space="preserve">  </w:t>
      </w:r>
      <w:r w:rsidRPr="008F64F0" w:rsidR="006E442D">
        <w:t xml:space="preserve">The Commission </w:t>
      </w:r>
      <w:r w:rsidR="00F60754">
        <w:t>drew from</w:t>
      </w:r>
      <w:r w:rsidRPr="008F64F0" w:rsidR="00F60754">
        <w:t xml:space="preserve"> </w:t>
      </w:r>
      <w:r w:rsidRPr="008F64F0" w:rsidR="006E442D">
        <w:t xml:space="preserve">the </w:t>
      </w:r>
      <w:r w:rsidR="00BE5A27">
        <w:t>NANC’s</w:t>
      </w:r>
      <w:r w:rsidRPr="008F64F0" w:rsidR="006E442D">
        <w:t xml:space="preserve"> recommendations and relevant public comments in </w:t>
      </w:r>
      <w:r w:rsidR="00F60754">
        <w:t xml:space="preserve">drafting </w:t>
      </w:r>
      <w:r w:rsidRPr="008F64F0" w:rsidR="006E442D">
        <w:t>the</w:t>
      </w:r>
      <w:r w:rsidR="00E0749E">
        <w:t xml:space="preserve"> </w:t>
      </w:r>
      <w:r w:rsidR="008E7937">
        <w:t>Performance Work Statement</w:t>
      </w:r>
      <w:r w:rsidRPr="008F64F0" w:rsidR="006E442D">
        <w:t>.</w:t>
      </w:r>
      <w:r>
        <w:rPr>
          <w:rStyle w:val="FootnoteReference"/>
          <w:sz w:val="24"/>
        </w:rPr>
        <w:footnoteReference w:id="18"/>
      </w:r>
      <w:r w:rsidRPr="008F64F0" w:rsidR="006E442D">
        <w:t xml:space="preserve">  In the Performance Work Statement, the Commission directs the Database Administrator, in consultation with the Commission, to establish a tiered, subscription-based user fee structure and determine subscriber rates.</w:t>
      </w:r>
      <w:r>
        <w:rPr>
          <w:rStyle w:val="FootnoteReference"/>
          <w:sz w:val="24"/>
        </w:rPr>
        <w:footnoteReference w:id="19"/>
      </w:r>
      <w:r w:rsidR="004552FD">
        <w:t xml:space="preserve"> </w:t>
      </w:r>
    </w:p>
    <w:p w:rsidR="006E442D" w:rsidRPr="008F64F0" w:rsidP="006E442D" w14:paraId="28A0EA5F" w14:textId="0E472489">
      <w:pPr>
        <w:spacing w:after="120"/>
        <w:ind w:firstLine="720"/>
      </w:pPr>
      <w:r>
        <w:t xml:space="preserve">Several commenters on the </w:t>
      </w:r>
      <w:r w:rsidR="00C65C08">
        <w:t>NANC</w:t>
      </w:r>
      <w:r w:rsidR="001C120B">
        <w:t>’s</w:t>
      </w:r>
      <w:r>
        <w:t xml:space="preserve"> Recommendation suggested that the Commission should </w:t>
      </w:r>
      <w:r w:rsidRPr="00B5536E">
        <w:t xml:space="preserve">minimize the </w:t>
      </w:r>
      <w:r w:rsidR="00C86D8B">
        <w:t>usage charges</w:t>
      </w:r>
      <w:r w:rsidRPr="00B5536E">
        <w:t xml:space="preserve"> to callers for use of the Database</w:t>
      </w:r>
      <w:r w:rsidR="001C120B">
        <w:t xml:space="preserve"> while charging enough to cover the costs of administering the RND</w:t>
      </w:r>
      <w:r>
        <w:t>.</w:t>
      </w:r>
      <w:r>
        <w:rPr>
          <w:rStyle w:val="FootnoteReference"/>
        </w:rPr>
        <w:footnoteReference w:id="20"/>
      </w:r>
      <w:r>
        <w:t xml:space="preserve"> </w:t>
      </w:r>
      <w:r w:rsidRPr="00B5536E">
        <w:t xml:space="preserve"> </w:t>
      </w:r>
      <w:r w:rsidR="001C120B">
        <w:t xml:space="preserve">The Commission took this recommendation into account in drafting the </w:t>
      </w:r>
      <w:r w:rsidR="00432577">
        <w:t>Performance Work Statement</w:t>
      </w:r>
      <w:r w:rsidR="001C120B">
        <w:t>, requiring t</w:t>
      </w:r>
      <w:r w:rsidRPr="008F64F0">
        <w:t>he Database Administrator</w:t>
      </w:r>
      <w:r w:rsidR="001C120B">
        <w:t xml:space="preserve"> to</w:t>
      </w:r>
      <w:r w:rsidRPr="008F64F0">
        <w:t xml:space="preserve"> “attempt to collect exactly enough money through [Database] subscription fees</w:t>
      </w:r>
      <w:r w:rsidR="001C120B">
        <w:t>”</w:t>
      </w:r>
      <w:r w:rsidRPr="008F64F0">
        <w:t xml:space="preserve"> to allow it to </w:t>
      </w:r>
      <w:r w:rsidR="001C120B">
        <w:t>cover the costs of the program.</w:t>
      </w:r>
      <w:r>
        <w:rPr>
          <w:rStyle w:val="FootnoteReference"/>
          <w:sz w:val="24"/>
        </w:rPr>
        <w:footnoteReference w:id="21"/>
      </w:r>
      <w:r w:rsidRPr="008F64F0">
        <w:t xml:space="preserve">  </w:t>
      </w:r>
      <w:r w:rsidR="001C120B">
        <w:t xml:space="preserve">To further clarify that any excess </w:t>
      </w:r>
      <w:r w:rsidR="00C86D8B">
        <w:t>usage charges</w:t>
      </w:r>
      <w:r w:rsidR="001C120B">
        <w:t xml:space="preserve"> collected must be used to cover costs of the program or to allow for </w:t>
      </w:r>
      <w:r w:rsidR="001C120B">
        <w:t>a reduction in future us</w:t>
      </w:r>
      <w:r w:rsidR="00C86D8B">
        <w:t>age charges</w:t>
      </w:r>
      <w:r w:rsidR="001C120B">
        <w:t>, in</w:t>
      </w:r>
      <w:r w:rsidRPr="008F64F0">
        <w:t xml:space="preserve"> April 2020 the Consumer and Governmental Affairs Bureau established an excess fee distribution policy in the event that the Administrator collects more subscription fees than are needed in a given year.</w:t>
      </w:r>
      <w:r>
        <w:rPr>
          <w:rStyle w:val="FootnoteReference"/>
          <w:sz w:val="24"/>
        </w:rPr>
        <w:footnoteReference w:id="22"/>
      </w:r>
      <w:r w:rsidR="00EB4AC8">
        <w:t xml:space="preserve"> </w:t>
      </w:r>
      <w:r w:rsidR="004E6864">
        <w:t xml:space="preserve"> The Commission</w:t>
      </w:r>
      <w:r w:rsidR="00D975F8">
        <w:t xml:space="preserve"> also</w:t>
      </w:r>
      <w:r w:rsidR="004E6864">
        <w:t xml:space="preserve"> took comments into account in </w:t>
      </w:r>
      <w:r w:rsidR="003D2FC7">
        <w:t>allowing</w:t>
      </w:r>
      <w:r w:rsidR="003A57B0">
        <w:t xml:space="preserve"> the Administrator to </w:t>
      </w:r>
      <w:r w:rsidR="004E6864">
        <w:t>offer short-term subscription options to encourage small businesses to use the Database.</w:t>
      </w:r>
      <w:r>
        <w:rPr>
          <w:rStyle w:val="FootnoteReference"/>
        </w:rPr>
        <w:footnoteReference w:id="23"/>
      </w:r>
    </w:p>
    <w:p w:rsidR="00ED0E2C" w:rsidP="00322916" w14:paraId="741E5E0A" w14:textId="09AAB991">
      <w:pPr>
        <w:spacing w:after="120"/>
        <w:ind w:firstLine="720"/>
        <w:rPr>
          <w:szCs w:val="22"/>
        </w:rPr>
      </w:pPr>
      <w:r>
        <w:rPr>
          <w:szCs w:val="22"/>
        </w:rPr>
        <w:t>N</w:t>
      </w:r>
      <w:r w:rsidR="00322916">
        <w:rPr>
          <w:szCs w:val="22"/>
        </w:rPr>
        <w:t xml:space="preserve">either the NANC nor commenters provided us with recommended benchmarks for either </w:t>
      </w:r>
      <w:r w:rsidR="007F53A5">
        <w:rPr>
          <w:szCs w:val="22"/>
        </w:rPr>
        <w:t>subscription tiers or user rates</w:t>
      </w:r>
      <w:r w:rsidR="00322916">
        <w:rPr>
          <w:szCs w:val="22"/>
        </w:rPr>
        <w:t xml:space="preserve"> based on anticipated usage.  </w:t>
      </w:r>
      <w:r w:rsidRPr="00F27510" w:rsidR="00F27510">
        <w:rPr>
          <w:szCs w:val="22"/>
        </w:rPr>
        <w:t xml:space="preserve">Therefore, </w:t>
      </w:r>
      <w:r w:rsidR="00AA2089">
        <w:rPr>
          <w:szCs w:val="22"/>
        </w:rPr>
        <w:t xml:space="preserve">in the interest of making the Database operational as a tool to protect consumers of unwanted robocalls, </w:t>
      </w:r>
      <w:r w:rsidRPr="00F27510" w:rsidR="00F27510">
        <w:rPr>
          <w:szCs w:val="22"/>
        </w:rPr>
        <w:t xml:space="preserve">we are moving forward </w:t>
      </w:r>
      <w:r w:rsidR="00AA2089">
        <w:rPr>
          <w:szCs w:val="22"/>
        </w:rPr>
        <w:t xml:space="preserve">using interim rates </w:t>
      </w:r>
      <w:r w:rsidRPr="00F27510" w:rsidR="00F27510">
        <w:rPr>
          <w:szCs w:val="22"/>
        </w:rPr>
        <w:t xml:space="preserve">based on the preliminary </w:t>
      </w:r>
      <w:r w:rsidR="00AA2089">
        <w:rPr>
          <w:szCs w:val="22"/>
        </w:rPr>
        <w:t xml:space="preserve">volume </w:t>
      </w:r>
      <w:r w:rsidRPr="00F27510" w:rsidR="00F27510">
        <w:rPr>
          <w:szCs w:val="22"/>
        </w:rPr>
        <w:t xml:space="preserve">data collected during the </w:t>
      </w:r>
      <w:r w:rsidR="001F460B">
        <w:rPr>
          <w:szCs w:val="22"/>
        </w:rPr>
        <w:t>b</w:t>
      </w:r>
      <w:r w:rsidRPr="00F27510" w:rsidR="00F27510">
        <w:rPr>
          <w:szCs w:val="22"/>
        </w:rPr>
        <w:t xml:space="preserve">eta </w:t>
      </w:r>
      <w:r w:rsidR="001F460B">
        <w:rPr>
          <w:szCs w:val="22"/>
        </w:rPr>
        <w:t>t</w:t>
      </w:r>
      <w:r w:rsidRPr="00F27510" w:rsidR="00F27510">
        <w:rPr>
          <w:szCs w:val="22"/>
        </w:rPr>
        <w:t>est.</w:t>
      </w:r>
      <w:r w:rsidR="00153BF1">
        <w:rPr>
          <w:szCs w:val="22"/>
        </w:rPr>
        <w:t xml:space="preserve"> </w:t>
      </w:r>
      <w:r w:rsidR="0051436F">
        <w:rPr>
          <w:szCs w:val="22"/>
        </w:rPr>
        <w:t xml:space="preserve"> This interim approach will enable us to avoid delays in addressing unwanted calls to reassigned numbers, while obtaining additional data to refine our pricing in light of our experience with usage by various kinds of user groups.</w:t>
      </w:r>
    </w:p>
    <w:p w:rsidR="00F27510" w:rsidRPr="00F27510" w:rsidP="00322916" w14:paraId="0B0A021D" w14:textId="759D9390">
      <w:pPr>
        <w:spacing w:after="120"/>
        <w:ind w:firstLine="720"/>
        <w:rPr>
          <w:szCs w:val="22"/>
        </w:rPr>
      </w:pPr>
      <w:r>
        <w:rPr>
          <w:szCs w:val="22"/>
        </w:rPr>
        <w:t>W</w:t>
      </w:r>
      <w:r w:rsidR="00ED0E2C">
        <w:rPr>
          <w:szCs w:val="22"/>
        </w:rPr>
        <w:t>e reviewed the Administrator’s recommended subscription tiers and us</w:t>
      </w:r>
      <w:r w:rsidR="00C86D8B">
        <w:rPr>
          <w:szCs w:val="22"/>
        </w:rPr>
        <w:t>age charges</w:t>
      </w:r>
      <w:r w:rsidR="00ED0E2C">
        <w:rPr>
          <w:szCs w:val="22"/>
        </w:rPr>
        <w:t xml:space="preserve"> and find them to be reasonable, based on the data available at this time.  We therefore approve these </w:t>
      </w:r>
      <w:r w:rsidR="00C86D8B">
        <w:rPr>
          <w:szCs w:val="22"/>
        </w:rPr>
        <w:t>usage charges</w:t>
      </w:r>
      <w:r w:rsidR="00ED0E2C">
        <w:rPr>
          <w:szCs w:val="22"/>
        </w:rPr>
        <w:t xml:space="preserve"> on an interim basis.  We acknowledge, however, that the data we have regarding Database usage remains incomplete. </w:t>
      </w:r>
      <w:r w:rsidR="004F5958">
        <w:rPr>
          <w:szCs w:val="22"/>
        </w:rPr>
        <w:t xml:space="preserve"> </w:t>
      </w:r>
      <w:r w:rsidR="00ED0E2C">
        <w:rPr>
          <w:szCs w:val="22"/>
        </w:rPr>
        <w:t>Accordingly, a</w:t>
      </w:r>
      <w:r w:rsidR="003133B2">
        <w:rPr>
          <w:szCs w:val="22"/>
        </w:rPr>
        <w:t>s</w:t>
      </w:r>
      <w:r w:rsidR="00ED0E2C">
        <w:rPr>
          <w:szCs w:val="22"/>
        </w:rPr>
        <w:t xml:space="preserve"> discussed below,</w:t>
      </w:r>
      <w:r w:rsidR="003C28C1">
        <w:rPr>
          <w:szCs w:val="22"/>
        </w:rPr>
        <w:t xml:space="preserve"> the Administrator</w:t>
      </w:r>
      <w:r w:rsidR="00ED0E2C">
        <w:rPr>
          <w:szCs w:val="22"/>
        </w:rPr>
        <w:t xml:space="preserve"> will continue to collect usage data and user feedback and will adjust these</w:t>
      </w:r>
      <w:r w:rsidR="003133B2">
        <w:rPr>
          <w:szCs w:val="22"/>
        </w:rPr>
        <w:t xml:space="preserve"> interim</w:t>
      </w:r>
      <w:r w:rsidR="00ED0E2C">
        <w:rPr>
          <w:szCs w:val="22"/>
        </w:rPr>
        <w:t xml:space="preserve"> </w:t>
      </w:r>
      <w:r w:rsidR="00C86D8B">
        <w:rPr>
          <w:szCs w:val="22"/>
        </w:rPr>
        <w:t>usage charges</w:t>
      </w:r>
      <w:r w:rsidR="003133B2">
        <w:rPr>
          <w:szCs w:val="22"/>
        </w:rPr>
        <w:t xml:space="preserve"> </w:t>
      </w:r>
      <w:r w:rsidR="00E0749E">
        <w:rPr>
          <w:szCs w:val="22"/>
        </w:rPr>
        <w:t>as needed</w:t>
      </w:r>
      <w:r w:rsidR="006C2CBD">
        <w:rPr>
          <w:szCs w:val="22"/>
        </w:rPr>
        <w:t xml:space="preserve"> </w:t>
      </w:r>
      <w:r w:rsidR="00491B3B">
        <w:rPr>
          <w:szCs w:val="22"/>
        </w:rPr>
        <w:t xml:space="preserve">based on monthly analysis </w:t>
      </w:r>
      <w:r w:rsidR="003133B2">
        <w:rPr>
          <w:szCs w:val="22"/>
        </w:rPr>
        <w:t xml:space="preserve">until the data supports adopting a more permanent rate structure. </w:t>
      </w:r>
      <w:r w:rsidR="00ED0E2C">
        <w:rPr>
          <w:szCs w:val="22"/>
        </w:rPr>
        <w:t xml:space="preserve"> </w:t>
      </w:r>
      <w:r w:rsidR="0093255E">
        <w:rPr>
          <w:szCs w:val="22"/>
        </w:rPr>
        <w:t xml:space="preserve">This </w:t>
      </w:r>
      <w:r w:rsidR="00241292">
        <w:rPr>
          <w:szCs w:val="22"/>
        </w:rPr>
        <w:t xml:space="preserve">approach will enable us to reflect the concerns of the majority of commenters to ensure that </w:t>
      </w:r>
      <w:r w:rsidR="00C86D8B">
        <w:rPr>
          <w:szCs w:val="22"/>
        </w:rPr>
        <w:t>charges</w:t>
      </w:r>
      <w:r w:rsidR="00241292">
        <w:rPr>
          <w:szCs w:val="22"/>
        </w:rPr>
        <w:t xml:space="preserve"> do not deter usage.</w:t>
      </w:r>
      <w:r>
        <w:rPr>
          <w:rStyle w:val="FootnoteReference"/>
          <w:szCs w:val="22"/>
        </w:rPr>
        <w:footnoteReference w:id="24"/>
      </w:r>
    </w:p>
    <w:p w:rsidR="00F27510" w:rsidRPr="00F27510" w:rsidP="00F27510" w14:paraId="05D7A1B2" w14:textId="2CE909B8">
      <w:pPr>
        <w:spacing w:after="120"/>
        <w:ind w:firstLine="720"/>
        <w:rPr>
          <w:szCs w:val="22"/>
        </w:rPr>
      </w:pPr>
      <w:r w:rsidRPr="00552891">
        <w:rPr>
          <w:i/>
          <w:iCs/>
          <w:szCs w:val="22"/>
        </w:rPr>
        <w:t xml:space="preserve">Adjustments to the Interim </w:t>
      </w:r>
      <w:r w:rsidR="00F7590B">
        <w:rPr>
          <w:i/>
          <w:iCs/>
          <w:szCs w:val="22"/>
        </w:rPr>
        <w:t>Usage Charges</w:t>
      </w:r>
      <w:r w:rsidRPr="00552891">
        <w:rPr>
          <w:i/>
          <w:iCs/>
          <w:szCs w:val="22"/>
        </w:rPr>
        <w:t>.</w:t>
      </w:r>
      <w:r>
        <w:rPr>
          <w:szCs w:val="22"/>
        </w:rPr>
        <w:t xml:space="preserve">  The</w:t>
      </w:r>
      <w:r w:rsidRPr="00F27510">
        <w:rPr>
          <w:szCs w:val="22"/>
        </w:rPr>
        <w:t xml:space="preserve"> Commission </w:t>
      </w:r>
      <w:r w:rsidR="00AA2089">
        <w:rPr>
          <w:szCs w:val="22"/>
        </w:rPr>
        <w:t xml:space="preserve">required </w:t>
      </w:r>
      <w:r w:rsidRPr="00F27510">
        <w:rPr>
          <w:szCs w:val="22"/>
        </w:rPr>
        <w:t xml:space="preserve">the Administrator </w:t>
      </w:r>
      <w:r w:rsidR="00AA2089">
        <w:rPr>
          <w:szCs w:val="22"/>
        </w:rPr>
        <w:t>to</w:t>
      </w:r>
      <w:r w:rsidRPr="00F27510">
        <w:rPr>
          <w:szCs w:val="22"/>
        </w:rPr>
        <w:t xml:space="preserve"> provid</w:t>
      </w:r>
      <w:r w:rsidR="00AA2089">
        <w:rPr>
          <w:szCs w:val="22"/>
        </w:rPr>
        <w:t xml:space="preserve">e </w:t>
      </w:r>
      <w:r w:rsidRPr="00F27510">
        <w:rPr>
          <w:szCs w:val="22"/>
        </w:rPr>
        <w:t xml:space="preserve">monthly analyses of the impacts of </w:t>
      </w:r>
      <w:r w:rsidR="00A30F2A">
        <w:rPr>
          <w:szCs w:val="22"/>
        </w:rPr>
        <w:t>the</w:t>
      </w:r>
      <w:r w:rsidRPr="00F27510">
        <w:rPr>
          <w:szCs w:val="22"/>
        </w:rPr>
        <w:t xml:space="preserve"> interim </w:t>
      </w:r>
      <w:r w:rsidR="00F7590B">
        <w:rPr>
          <w:szCs w:val="22"/>
        </w:rPr>
        <w:t>usage charge</w:t>
      </w:r>
      <w:r w:rsidR="00A30F2A">
        <w:rPr>
          <w:szCs w:val="22"/>
        </w:rPr>
        <w:t xml:space="preserve"> structure</w:t>
      </w:r>
      <w:r>
        <w:rPr>
          <w:szCs w:val="22"/>
        </w:rPr>
        <w:t>.</w:t>
      </w:r>
      <w:r>
        <w:rPr>
          <w:rStyle w:val="FootnoteReference"/>
          <w:szCs w:val="22"/>
        </w:rPr>
        <w:footnoteReference w:id="25"/>
      </w:r>
      <w:r>
        <w:rPr>
          <w:szCs w:val="22"/>
        </w:rPr>
        <w:t xml:space="preserve">  </w:t>
      </w:r>
      <w:r w:rsidR="00A30F2A">
        <w:rPr>
          <w:szCs w:val="22"/>
        </w:rPr>
        <w:t>The Administrator may</w:t>
      </w:r>
      <w:r w:rsidRPr="00F27510">
        <w:rPr>
          <w:szCs w:val="22"/>
        </w:rPr>
        <w:t xml:space="preserve"> adjust the </w:t>
      </w:r>
      <w:r w:rsidR="00F7590B">
        <w:rPr>
          <w:szCs w:val="22"/>
        </w:rPr>
        <w:t>usage charges</w:t>
      </w:r>
      <w:r w:rsidR="00A30F2A">
        <w:rPr>
          <w:szCs w:val="22"/>
        </w:rPr>
        <w:t xml:space="preserve">, including the number of tiers, the number of queries in the tiers, and the </w:t>
      </w:r>
      <w:r w:rsidR="00F7590B">
        <w:rPr>
          <w:szCs w:val="22"/>
        </w:rPr>
        <w:t>charge</w:t>
      </w:r>
      <w:r w:rsidR="00A30F2A">
        <w:rPr>
          <w:szCs w:val="22"/>
        </w:rPr>
        <w:t xml:space="preserve"> for each tier,</w:t>
      </w:r>
      <w:r w:rsidRPr="00F27510">
        <w:rPr>
          <w:szCs w:val="22"/>
        </w:rPr>
        <w:t xml:space="preserve"> on a monthly basis</w:t>
      </w:r>
      <w:r w:rsidR="00A30F2A">
        <w:rPr>
          <w:szCs w:val="22"/>
        </w:rPr>
        <w:t xml:space="preserve"> with approval of the Commission.  </w:t>
      </w:r>
      <w:r w:rsidRPr="00F27510">
        <w:rPr>
          <w:szCs w:val="22"/>
        </w:rPr>
        <w:t xml:space="preserve">We welcome feedback via </w:t>
      </w:r>
      <w:r w:rsidR="00A30F2A">
        <w:rPr>
          <w:szCs w:val="22"/>
        </w:rPr>
        <w:t xml:space="preserve">telephone or </w:t>
      </w:r>
      <w:r w:rsidRPr="00F27510">
        <w:rPr>
          <w:szCs w:val="22"/>
        </w:rPr>
        <w:t>email to the Administrator</w:t>
      </w:r>
      <w:r w:rsidR="00A30F2A">
        <w:rPr>
          <w:szCs w:val="22"/>
        </w:rPr>
        <w:t xml:space="preserve">.  Contact information for the Administrator is located on the support page of the RND website, found at </w:t>
      </w:r>
      <w:hyperlink r:id="rId6" w:history="1">
        <w:r w:rsidRPr="00A30F2A" w:rsidR="00A30F2A">
          <w:rPr>
            <w:rStyle w:val="Hyperlink"/>
            <w:szCs w:val="22"/>
          </w:rPr>
          <w:t>https://www.reassigned.us/support</w:t>
        </w:r>
      </w:hyperlink>
      <w:r w:rsidR="00A30F2A">
        <w:rPr>
          <w:szCs w:val="22"/>
        </w:rPr>
        <w:t>.</w:t>
      </w:r>
    </w:p>
    <w:p w:rsidR="00F27510" w:rsidRPr="00F27510" w:rsidP="00F27510" w14:paraId="36B0CC6D" w14:textId="0EB065E5">
      <w:pPr>
        <w:spacing w:after="120"/>
        <w:ind w:firstLine="720"/>
        <w:rPr>
          <w:szCs w:val="22"/>
        </w:rPr>
      </w:pPr>
      <w:bookmarkStart w:id="1" w:name="_Hlk80377160"/>
      <w:r>
        <w:rPr>
          <w:szCs w:val="22"/>
        </w:rPr>
        <w:t>The Administrator will post notice of</w:t>
      </w:r>
      <w:r w:rsidRPr="00F27510">
        <w:rPr>
          <w:szCs w:val="22"/>
        </w:rPr>
        <w:t xml:space="preserve"> changes to the interim </w:t>
      </w:r>
      <w:r w:rsidR="00F7590B">
        <w:rPr>
          <w:szCs w:val="22"/>
        </w:rPr>
        <w:t>usage charges</w:t>
      </w:r>
      <w:r w:rsidRPr="00D57859">
        <w:rPr>
          <w:szCs w:val="22"/>
        </w:rPr>
        <w:t xml:space="preserve"> </w:t>
      </w:r>
      <w:r w:rsidRPr="00F27510">
        <w:rPr>
          <w:szCs w:val="22"/>
        </w:rPr>
        <w:t>on the RND website</w:t>
      </w:r>
      <w:r>
        <w:rPr>
          <w:szCs w:val="22"/>
        </w:rPr>
        <w:t xml:space="preserve"> (</w:t>
      </w:r>
      <w:hyperlink r:id="rId7" w:history="1">
        <w:r w:rsidRPr="00D57859">
          <w:rPr>
            <w:rStyle w:val="Hyperlink"/>
            <w:szCs w:val="22"/>
          </w:rPr>
          <w:t>https://wwww.reassigned.us</w:t>
        </w:r>
      </w:hyperlink>
      <w:r>
        <w:rPr>
          <w:szCs w:val="22"/>
        </w:rPr>
        <w:t>)</w:t>
      </w:r>
      <w:r w:rsidRPr="00F27510">
        <w:rPr>
          <w:szCs w:val="22"/>
        </w:rPr>
        <w:t xml:space="preserve"> </w:t>
      </w:r>
      <w:r>
        <w:rPr>
          <w:szCs w:val="22"/>
        </w:rPr>
        <w:t>two weeks</w:t>
      </w:r>
      <w:r w:rsidRPr="00F27510">
        <w:rPr>
          <w:szCs w:val="22"/>
        </w:rPr>
        <w:t xml:space="preserve"> before they go into effect</w:t>
      </w:r>
      <w:r>
        <w:rPr>
          <w:szCs w:val="22"/>
        </w:rPr>
        <w:t xml:space="preserve">.  Registered subscribers will receive </w:t>
      </w:r>
      <w:r>
        <w:rPr>
          <w:szCs w:val="22"/>
        </w:rPr>
        <w:t xml:space="preserve">notice of changes to the interim </w:t>
      </w:r>
      <w:r w:rsidR="00F7590B">
        <w:rPr>
          <w:szCs w:val="22"/>
        </w:rPr>
        <w:t>usage charges</w:t>
      </w:r>
      <w:r>
        <w:rPr>
          <w:szCs w:val="22"/>
        </w:rPr>
        <w:t xml:space="preserve"> before their subscription ends as part of the RND renewal notification process.</w:t>
      </w:r>
    </w:p>
    <w:bookmarkEnd w:id="1"/>
    <w:p w:rsidR="00F27510" w:rsidRPr="00473D4D" w:rsidP="00054C5B" w14:paraId="32BEAB67" w14:textId="5DE77B6A">
      <w:pPr>
        <w:spacing w:after="120"/>
        <w:ind w:firstLine="720"/>
      </w:pPr>
      <w:r>
        <w:rPr>
          <w:szCs w:val="22"/>
        </w:rPr>
        <w:t>We anticipate that t</w:t>
      </w:r>
      <w:r w:rsidR="00B71B26">
        <w:rPr>
          <w:szCs w:val="22"/>
        </w:rPr>
        <w:t>he Commission</w:t>
      </w:r>
      <w:r w:rsidR="0093255E">
        <w:rPr>
          <w:szCs w:val="22"/>
        </w:rPr>
        <w:t xml:space="preserve"> may</w:t>
      </w:r>
      <w:r w:rsidR="00B71B26">
        <w:rPr>
          <w:szCs w:val="22"/>
        </w:rPr>
        <w:t xml:space="preserve"> </w:t>
      </w:r>
      <w:r>
        <w:rPr>
          <w:szCs w:val="22"/>
        </w:rPr>
        <w:t xml:space="preserve">commence a </w:t>
      </w:r>
      <w:r w:rsidR="00D10245">
        <w:rPr>
          <w:szCs w:val="22"/>
        </w:rPr>
        <w:t>proceeding</w:t>
      </w:r>
      <w:r>
        <w:rPr>
          <w:szCs w:val="22"/>
        </w:rPr>
        <w:t xml:space="preserve"> to establish </w:t>
      </w:r>
      <w:r w:rsidRPr="00F27510">
        <w:rPr>
          <w:szCs w:val="22"/>
        </w:rPr>
        <w:t xml:space="preserve">a more permanent rate structure </w:t>
      </w:r>
      <w:r w:rsidR="00B71B26">
        <w:rPr>
          <w:szCs w:val="22"/>
        </w:rPr>
        <w:t>that would go into effect no sooner than January 1, 2023</w:t>
      </w:r>
      <w:r w:rsidRPr="00F27510">
        <w:rPr>
          <w:szCs w:val="22"/>
        </w:rPr>
        <w:t xml:space="preserve">.  </w:t>
      </w:r>
      <w:r w:rsidR="00B71B26">
        <w:rPr>
          <w:szCs w:val="22"/>
        </w:rPr>
        <w:t>We</w:t>
      </w:r>
      <w:r w:rsidRPr="00F27510">
        <w:rPr>
          <w:szCs w:val="22"/>
        </w:rPr>
        <w:t xml:space="preserve"> acknowledge that this is a unique scenario.</w:t>
      </w:r>
      <w:r w:rsidR="00325FEA">
        <w:rPr>
          <w:szCs w:val="22"/>
        </w:rPr>
        <w:t xml:space="preserve"> </w:t>
      </w:r>
      <w:r w:rsidRPr="00F27510">
        <w:rPr>
          <w:szCs w:val="22"/>
        </w:rPr>
        <w:t xml:space="preserve"> Given the lack of data available despite our attempts to obtain it</w:t>
      </w:r>
      <w:r w:rsidR="0051436F">
        <w:rPr>
          <w:szCs w:val="22"/>
        </w:rPr>
        <w:t xml:space="preserve"> from commenters</w:t>
      </w:r>
      <w:r w:rsidRPr="00F27510">
        <w:rPr>
          <w:szCs w:val="22"/>
        </w:rPr>
        <w:t xml:space="preserve"> and the inability to accurately predict the correct </w:t>
      </w:r>
      <w:r w:rsidR="00F7590B">
        <w:rPr>
          <w:szCs w:val="22"/>
        </w:rPr>
        <w:t>usage charges</w:t>
      </w:r>
      <w:r w:rsidRPr="00F27510">
        <w:rPr>
          <w:szCs w:val="22"/>
        </w:rPr>
        <w:t xml:space="preserve"> over an extended period without</w:t>
      </w:r>
      <w:r w:rsidR="007F53A5">
        <w:rPr>
          <w:szCs w:val="22"/>
        </w:rPr>
        <w:t xml:space="preserve"> making the Database available to users</w:t>
      </w:r>
      <w:r w:rsidRPr="00F27510">
        <w:rPr>
          <w:szCs w:val="22"/>
        </w:rPr>
        <w:t xml:space="preserve">, combined with </w:t>
      </w:r>
      <w:r w:rsidR="007F53A5">
        <w:rPr>
          <w:szCs w:val="22"/>
        </w:rPr>
        <w:t>our commitment to setting</w:t>
      </w:r>
      <w:r w:rsidRPr="00F27510">
        <w:rPr>
          <w:szCs w:val="22"/>
        </w:rPr>
        <w:t xml:space="preserve"> a </w:t>
      </w:r>
      <w:r w:rsidR="00F7590B">
        <w:rPr>
          <w:szCs w:val="22"/>
        </w:rPr>
        <w:t>usage charge</w:t>
      </w:r>
      <w:r w:rsidRPr="00F27510">
        <w:rPr>
          <w:szCs w:val="22"/>
        </w:rPr>
        <w:t xml:space="preserve"> that will encourage </w:t>
      </w:r>
      <w:r w:rsidR="00C74B40">
        <w:rPr>
          <w:szCs w:val="22"/>
        </w:rPr>
        <w:t>D</w:t>
      </w:r>
      <w:r w:rsidRPr="00F27510">
        <w:rPr>
          <w:szCs w:val="22"/>
        </w:rPr>
        <w:t xml:space="preserve">atabase usage, we have determined that the best course forward is for us to set these interim </w:t>
      </w:r>
      <w:r w:rsidR="00F7590B">
        <w:rPr>
          <w:szCs w:val="22"/>
        </w:rPr>
        <w:t>usage charges</w:t>
      </w:r>
      <w:r w:rsidRPr="00F27510">
        <w:rPr>
          <w:szCs w:val="22"/>
        </w:rPr>
        <w:t xml:space="preserve"> and adjust them </w:t>
      </w:r>
      <w:r w:rsidR="007F53A5">
        <w:rPr>
          <w:szCs w:val="22"/>
        </w:rPr>
        <w:t>as we collect data throughout the first year of the Database’s operation</w:t>
      </w:r>
      <w:r w:rsidRPr="00F27510">
        <w:rPr>
          <w:szCs w:val="22"/>
        </w:rPr>
        <w:t xml:space="preserve">.  </w:t>
      </w:r>
      <w:r w:rsidR="00A30F2A">
        <w:rPr>
          <w:szCs w:val="22"/>
        </w:rPr>
        <w:t>Users of the Database have the ability to give</w:t>
      </w:r>
      <w:r w:rsidRPr="00F27510">
        <w:rPr>
          <w:szCs w:val="22"/>
        </w:rPr>
        <w:t xml:space="preserve"> continuous feedback to the Administrator</w:t>
      </w:r>
      <w:r w:rsidR="00A30F2A">
        <w:rPr>
          <w:szCs w:val="22"/>
        </w:rPr>
        <w:t xml:space="preserve"> as we work through setting the </w:t>
      </w:r>
      <w:r w:rsidR="00F7590B">
        <w:rPr>
          <w:szCs w:val="22"/>
        </w:rPr>
        <w:t>usage charge</w:t>
      </w:r>
      <w:r w:rsidR="00A30F2A">
        <w:rPr>
          <w:szCs w:val="22"/>
        </w:rPr>
        <w:t xml:space="preserve"> structure for the RND</w:t>
      </w:r>
      <w:r w:rsidRPr="00F27510">
        <w:rPr>
          <w:szCs w:val="22"/>
        </w:rPr>
        <w:t>.</w:t>
      </w:r>
    </w:p>
    <w:p w:rsidR="00654DF4" w:rsidRPr="000D0465" w:rsidP="000D2DD9" w14:paraId="7981422A" w14:textId="7CFD0971">
      <w:pPr>
        <w:widowControl/>
        <w:spacing w:after="120"/>
        <w:ind w:firstLine="720"/>
        <w:rPr>
          <w:szCs w:val="22"/>
        </w:rPr>
      </w:pPr>
      <w:r w:rsidRPr="000D0465">
        <w:rPr>
          <w:i/>
          <w:iCs/>
          <w:szCs w:val="22"/>
        </w:rPr>
        <w:t xml:space="preserve">Ex </w:t>
      </w:r>
      <w:r w:rsidRPr="000D0465">
        <w:rPr>
          <w:i/>
          <w:iCs/>
          <w:szCs w:val="22"/>
        </w:rPr>
        <w:t>Parte</w:t>
      </w:r>
      <w:r w:rsidRPr="000D0465">
        <w:rPr>
          <w:i/>
          <w:iCs/>
          <w:szCs w:val="22"/>
        </w:rPr>
        <w:t xml:space="preserve"> Rules</w:t>
      </w:r>
      <w:r>
        <w:rPr>
          <w:szCs w:val="22"/>
        </w:rPr>
        <w:t>.</w:t>
      </w:r>
      <w:r w:rsidRPr="000D0465">
        <w:rPr>
          <w:szCs w:val="22"/>
        </w:rPr>
        <w:t xml:space="preserve">  </w:t>
      </w:r>
      <w:r w:rsidR="000D2DD9">
        <w:rPr>
          <w:szCs w:val="22"/>
        </w:rPr>
        <w:t xml:space="preserve">We encourage users of the Database to provide feedback on usage charges directly to the Administrator as described above.  </w:t>
      </w:r>
      <w:r w:rsidRPr="0076056B" w:rsidR="0076056B">
        <w:rPr>
          <w:szCs w:val="22"/>
        </w:rPr>
        <w:t xml:space="preserve">These communications are not subject to </w:t>
      </w:r>
      <w:r w:rsidRPr="001E6B18" w:rsidR="0076056B">
        <w:rPr>
          <w:i/>
          <w:iCs/>
          <w:szCs w:val="22"/>
        </w:rPr>
        <w:t xml:space="preserve">ex </w:t>
      </w:r>
      <w:r w:rsidRPr="001E6B18" w:rsidR="0076056B">
        <w:rPr>
          <w:i/>
          <w:iCs/>
          <w:szCs w:val="22"/>
        </w:rPr>
        <w:t>parte</w:t>
      </w:r>
      <w:r w:rsidRPr="0076056B" w:rsidR="0076056B">
        <w:rPr>
          <w:szCs w:val="22"/>
        </w:rPr>
        <w:t xml:space="preserve"> restrictions</w:t>
      </w:r>
      <w:r w:rsidR="0076056B">
        <w:rPr>
          <w:szCs w:val="22"/>
        </w:rPr>
        <w:t xml:space="preserve">.  </w:t>
      </w:r>
      <w:r w:rsidR="000D2DD9">
        <w:rPr>
          <w:szCs w:val="22"/>
        </w:rPr>
        <w:t>However, if interested parties desire to make presentations to bureau staff on matters concerning the Database and usage charges, t</w:t>
      </w:r>
      <w:r w:rsidRPr="000D0465">
        <w:rPr>
          <w:szCs w:val="22"/>
        </w:rPr>
        <w:t xml:space="preserve">his proceeding shall be treated as a “permit-but-disclose” proceeding in accordance with the Commission’s </w:t>
      </w:r>
      <w:r w:rsidRPr="006A799F">
        <w:rPr>
          <w:i/>
          <w:iCs/>
          <w:szCs w:val="22"/>
        </w:rPr>
        <w:t xml:space="preserve">ex </w:t>
      </w:r>
      <w:r w:rsidRPr="006A799F">
        <w:rPr>
          <w:i/>
          <w:iCs/>
          <w:szCs w:val="22"/>
        </w:rPr>
        <w:t>parte</w:t>
      </w:r>
      <w:r w:rsidRPr="000D0465">
        <w:rPr>
          <w:szCs w:val="22"/>
        </w:rPr>
        <w:t xml:space="preserve"> rules.</w:t>
      </w:r>
      <w:r>
        <w:rPr>
          <w:rStyle w:val="FootnoteReference"/>
          <w:szCs w:val="22"/>
        </w:rPr>
        <w:footnoteReference w:id="26"/>
      </w:r>
      <w:r w:rsidRPr="000D0465">
        <w:rPr>
          <w:szCs w:val="22"/>
        </w:rPr>
        <w:t xml:space="preserve"> </w:t>
      </w:r>
      <w:r>
        <w:rPr>
          <w:szCs w:val="22"/>
        </w:rPr>
        <w:t xml:space="preserve"> </w:t>
      </w:r>
      <w:r w:rsidRPr="000D0465">
        <w:rPr>
          <w:szCs w:val="22"/>
        </w:rPr>
        <w:t>Person</w:t>
      </w:r>
      <w:r>
        <w:rPr>
          <w:szCs w:val="22"/>
        </w:rPr>
        <w:t>s</w:t>
      </w:r>
      <w:r w:rsidRPr="000D0465">
        <w:rPr>
          <w:szCs w:val="22"/>
        </w:rPr>
        <w:t xml:space="preserve"> making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presentations must file a copy of any written presentation or a memorandum summarizing any oral presentations within two business days after the presentations (unless a different deadline applicable to the Sunshine period applies). </w:t>
      </w:r>
      <w:r>
        <w:rPr>
          <w:szCs w:val="22"/>
        </w:rPr>
        <w:t xml:space="preserve"> </w:t>
      </w:r>
      <w:r w:rsidRPr="000D0465">
        <w:rPr>
          <w:szCs w:val="22"/>
        </w:rPr>
        <w:t xml:space="preserve">Persons making oral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presentations are reminded that memoranda summarizing the presentation must (1) list all persons attending or otherwise participating in the meeting at which the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meetings are deemed to be written </w:t>
      </w:r>
      <w:r w:rsidRPr="000D0465">
        <w:rPr>
          <w:i/>
          <w:iCs/>
          <w:szCs w:val="22"/>
        </w:rPr>
        <w:t xml:space="preserve">ex </w:t>
      </w:r>
      <w:r w:rsidRPr="000D0465">
        <w:rPr>
          <w:i/>
          <w:iCs/>
          <w:szCs w:val="22"/>
        </w:rPr>
        <w:t>parte</w:t>
      </w:r>
      <w:r w:rsidRPr="000D0465">
        <w:rPr>
          <w:szCs w:val="22"/>
        </w:rPr>
        <w:t xml:space="preserve"> presentations and must be filed consistent with rule 1.1206(b).  In proceedings governed by rule 1.49(f) or for which the Commission has made available a method of electronic filing, written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presentations and memoranda summarizing oral </w:t>
      </w:r>
      <w:r w:rsidRPr="000D0465">
        <w:rPr>
          <w:i/>
          <w:iCs/>
          <w:szCs w:val="22"/>
        </w:rPr>
        <w:t xml:space="preserve">ex </w:t>
      </w:r>
      <w:r w:rsidRPr="000D0465">
        <w:rPr>
          <w:i/>
          <w:iCs/>
          <w:szCs w:val="22"/>
        </w:rPr>
        <w:t>parte</w:t>
      </w:r>
      <w:r w:rsidRPr="000D0465">
        <w:rPr>
          <w:i/>
          <w:iCs/>
          <w:szCs w:val="22"/>
        </w:rPr>
        <w:t xml:space="preserve"> </w:t>
      </w:r>
      <w:r w:rsidRPr="000D0465">
        <w:rPr>
          <w:szCs w:val="22"/>
        </w:rPr>
        <w:t>presentations, and all attachments thereto, must be filed through the electronic comment filing system available for that proceeding, and must be filed in their native format (</w:t>
      </w:r>
      <w:r w:rsidRPr="000D0465">
        <w:rPr>
          <w:i/>
          <w:iCs/>
          <w:szCs w:val="22"/>
        </w:rPr>
        <w:t>e.g.</w:t>
      </w:r>
      <w:r w:rsidRPr="000D0465">
        <w:rPr>
          <w:szCs w:val="22"/>
        </w:rPr>
        <w:t xml:space="preserve">, .doc, .xml, .ppt, searchable .pdf).  Participants in this proceeding should familiarize themselves with the Commission’s </w:t>
      </w:r>
      <w:r w:rsidRPr="000D0465">
        <w:rPr>
          <w:i/>
          <w:iCs/>
          <w:szCs w:val="22"/>
        </w:rPr>
        <w:t xml:space="preserve">ex </w:t>
      </w:r>
      <w:r w:rsidRPr="000D0465">
        <w:rPr>
          <w:i/>
          <w:iCs/>
          <w:szCs w:val="22"/>
        </w:rPr>
        <w:t>parte</w:t>
      </w:r>
      <w:r w:rsidRPr="000D0465">
        <w:rPr>
          <w:i/>
          <w:iCs/>
          <w:szCs w:val="22"/>
        </w:rPr>
        <w:t xml:space="preserve"> </w:t>
      </w:r>
      <w:r w:rsidRPr="000D0465">
        <w:rPr>
          <w:szCs w:val="22"/>
        </w:rPr>
        <w:t>rules.</w:t>
      </w:r>
      <w:r w:rsidRPr="00DE120E" w:rsidR="00DE120E">
        <w:t xml:space="preserve"> </w:t>
      </w:r>
      <w:r w:rsidR="0093255E">
        <w:t xml:space="preserve"> </w:t>
      </w:r>
      <w:r w:rsidRPr="00DE120E" w:rsidR="00DE120E">
        <w:rPr>
          <w:szCs w:val="22"/>
        </w:rPr>
        <w:t xml:space="preserve">The Administrator is exempt from these </w:t>
      </w:r>
      <w:r w:rsidRPr="0093255E" w:rsidR="00DE120E">
        <w:rPr>
          <w:i/>
          <w:iCs/>
          <w:szCs w:val="22"/>
        </w:rPr>
        <w:t xml:space="preserve">ex </w:t>
      </w:r>
      <w:r w:rsidRPr="0093255E" w:rsidR="00DE120E">
        <w:rPr>
          <w:i/>
          <w:iCs/>
          <w:szCs w:val="22"/>
        </w:rPr>
        <w:t>parte</w:t>
      </w:r>
      <w:r w:rsidRPr="00DE120E" w:rsidR="00DE120E">
        <w:rPr>
          <w:szCs w:val="22"/>
        </w:rPr>
        <w:t xml:space="preserve"> requirements.  This exemption is necessary to allow the </w:t>
      </w:r>
      <w:r w:rsidR="0093255E">
        <w:rPr>
          <w:szCs w:val="22"/>
        </w:rPr>
        <w:t>Administrator</w:t>
      </w:r>
      <w:r w:rsidRPr="00DE120E" w:rsidR="0093255E">
        <w:rPr>
          <w:szCs w:val="22"/>
        </w:rPr>
        <w:t xml:space="preserve"> </w:t>
      </w:r>
      <w:r w:rsidRPr="00DE120E" w:rsidR="00DE120E">
        <w:rPr>
          <w:szCs w:val="22"/>
        </w:rPr>
        <w:t xml:space="preserve">to engage in the frequent and close communications with Commission staff </w:t>
      </w:r>
      <w:r w:rsidR="0093255E">
        <w:rPr>
          <w:szCs w:val="22"/>
        </w:rPr>
        <w:t xml:space="preserve">needed </w:t>
      </w:r>
      <w:r w:rsidRPr="00DE120E" w:rsidR="00DE120E">
        <w:rPr>
          <w:szCs w:val="22"/>
        </w:rPr>
        <w:t>to exercise their administrative functions efficiently.</w:t>
      </w:r>
      <w:r>
        <w:rPr>
          <w:rStyle w:val="FootnoteReference"/>
          <w:szCs w:val="22"/>
        </w:rPr>
        <w:footnoteReference w:id="27"/>
      </w:r>
    </w:p>
    <w:p w:rsidR="00654DF4" w:rsidRPr="000D0465" w:rsidP="00654DF4" w14:paraId="5DB3917B" w14:textId="77777777">
      <w:pPr>
        <w:spacing w:after="120"/>
        <w:ind w:firstLine="720"/>
        <w:rPr>
          <w:szCs w:val="22"/>
        </w:rPr>
      </w:pPr>
      <w:r w:rsidRPr="000D0465">
        <w:rPr>
          <w:i/>
          <w:iCs/>
          <w:szCs w:val="22"/>
        </w:rPr>
        <w:t>People with Disabilities</w:t>
      </w:r>
      <w:r w:rsidRPr="00B7036C">
        <w:rPr>
          <w:szCs w:val="22"/>
        </w:rPr>
        <w:t xml:space="preserve">.  </w:t>
      </w:r>
      <w:r w:rsidRPr="000D0465">
        <w:rPr>
          <w:szCs w:val="22"/>
        </w:rPr>
        <w:t xml:space="preserve">To request materials in accessible formats for people with disabilities (Braille, large print, electronic files, audio format), send e-mail to </w:t>
      </w:r>
      <w:hyperlink r:id="rId8" w:history="1">
        <w:r w:rsidRPr="000D0465">
          <w:rPr>
            <w:rStyle w:val="Hyperlink"/>
            <w:szCs w:val="22"/>
          </w:rPr>
          <w:t>fcc504@fcc.gov</w:t>
        </w:r>
      </w:hyperlink>
      <w:r w:rsidRPr="000D0465">
        <w:rPr>
          <w:szCs w:val="22"/>
        </w:rPr>
        <w:t xml:space="preserve"> or call the Consumer and Governmental Affairs Bureau at 202-418-0530 (voice)</w:t>
      </w:r>
      <w:r>
        <w:rPr>
          <w:szCs w:val="22"/>
        </w:rPr>
        <w:t xml:space="preserve">.  </w:t>
      </w:r>
    </w:p>
    <w:p w:rsidR="00654DF4" w:rsidP="00654DF4" w14:paraId="703A44B1" w14:textId="216E6FE3">
      <w:pPr>
        <w:spacing w:after="120"/>
        <w:ind w:firstLine="720"/>
        <w:rPr>
          <w:szCs w:val="22"/>
        </w:rPr>
      </w:pPr>
      <w:r w:rsidRPr="000D0465">
        <w:rPr>
          <w:i/>
          <w:iCs/>
          <w:szCs w:val="22"/>
        </w:rPr>
        <w:t>Additional Information</w:t>
      </w:r>
      <w:r w:rsidRPr="00B7036C">
        <w:rPr>
          <w:szCs w:val="22"/>
        </w:rPr>
        <w:t xml:space="preserve">.  </w:t>
      </w:r>
      <w:r w:rsidRPr="000D0465">
        <w:rPr>
          <w:szCs w:val="22"/>
        </w:rPr>
        <w:t xml:space="preserve">For further information regarding the Public Notice, please contact </w:t>
      </w:r>
      <w:r w:rsidR="001366E0">
        <w:rPr>
          <w:szCs w:val="22"/>
        </w:rPr>
        <w:t>Karen Schroeder</w:t>
      </w:r>
      <w:r w:rsidRPr="000D0465">
        <w:rPr>
          <w:szCs w:val="22"/>
        </w:rPr>
        <w:t xml:space="preserve">, </w:t>
      </w:r>
      <w:r w:rsidR="001366E0">
        <w:rPr>
          <w:szCs w:val="22"/>
        </w:rPr>
        <w:t>Associate Chief Consumer Policy Division, Consumer and Gover</w:t>
      </w:r>
      <w:r w:rsidR="00C041CD">
        <w:rPr>
          <w:szCs w:val="22"/>
        </w:rPr>
        <w:t>n</w:t>
      </w:r>
      <w:r w:rsidR="001366E0">
        <w:rPr>
          <w:szCs w:val="22"/>
        </w:rPr>
        <w:t xml:space="preserve">mental Affairs Bureau </w:t>
      </w:r>
      <w:r w:rsidRPr="000D0465">
        <w:rPr>
          <w:szCs w:val="22"/>
        </w:rPr>
        <w:t>at (202)</w:t>
      </w:r>
      <w:r w:rsidR="00DE47B4">
        <w:rPr>
          <w:szCs w:val="22"/>
        </w:rPr>
        <w:t xml:space="preserve"> </w:t>
      </w:r>
      <w:r w:rsidRPr="000D0465">
        <w:rPr>
          <w:szCs w:val="22"/>
        </w:rPr>
        <w:t>418-</w:t>
      </w:r>
      <w:r w:rsidR="001366E0">
        <w:rPr>
          <w:szCs w:val="22"/>
        </w:rPr>
        <w:t>0654</w:t>
      </w:r>
      <w:r w:rsidRPr="000D0465">
        <w:rPr>
          <w:szCs w:val="22"/>
        </w:rPr>
        <w:t xml:space="preserve"> or via email at</w:t>
      </w:r>
      <w:r>
        <w:rPr>
          <w:szCs w:val="22"/>
        </w:rPr>
        <w:t xml:space="preserve"> </w:t>
      </w:r>
      <w:hyperlink r:id="rId8" w:history="1">
        <w:r w:rsidR="001366E0">
          <w:rPr>
            <w:rStyle w:val="Hyperlink"/>
            <w:szCs w:val="22"/>
          </w:rPr>
          <w:t>Karen.Schroeder</w:t>
        </w:r>
        <w:r w:rsidRPr="00CE702F">
          <w:rPr>
            <w:rStyle w:val="Hyperlink"/>
            <w:szCs w:val="22"/>
          </w:rPr>
          <w:t>@fcc.gov</w:t>
        </w:r>
      </w:hyperlink>
      <w:r>
        <w:rPr>
          <w:szCs w:val="22"/>
        </w:rPr>
        <w:t>.</w:t>
      </w:r>
    </w:p>
    <w:p w:rsidR="00AA2089" w:rsidP="00FD004A" w14:paraId="0F418C4B" w14:textId="1156D822">
      <w:pPr>
        <w:spacing w:after="120"/>
        <w:ind w:firstLine="720"/>
      </w:pPr>
      <w:r>
        <w:rPr>
          <w:i/>
          <w:iCs/>
          <w:szCs w:val="22"/>
        </w:rPr>
        <w:t xml:space="preserve">Effective Date.  </w:t>
      </w:r>
      <w:r w:rsidR="00EA21C5">
        <w:t>W</w:t>
      </w:r>
      <w:r w:rsidRPr="6DDF69A7" w:rsidR="00EA21C5">
        <w:t xml:space="preserve">e find good cause exists for making the </w:t>
      </w:r>
      <w:r w:rsidR="00EA21C5">
        <w:t xml:space="preserve">interim usage charges in this Public Notice </w:t>
      </w:r>
      <w:r w:rsidRPr="6DDF69A7" w:rsidR="00EA21C5">
        <w:t xml:space="preserve">effective upon </w:t>
      </w:r>
      <w:r w:rsidR="00D448AA">
        <w:t>publication</w:t>
      </w:r>
      <w:r w:rsidR="00DE6F98">
        <w:t xml:space="preserve"> of this Public Notice in the Federal Register, except as to those who have actual notice of the interim usage charges and choose t</w:t>
      </w:r>
      <w:r w:rsidR="00341E9F">
        <w:t xml:space="preserve">o purchase a subscription for </w:t>
      </w:r>
      <w:r w:rsidR="00DE6F98">
        <w:t xml:space="preserve">the </w:t>
      </w:r>
      <w:r w:rsidR="00341E9F">
        <w:t>D</w:t>
      </w:r>
      <w:r w:rsidR="00DE6F98">
        <w:t xml:space="preserve">atabase </w:t>
      </w:r>
      <w:r w:rsidR="00DE6F98">
        <w:t>prior to publication</w:t>
      </w:r>
      <w:r w:rsidRPr="6DDF69A7" w:rsidR="00EA21C5">
        <w:t>.</w:t>
      </w:r>
      <w:r>
        <w:rPr>
          <w:rStyle w:val="FootnoteReference"/>
          <w:szCs w:val="22"/>
        </w:rPr>
        <w:footnoteReference w:id="28"/>
      </w:r>
      <w:r w:rsidRPr="6DDF69A7" w:rsidR="00EA21C5">
        <w:t xml:space="preserve">  “In determining whether good cause exists, an agency should ‘balance the necessity for immediate implementation against principles of fundamental fairness which require that all affected persons be afforded a reasonable amount of time to prepare for the effective date of its ruling.’”</w:t>
      </w:r>
      <w:r>
        <w:rPr>
          <w:rStyle w:val="FootnoteReference"/>
          <w:szCs w:val="22"/>
        </w:rPr>
        <w:footnoteReference w:id="29"/>
      </w:r>
      <w:r w:rsidRPr="6DDF69A7" w:rsidR="00EA21C5">
        <w:t xml:space="preserve"> </w:t>
      </w:r>
      <w:r w:rsidR="0093255E">
        <w:t xml:space="preserve"> </w:t>
      </w:r>
    </w:p>
    <w:p w:rsidR="00A65853" w:rsidRPr="001E6B18" w:rsidP="00FD004A" w14:paraId="24C71B5A" w14:textId="3FFD07C0">
      <w:pPr>
        <w:spacing w:after="120"/>
        <w:ind w:firstLine="720"/>
      </w:pPr>
      <w:r>
        <w:t xml:space="preserve">We expect the </w:t>
      </w:r>
      <w:r w:rsidR="0099147F">
        <w:t xml:space="preserve">Database </w:t>
      </w:r>
      <w:r w:rsidR="002A7137">
        <w:t>will</w:t>
      </w:r>
      <w:r w:rsidR="0099147F">
        <w:t xml:space="preserve"> be available for use on Nov</w:t>
      </w:r>
      <w:r w:rsidR="00435B68">
        <w:t>ember</w:t>
      </w:r>
      <w:r w:rsidR="0099147F">
        <w:t xml:space="preserve"> 1, 2021.</w:t>
      </w:r>
      <w:r>
        <w:rPr>
          <w:rStyle w:val="FootnoteReference"/>
        </w:rPr>
        <w:footnoteReference w:id="30"/>
      </w:r>
      <w:r w:rsidR="002A7137">
        <w:t xml:space="preserve"> </w:t>
      </w:r>
      <w:r w:rsidR="0099147F">
        <w:t xml:space="preserve"> </w:t>
      </w:r>
      <w:r w:rsidRPr="0093255E">
        <w:rPr>
          <w:szCs w:val="22"/>
        </w:rPr>
        <w:t xml:space="preserve">Providing a 30-day period after Federal Register publication before the interim usage charges in this Public Notice become effective </w:t>
      </w:r>
      <w:r w:rsidR="00435B68">
        <w:rPr>
          <w:szCs w:val="22"/>
        </w:rPr>
        <w:t>may</w:t>
      </w:r>
      <w:r w:rsidRPr="0093255E">
        <w:rPr>
          <w:szCs w:val="22"/>
        </w:rPr>
        <w:t xml:space="preserve"> not allow sufficient time for </w:t>
      </w:r>
      <w:r w:rsidR="0093255E">
        <w:rPr>
          <w:szCs w:val="22"/>
        </w:rPr>
        <w:t>the</w:t>
      </w:r>
      <w:r w:rsidR="00435B68">
        <w:rPr>
          <w:szCs w:val="22"/>
        </w:rPr>
        <w:t>se usage charges to go into e</w:t>
      </w:r>
      <w:r w:rsidR="00981ACA">
        <w:rPr>
          <w:szCs w:val="22"/>
        </w:rPr>
        <w:t>ffect by that date.  We also find that there is good cause to make these usage charges effective upon Federal Register publication in order to provide sufficient time for the</w:t>
      </w:r>
      <w:r w:rsidR="0093255E">
        <w:rPr>
          <w:szCs w:val="22"/>
        </w:rPr>
        <w:t xml:space="preserve"> Administrator</w:t>
      </w:r>
      <w:r w:rsidR="00435B68">
        <w:rPr>
          <w:szCs w:val="22"/>
        </w:rPr>
        <w:t xml:space="preserve"> to make the Database available for registration and to collect subscription payments in the weeks leading up to</w:t>
      </w:r>
      <w:r w:rsidR="007D02C2">
        <w:rPr>
          <w:szCs w:val="22"/>
        </w:rPr>
        <w:t xml:space="preserve"> November 1, 2021</w:t>
      </w:r>
      <w:r w:rsidR="00435B68">
        <w:rPr>
          <w:szCs w:val="22"/>
        </w:rPr>
        <w:t>.</w:t>
      </w:r>
      <w:r w:rsidR="00822F3F">
        <w:rPr>
          <w:szCs w:val="22"/>
        </w:rPr>
        <w:t xml:space="preserve">  </w:t>
      </w:r>
      <w:r w:rsidR="00981ACA">
        <w:rPr>
          <w:szCs w:val="22"/>
        </w:rPr>
        <w:t xml:space="preserve">Additionally, these interim usage charges will be effective immediately for Database users who have actual notice of the charges and have </w:t>
      </w:r>
      <w:r w:rsidR="00FD004A">
        <w:rPr>
          <w:szCs w:val="22"/>
        </w:rPr>
        <w:t>purchased a subscription to the Database</w:t>
      </w:r>
      <w:r w:rsidR="00981ACA">
        <w:rPr>
          <w:szCs w:val="22"/>
        </w:rPr>
        <w:t xml:space="preserve"> prior to Federal Register publication.</w:t>
      </w:r>
      <w:r>
        <w:rPr>
          <w:rStyle w:val="FootnoteReference"/>
          <w:szCs w:val="22"/>
        </w:rPr>
        <w:footnoteReference w:id="31"/>
      </w:r>
      <w:r w:rsidR="00981ACA">
        <w:rPr>
          <w:szCs w:val="22"/>
        </w:rPr>
        <w:t xml:space="preserve"> </w:t>
      </w:r>
      <w:r w:rsidRPr="0093255E">
        <w:rPr>
          <w:szCs w:val="22"/>
        </w:rPr>
        <w:t xml:space="preserve"> For th</w:t>
      </w:r>
      <w:r w:rsidR="00FC24C6">
        <w:rPr>
          <w:szCs w:val="22"/>
        </w:rPr>
        <w:t>ese</w:t>
      </w:r>
      <w:r w:rsidRPr="0093255E">
        <w:rPr>
          <w:szCs w:val="22"/>
        </w:rPr>
        <w:t xml:space="preserve"> reason</w:t>
      </w:r>
      <w:r w:rsidR="00FC24C6">
        <w:rPr>
          <w:szCs w:val="22"/>
        </w:rPr>
        <w:t>s</w:t>
      </w:r>
      <w:r w:rsidRPr="0093255E">
        <w:rPr>
          <w:szCs w:val="22"/>
        </w:rPr>
        <w:t xml:space="preserve">, </w:t>
      </w:r>
      <w:r w:rsidR="002977B2">
        <w:t xml:space="preserve">and </w:t>
      </w:r>
      <w:r w:rsidRPr="0093255E">
        <w:rPr>
          <w:szCs w:val="22"/>
        </w:rPr>
        <w:t xml:space="preserve">because participation in the RND is voluntary, </w:t>
      </w:r>
      <w:r w:rsidR="002977B2">
        <w:t>we find there is good cause</w:t>
      </w:r>
      <w:r w:rsidR="00FD004A">
        <w:t>, pursuant to section 553(d)(3) of the Administrative Procedure Act</w:t>
      </w:r>
      <w:r w:rsidR="002977B2">
        <w:t xml:space="preserve"> to </w:t>
      </w:r>
      <w:r w:rsidR="00FC24C6">
        <w:t>make</w:t>
      </w:r>
      <w:r w:rsidRPr="00181F61" w:rsidR="002977B2">
        <w:rPr>
          <w:szCs w:val="22"/>
        </w:rPr>
        <w:t xml:space="preserve"> </w:t>
      </w:r>
      <w:r w:rsidRPr="0093255E">
        <w:rPr>
          <w:szCs w:val="22"/>
        </w:rPr>
        <w:t xml:space="preserve">the interim usage charges in this Public Notice effective upon </w:t>
      </w:r>
      <w:r w:rsidR="00FC24C6">
        <w:rPr>
          <w:szCs w:val="22"/>
        </w:rPr>
        <w:t>publication in the Federal Register, except as to those parties with actual notice</w:t>
      </w:r>
      <w:r w:rsidRPr="0093255E">
        <w:rPr>
          <w:szCs w:val="22"/>
        </w:rPr>
        <w:t>.</w:t>
      </w:r>
      <w:r w:rsidRPr="00A65853">
        <w:rPr>
          <w:i/>
          <w:iCs/>
          <w:szCs w:val="22"/>
        </w:rPr>
        <w:t xml:space="preserve">  </w:t>
      </w:r>
    </w:p>
    <w:p w:rsidR="00654DF4" w:rsidP="00654DF4" w14:paraId="066A1BC9" w14:textId="3882F758">
      <w:pPr>
        <w:rPr>
          <w:szCs w:val="22"/>
        </w:rPr>
      </w:pPr>
    </w:p>
    <w:p w:rsidR="00654DF4" w:rsidP="00654DF4" w14:paraId="1357A9E9" w14:textId="77777777">
      <w:pPr>
        <w:rPr>
          <w:szCs w:val="22"/>
        </w:rPr>
      </w:pPr>
    </w:p>
    <w:p w:rsidR="00654DF4" w:rsidP="00654DF4" w14:paraId="2FB8ADA3" w14:textId="236949CC">
      <w:pPr>
        <w:jc w:val="center"/>
        <w:rPr>
          <w:b/>
          <w:bCs/>
          <w:szCs w:val="22"/>
        </w:rPr>
      </w:pPr>
      <w:r w:rsidRPr="00B124C0">
        <w:rPr>
          <w:b/>
          <w:bCs/>
          <w:szCs w:val="22"/>
        </w:rPr>
        <w:t>- FCC -</w:t>
      </w:r>
    </w:p>
    <w:p w:rsidR="00A73BF0" w14:paraId="1940DBBF" w14:textId="10B4EA6D">
      <w:pPr>
        <w:widowControl/>
        <w:rPr>
          <w:b/>
          <w:bCs/>
          <w:szCs w:val="22"/>
        </w:rPr>
      </w:pPr>
      <w:r>
        <w:rPr>
          <w:b/>
          <w:bCs/>
          <w:szCs w:val="22"/>
        </w:rPr>
        <w:br w:type="page"/>
      </w:r>
    </w:p>
    <w:p w:rsidR="00A73BF0" w:rsidP="00654DF4" w14:paraId="07920DC6" w14:textId="3E3314AD">
      <w:pPr>
        <w:jc w:val="center"/>
        <w:rPr>
          <w:b/>
          <w:bCs/>
          <w:szCs w:val="22"/>
        </w:rPr>
      </w:pPr>
      <w:r>
        <w:rPr>
          <w:b/>
          <w:bCs/>
          <w:szCs w:val="22"/>
        </w:rPr>
        <w:t>Appendix A:  RND Usage Charges</w:t>
      </w:r>
    </w:p>
    <w:p w:rsidR="00A73BF0" w:rsidP="00654DF4" w14:paraId="48ACF436" w14:textId="77777777">
      <w:pPr>
        <w:jc w:val="center"/>
        <w:rPr>
          <w:b/>
          <w:bCs/>
          <w:szCs w:val="22"/>
        </w:rPr>
      </w:pPr>
    </w:p>
    <w:p w:rsidR="00A73BF0" w:rsidRPr="00B124C0" w:rsidP="00C06B94" w14:paraId="2A1832A7" w14:textId="76921803">
      <w:pPr>
        <w:jc w:val="center"/>
        <w:rPr>
          <w:b/>
          <w:bCs/>
          <w:szCs w:val="22"/>
        </w:rPr>
      </w:pPr>
      <w:r w:rsidRPr="006C0599">
        <w:rPr>
          <w:noProof/>
        </w:rPr>
        <w:drawing>
          <wp:inline distT="0" distB="0" distL="0" distR="0">
            <wp:extent cx="7794951" cy="1634774"/>
            <wp:effectExtent l="0" t="6032"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rot="5400000">
                      <a:off x="0" y="0"/>
                      <a:ext cx="7836008" cy="1643384"/>
                    </a:xfrm>
                    <a:prstGeom prst="rect">
                      <a:avLst/>
                    </a:prstGeom>
                    <a:noFill/>
                    <a:ln>
                      <a:noFill/>
                    </a:ln>
                  </pic:spPr>
                </pic:pic>
              </a:graphicData>
            </a:graphic>
          </wp:inline>
        </w:drawing>
      </w: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9749C9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9A850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1E6B18" w14:paraId="1D153914" w14:textId="77777777">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7A0AA8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15DC" w14:paraId="5745D05F" w14:textId="77777777">
      <w:r>
        <w:separator/>
      </w:r>
    </w:p>
  </w:footnote>
  <w:footnote w:type="continuationSeparator" w:id="1">
    <w:p w:rsidR="00ED15DC" w14:paraId="3D0534CB" w14:textId="77777777">
      <w:pPr>
        <w:rPr>
          <w:sz w:val="20"/>
        </w:rPr>
      </w:pPr>
      <w:r>
        <w:rPr>
          <w:sz w:val="20"/>
        </w:rPr>
        <w:t xml:space="preserve">(Continued from previous page)  </w:t>
      </w:r>
      <w:r>
        <w:rPr>
          <w:sz w:val="20"/>
        </w:rPr>
        <w:separator/>
      </w:r>
    </w:p>
  </w:footnote>
  <w:footnote w:type="continuationNotice" w:id="2">
    <w:p w:rsidR="00ED15DC" w:rsidP="00910F12" w14:paraId="733FA967" w14:textId="77777777">
      <w:pPr>
        <w:jc w:val="right"/>
        <w:rPr>
          <w:sz w:val="20"/>
        </w:rPr>
      </w:pPr>
      <w:r>
        <w:rPr>
          <w:sz w:val="20"/>
        </w:rPr>
        <w:t>(continued….)</w:t>
      </w:r>
    </w:p>
  </w:footnote>
  <w:footnote w:id="3">
    <w:p w:rsidR="00AF72E1" w14:paraId="2490AA42" w14:textId="782887E0">
      <w:pPr>
        <w:pStyle w:val="FootnoteText"/>
      </w:pPr>
      <w:r>
        <w:rPr>
          <w:rStyle w:val="FootnoteReference"/>
        </w:rPr>
        <w:footnoteRef/>
      </w:r>
      <w:r>
        <w:t xml:space="preserve"> </w:t>
      </w:r>
      <w:r w:rsidRPr="006178F1">
        <w:rPr>
          <w:i/>
        </w:rPr>
        <w:t>Advanced Methods to Target and Eliminate Unlawful Robocalls</w:t>
      </w:r>
      <w:r w:rsidRPr="00435394">
        <w:t xml:space="preserve">, </w:t>
      </w:r>
      <w:r>
        <w:t xml:space="preserve">CG Docket No. 17-59, </w:t>
      </w:r>
      <w:r w:rsidRPr="00435394">
        <w:t>Second Report and Order</w:t>
      </w:r>
      <w:r>
        <w:t xml:space="preserve">, </w:t>
      </w:r>
      <w:r w:rsidRPr="00435394">
        <w:t>33 FCC Rcd 12024 (2018)</w:t>
      </w:r>
      <w:r>
        <w:t xml:space="preserve"> (</w:t>
      </w:r>
      <w:r>
        <w:rPr>
          <w:i/>
        </w:rPr>
        <w:t>Reassigned Numbers</w:t>
      </w:r>
      <w:r w:rsidR="00EB4AC8">
        <w:rPr>
          <w:i/>
        </w:rPr>
        <w:t xml:space="preserve"> </w:t>
      </w:r>
      <w:r w:rsidRPr="00245526">
        <w:rPr>
          <w:i/>
        </w:rPr>
        <w:t>Order</w:t>
      </w:r>
      <w:r>
        <w:t>)</w:t>
      </w:r>
      <w:r w:rsidRPr="00435394">
        <w:t>.</w:t>
      </w:r>
    </w:p>
  </w:footnote>
  <w:footnote w:id="4">
    <w:p w:rsidR="009442FF" w:rsidP="009442FF" w14:paraId="480CA145" w14:textId="2D6D6927">
      <w:pPr>
        <w:pStyle w:val="FootnoteText"/>
      </w:pPr>
      <w:r>
        <w:rPr>
          <w:rStyle w:val="FootnoteReference"/>
        </w:rPr>
        <w:footnoteRef/>
      </w:r>
      <w:r>
        <w:t xml:space="preserve"> </w:t>
      </w:r>
      <w:r>
        <w:rPr>
          <w:rFonts w:eastAsia="Calibri"/>
        </w:rPr>
        <w:t>T</w:t>
      </w:r>
      <w:r w:rsidRPr="00236FFB">
        <w:rPr>
          <w:rFonts w:eastAsia="Calibri"/>
        </w:rPr>
        <w:t xml:space="preserve">he </w:t>
      </w:r>
      <w:r w:rsidRPr="00236FFB">
        <w:rPr>
          <w:rFonts w:eastAsia="Calibri"/>
          <w:i/>
          <w:iCs/>
        </w:rPr>
        <w:t>Reassigned Numbers</w:t>
      </w:r>
      <w:r w:rsidR="00EB4AC8">
        <w:rPr>
          <w:rFonts w:eastAsia="Calibri"/>
          <w:i/>
          <w:iCs/>
        </w:rPr>
        <w:t xml:space="preserve"> </w:t>
      </w:r>
      <w:r w:rsidRPr="00236FFB">
        <w:rPr>
          <w:rFonts w:eastAsia="Calibri"/>
          <w:i/>
          <w:iCs/>
        </w:rPr>
        <w:t>Order</w:t>
      </w:r>
      <w:r w:rsidRPr="00236FFB">
        <w:rPr>
          <w:rFonts w:eastAsia="Calibri"/>
        </w:rPr>
        <w:t xml:space="preserve"> </w:t>
      </w:r>
      <w:r>
        <w:rPr>
          <w:rFonts w:eastAsia="Calibri"/>
        </w:rPr>
        <w:t xml:space="preserve">stated that </w:t>
      </w:r>
      <w:r w:rsidRPr="00236FFB">
        <w:t>“</w:t>
      </w:r>
      <w:r>
        <w:rPr>
          <w:rFonts w:eastAsia="Calibri"/>
        </w:rPr>
        <w:t>c</w:t>
      </w:r>
      <w:r w:rsidRPr="00236FFB">
        <w:rPr>
          <w:rFonts w:eastAsia="Calibri"/>
        </w:rPr>
        <w:t xml:space="preserve">aller” </w:t>
      </w:r>
      <w:r>
        <w:rPr>
          <w:rFonts w:eastAsia="Calibri"/>
        </w:rPr>
        <w:t>for these purposes includes</w:t>
      </w:r>
      <w:r w:rsidRPr="00236FFB">
        <w:rPr>
          <w:rFonts w:eastAsia="Calibri"/>
        </w:rPr>
        <w:t xml:space="preserve">, but is not limited to, a person or entity that initiates any call using a wireless, wireline, or interconnected VoIP service.  </w:t>
      </w:r>
      <w:r w:rsidR="00EB4AC8">
        <w:rPr>
          <w:rFonts w:eastAsia="Calibri"/>
          <w:i/>
          <w:iCs/>
        </w:rPr>
        <w:t>Id.</w:t>
      </w:r>
      <w:r>
        <w:rPr>
          <w:rFonts w:eastAsia="Calibri"/>
        </w:rPr>
        <w:t xml:space="preserve"> at 12027, para. 5 n.16.  </w:t>
      </w:r>
      <w:r w:rsidRPr="00236FFB">
        <w:rPr>
          <w:rFonts w:eastAsia="Calibri"/>
        </w:rPr>
        <w:t xml:space="preserve">“Caller </w:t>
      </w:r>
      <w:r>
        <w:rPr>
          <w:rFonts w:eastAsia="Calibri"/>
        </w:rPr>
        <w:t>a</w:t>
      </w:r>
      <w:r w:rsidRPr="00236FFB">
        <w:rPr>
          <w:rFonts w:eastAsia="Calibri"/>
        </w:rPr>
        <w:t xml:space="preserve">gents” are third-party contractors that </w:t>
      </w:r>
      <w:r>
        <w:rPr>
          <w:rFonts w:eastAsia="Calibri"/>
        </w:rPr>
        <w:t>c</w:t>
      </w:r>
      <w:r w:rsidRPr="00236FFB">
        <w:rPr>
          <w:rFonts w:eastAsia="Calibri"/>
        </w:rPr>
        <w:t xml:space="preserve">allers can contract with to query the </w:t>
      </w:r>
      <w:r>
        <w:rPr>
          <w:rFonts w:eastAsia="Calibri"/>
        </w:rPr>
        <w:t>d</w:t>
      </w:r>
      <w:r w:rsidRPr="00236FFB">
        <w:rPr>
          <w:rFonts w:eastAsia="Calibri"/>
        </w:rPr>
        <w:t>atabase on their behalf</w:t>
      </w:r>
      <w:r w:rsidRPr="00236FFB">
        <w:rPr>
          <w:rFonts w:ascii="Calibri" w:eastAsia="Calibri" w:hAnsi="Calibri"/>
        </w:rPr>
        <w:t>.</w:t>
      </w:r>
      <w:r>
        <w:rPr>
          <w:rFonts w:ascii="Calibri" w:eastAsia="Calibri" w:hAnsi="Calibri"/>
        </w:rPr>
        <w:t xml:space="preserve">  </w:t>
      </w:r>
      <w:r w:rsidRPr="0077643D">
        <w:rPr>
          <w:rFonts w:eastAsia="Calibri"/>
          <w:i/>
          <w:iCs/>
        </w:rPr>
        <w:t>See id</w:t>
      </w:r>
      <w:r>
        <w:rPr>
          <w:rFonts w:eastAsia="Calibri"/>
        </w:rPr>
        <w:t>. at 12034-35, para. 27.</w:t>
      </w:r>
    </w:p>
  </w:footnote>
  <w:footnote w:id="5">
    <w:p w:rsidR="00A0638B" w14:paraId="45E12A31" w14:textId="020F68AB">
      <w:pPr>
        <w:pStyle w:val="FootnoteText"/>
      </w:pPr>
      <w:r>
        <w:rPr>
          <w:rStyle w:val="FootnoteReference"/>
        </w:rPr>
        <w:footnoteRef/>
      </w:r>
      <w:r>
        <w:t xml:space="preserve"> </w:t>
      </w:r>
      <w:r>
        <w:t>We anticipate th</w:t>
      </w:r>
      <w:r w:rsidR="00D61B93">
        <w:t>at the</w:t>
      </w:r>
      <w:r>
        <w:t xml:space="preserve"> interim </w:t>
      </w:r>
      <w:r w:rsidR="005A6958">
        <w:t>usage charges</w:t>
      </w:r>
      <w:r>
        <w:t xml:space="preserve"> will serve as the basis for ongoing </w:t>
      </w:r>
      <w:r w:rsidR="005A6958">
        <w:t>usage charges</w:t>
      </w:r>
      <w:r w:rsidR="000E6C9F">
        <w:t xml:space="preserve"> until the Commission adopts more permanent usage charges</w:t>
      </w:r>
      <w:r>
        <w:t>.</w:t>
      </w:r>
    </w:p>
  </w:footnote>
  <w:footnote w:id="6">
    <w:p w:rsidR="009442FF" w:rsidP="009442FF" w14:paraId="691BB377" w14:textId="45068346">
      <w:pPr>
        <w:pStyle w:val="FootnoteText"/>
      </w:pPr>
      <w:r>
        <w:rPr>
          <w:rStyle w:val="FootnoteReference"/>
        </w:rPr>
        <w:footnoteRef/>
      </w:r>
      <w:r>
        <w:t xml:space="preserve"> </w:t>
      </w:r>
      <w:r>
        <w:t xml:space="preserve">The RND has been available for use during a beta test period from July 1, 2021 to September 30, 2021.  </w:t>
      </w:r>
      <w:r w:rsidRPr="009442FF">
        <w:rPr>
          <w:i/>
          <w:iCs/>
        </w:rPr>
        <w:t xml:space="preserve">Consumer </w:t>
      </w:r>
      <w:r>
        <w:rPr>
          <w:i/>
          <w:iCs/>
        </w:rPr>
        <w:t>a</w:t>
      </w:r>
      <w:r w:rsidRPr="009442FF">
        <w:rPr>
          <w:i/>
          <w:iCs/>
        </w:rPr>
        <w:t xml:space="preserve">nd Governmental Affairs Bureau Announces Beta Test </w:t>
      </w:r>
      <w:r>
        <w:rPr>
          <w:i/>
          <w:iCs/>
        </w:rPr>
        <w:t>f</w:t>
      </w:r>
      <w:r w:rsidRPr="009442FF">
        <w:rPr>
          <w:i/>
          <w:iCs/>
        </w:rPr>
        <w:t xml:space="preserve">or Users </w:t>
      </w:r>
      <w:r>
        <w:rPr>
          <w:i/>
          <w:iCs/>
        </w:rPr>
        <w:t>o</w:t>
      </w:r>
      <w:r w:rsidRPr="009442FF">
        <w:rPr>
          <w:i/>
          <w:iCs/>
        </w:rPr>
        <w:t xml:space="preserve">f </w:t>
      </w:r>
      <w:r>
        <w:rPr>
          <w:i/>
          <w:iCs/>
        </w:rPr>
        <w:t>t</w:t>
      </w:r>
      <w:r w:rsidRPr="009442FF">
        <w:rPr>
          <w:i/>
          <w:iCs/>
        </w:rPr>
        <w:t>he Reassigned Numbers Database</w:t>
      </w:r>
      <w:r>
        <w:t xml:space="preserve">, CG Docket No. 17-59, Public Notice, </w:t>
      </w:r>
      <w:r w:rsidRPr="009442FF">
        <w:t>DA</w:t>
      </w:r>
      <w:r w:rsidR="00622086">
        <w:t xml:space="preserve"> </w:t>
      </w:r>
      <w:r w:rsidRPr="009442FF">
        <w:t>21-699</w:t>
      </w:r>
      <w:r>
        <w:t xml:space="preserve"> (CGB </w:t>
      </w:r>
      <w:r w:rsidRPr="00256CE1" w:rsidR="00256CE1">
        <w:t>June 15, 2021</w:t>
      </w:r>
      <w:r>
        <w:t xml:space="preserve">).  </w:t>
      </w:r>
      <w:r w:rsidR="00E50C2D">
        <w:t>“</w:t>
      </w:r>
      <w:r>
        <w:t xml:space="preserve">We expect that the </w:t>
      </w:r>
      <w:r w:rsidR="009872C3">
        <w:t>D</w:t>
      </w:r>
      <w:r>
        <w:t>atabase will be fully operational for paid users in November 2021, after all service providers have begun to report information about disconnected telephone numbers.</w:t>
      </w:r>
      <w:r w:rsidR="00E50C2D">
        <w:t>”</w:t>
      </w:r>
      <w:r>
        <w:t xml:space="preserve"> </w:t>
      </w:r>
      <w:r w:rsidRPr="00F40B48">
        <w:rPr>
          <w:i/>
          <w:iCs/>
        </w:rPr>
        <w:t xml:space="preserve"> </w:t>
      </w:r>
      <w:r w:rsidR="00E50C2D">
        <w:rPr>
          <w:i/>
          <w:iCs/>
        </w:rPr>
        <w:t>Id.</w:t>
      </w:r>
      <w:r w:rsidR="00E50C2D">
        <w:t xml:space="preserve"> at 1, n.3;</w:t>
      </w:r>
      <w:r w:rsidR="00E50C2D">
        <w:rPr>
          <w:i/>
          <w:iCs/>
        </w:rPr>
        <w:t xml:space="preserve"> s</w:t>
      </w:r>
      <w:r w:rsidR="005658F3">
        <w:rPr>
          <w:i/>
          <w:iCs/>
        </w:rPr>
        <w:t xml:space="preserve">ee </w:t>
      </w:r>
      <w:r>
        <w:rPr>
          <w:i/>
          <w:iCs/>
        </w:rPr>
        <w:t>Consumer and Governmental Affairs Bureau Announces Compliance Date for Remaining Reassigned Numbers Database Rule Regarding Reporting of Disconnect Data</w:t>
      </w:r>
      <w:r>
        <w:t xml:space="preserve">, CG Docket No. 17-59, Public Notice, 36 FCC Rcd 1441, 1441-42 (CGB 2021).  Providers with fewer than 100,000 domestic retail subscribers are not required to report numbers that have been reassigned to the administrator until October 2021.  </w:t>
      </w:r>
      <w:r w:rsidRPr="00474BE5">
        <w:rPr>
          <w:i/>
          <w:iCs/>
        </w:rPr>
        <w:t>Id.</w:t>
      </w:r>
    </w:p>
  </w:footnote>
  <w:footnote w:id="7">
    <w:p w:rsidR="00491B3B" w:rsidP="00BE5A27" w14:paraId="770F4B80" w14:textId="5B4B9BCD">
      <w:pPr>
        <w:pStyle w:val="FootnoteText"/>
      </w:pPr>
      <w:r>
        <w:rPr>
          <w:rStyle w:val="FootnoteReference"/>
        </w:rPr>
        <w:footnoteRef/>
      </w:r>
      <w:r>
        <w:t xml:space="preserve"> </w:t>
      </w:r>
      <w:r w:rsidR="00AF161F">
        <w:t>Letter from Beth Sprague</w:t>
      </w:r>
      <w:r w:rsidR="00BE5A27">
        <w:t xml:space="preserve">, </w:t>
      </w:r>
      <w:r w:rsidR="00AF161F">
        <w:t>Director of the Reassigned Numbers Database</w:t>
      </w:r>
      <w:r w:rsidR="00BE5A27">
        <w:t xml:space="preserve">, </w:t>
      </w:r>
      <w:r w:rsidR="00AF161F">
        <w:t>SomosGov, Inc.</w:t>
      </w:r>
      <w:r w:rsidR="00BE5A27">
        <w:t xml:space="preserve"> to Marlene Dortch, Secretary, Federal Communications Commission at 1-2 (Oct. 1, 2021) (on file in </w:t>
      </w:r>
      <w:r w:rsidRPr="00BE5A27" w:rsidR="00BE5A27">
        <w:t>CG Docket No. 17-59</w:t>
      </w:r>
      <w:r w:rsidR="00BE5A27">
        <w:t>).</w:t>
      </w:r>
    </w:p>
  </w:footnote>
  <w:footnote w:id="8">
    <w:p w:rsidR="00491B3B" w:rsidRPr="00BE5A27" w14:paraId="6F8D98F5" w14:textId="014FF031">
      <w:pPr>
        <w:pStyle w:val="FootnoteText"/>
      </w:pPr>
      <w:r>
        <w:rPr>
          <w:rStyle w:val="FootnoteReference"/>
        </w:rPr>
        <w:footnoteRef/>
      </w:r>
      <w:r>
        <w:t xml:space="preserve"> </w:t>
      </w:r>
      <w:r w:rsidRPr="00BE5A27" w:rsidR="00BE5A27">
        <w:rPr>
          <w:i/>
          <w:iCs/>
        </w:rPr>
        <w:t>Id</w:t>
      </w:r>
      <w:r w:rsidR="00BE5A27">
        <w:rPr>
          <w:i/>
          <w:iCs/>
        </w:rPr>
        <w:t>.</w:t>
      </w:r>
    </w:p>
  </w:footnote>
  <w:footnote w:id="9">
    <w:p w:rsidR="001D4EE8" w:rsidP="001D4EE8" w14:paraId="2F41C9F4" w14:textId="77777777">
      <w:pPr>
        <w:pStyle w:val="FootnoteText"/>
      </w:pPr>
      <w:r>
        <w:rPr>
          <w:rStyle w:val="FootnoteReference"/>
        </w:rPr>
        <w:footnoteRef/>
      </w:r>
      <w:r>
        <w:t xml:space="preserve"> </w:t>
      </w:r>
      <w:r w:rsidRPr="004B0174">
        <w:rPr>
          <w:i/>
          <w:iCs/>
        </w:rPr>
        <w:t>Advanced Methods to Target and Eliminate Unlawful Robocalls,</w:t>
      </w:r>
      <w:r w:rsidRPr="004B0174">
        <w:t xml:space="preserve"> Second Further Notice of Proposed Rulemaking, </w:t>
      </w:r>
      <w:r>
        <w:t>33 FCC Rcd</w:t>
      </w:r>
      <w:r w:rsidRPr="00052323">
        <w:t xml:space="preserve"> </w:t>
      </w:r>
      <w:r>
        <w:t xml:space="preserve">3203, 3213-14, para. 38 </w:t>
      </w:r>
      <w:r w:rsidRPr="004B0174">
        <w:t>(2018) (</w:t>
      </w:r>
      <w:r w:rsidRPr="004B0174">
        <w:rPr>
          <w:i/>
          <w:iCs/>
        </w:rPr>
        <w:t>Second Further Notice</w:t>
      </w:r>
      <w:r w:rsidRPr="004B0174">
        <w:t>).</w:t>
      </w:r>
    </w:p>
  </w:footnote>
  <w:footnote w:id="10">
    <w:p w:rsidR="001D4EE8" w:rsidP="001D4EE8" w14:paraId="09ED72DB" w14:textId="3CB57B80">
      <w:pPr>
        <w:pStyle w:val="FootnoteText"/>
      </w:pPr>
      <w:r>
        <w:rPr>
          <w:rStyle w:val="FootnoteReference"/>
        </w:rPr>
        <w:footnoteRef/>
      </w:r>
      <w:r>
        <w:t xml:space="preserve"> </w:t>
      </w:r>
      <w:r w:rsidRPr="00FF48C6">
        <w:rPr>
          <w:i/>
        </w:rPr>
        <w:t>See, e.g.,</w:t>
      </w:r>
      <w:r w:rsidR="00B63454">
        <w:rPr>
          <w:i/>
        </w:rPr>
        <w:t xml:space="preserve"> </w:t>
      </w:r>
      <w:r w:rsidR="00DA0D75">
        <w:rPr>
          <w:iCs/>
        </w:rPr>
        <w:t>ACA International Comments at 5 (</w:t>
      </w:r>
      <w:r w:rsidR="00437412">
        <w:rPr>
          <w:iCs/>
        </w:rPr>
        <w:t xml:space="preserve">filed </w:t>
      </w:r>
      <w:r w:rsidR="00DA0D75">
        <w:rPr>
          <w:iCs/>
        </w:rPr>
        <w:t xml:space="preserve">June 5, 2018); </w:t>
      </w:r>
      <w:r w:rsidR="00400BB1">
        <w:rPr>
          <w:iCs/>
        </w:rPr>
        <w:t>Vibes Media Comments at 8 (</w:t>
      </w:r>
      <w:r w:rsidR="00437412">
        <w:rPr>
          <w:iCs/>
        </w:rPr>
        <w:t xml:space="preserve">filed </w:t>
      </w:r>
      <w:r w:rsidR="00400BB1">
        <w:rPr>
          <w:iCs/>
        </w:rPr>
        <w:t>June 7, 2018).</w:t>
      </w:r>
      <w:r w:rsidR="0065722E">
        <w:rPr>
          <w:iCs/>
        </w:rPr>
        <w:t>; Student Loan Servicing Association Comments at 9 (</w:t>
      </w:r>
      <w:r w:rsidR="00437412">
        <w:rPr>
          <w:iCs/>
        </w:rPr>
        <w:t xml:space="preserve">filed </w:t>
      </w:r>
      <w:r w:rsidR="0065722E">
        <w:rPr>
          <w:iCs/>
        </w:rPr>
        <w:t>June 7, 2018).</w:t>
      </w:r>
    </w:p>
  </w:footnote>
  <w:footnote w:id="11">
    <w:p w:rsidR="001D4EE8" w:rsidP="001D4EE8" w14:paraId="755BED88" w14:textId="56A41CE0">
      <w:pPr>
        <w:pStyle w:val="FootnoteText"/>
      </w:pPr>
      <w:r>
        <w:rPr>
          <w:rStyle w:val="FootnoteReference"/>
        </w:rPr>
        <w:footnoteRef/>
      </w:r>
      <w:r>
        <w:t xml:space="preserve"> </w:t>
      </w:r>
      <w:r w:rsidRPr="00FF48C6">
        <w:rPr>
          <w:i/>
        </w:rPr>
        <w:t>See, e.g.,</w:t>
      </w:r>
      <w:r w:rsidRPr="001F460B">
        <w:rPr>
          <w:iCs/>
        </w:rPr>
        <w:t xml:space="preserve"> </w:t>
      </w:r>
      <w:r>
        <w:rPr>
          <w:iCs/>
        </w:rPr>
        <w:t>Comcast Comments at 13-14 (</w:t>
      </w:r>
      <w:r w:rsidR="00437412">
        <w:rPr>
          <w:iCs/>
        </w:rPr>
        <w:t xml:space="preserve">filed </w:t>
      </w:r>
      <w:r w:rsidR="00D953D9">
        <w:rPr>
          <w:iCs/>
        </w:rPr>
        <w:t>June 7, 2018</w:t>
      </w:r>
      <w:r>
        <w:rPr>
          <w:iCs/>
        </w:rPr>
        <w:t>)</w:t>
      </w:r>
      <w:r w:rsidR="00D953D9">
        <w:t>.</w:t>
      </w:r>
    </w:p>
  </w:footnote>
  <w:footnote w:id="12">
    <w:p w:rsidR="00D63A3F" w14:paraId="52707CFD" w14:textId="72C25E72">
      <w:pPr>
        <w:pStyle w:val="FootnoteText"/>
      </w:pPr>
      <w:r>
        <w:rPr>
          <w:rStyle w:val="FootnoteReference"/>
        </w:rPr>
        <w:footnoteRef/>
      </w:r>
      <w:r>
        <w:t xml:space="preserve"> </w:t>
      </w:r>
      <w:r>
        <w:rPr>
          <w:i/>
          <w:iCs/>
        </w:rPr>
        <w:t>See Reassigned Numbers Order</w:t>
      </w:r>
      <w:r>
        <w:t>, 33 FCC Rcd at 12040-42, paras. 46-52.</w:t>
      </w:r>
    </w:p>
  </w:footnote>
  <w:footnote w:id="13">
    <w:p w:rsidR="00A73354" w:rsidRPr="00A73354" w14:paraId="17FEBBAA" w14:textId="6DA4DF56">
      <w:pPr>
        <w:pStyle w:val="FootnoteText"/>
      </w:pPr>
      <w:r>
        <w:rPr>
          <w:rStyle w:val="FootnoteReference"/>
        </w:rPr>
        <w:footnoteRef/>
      </w:r>
      <w:r>
        <w:t xml:space="preserve"> </w:t>
      </w:r>
      <w:r>
        <w:rPr>
          <w:i/>
          <w:iCs/>
        </w:rPr>
        <w:t>Id.</w:t>
      </w:r>
      <w:r>
        <w:t xml:space="preserve"> at 12046, paras. 61-62.</w:t>
      </w:r>
    </w:p>
  </w:footnote>
  <w:footnote w:id="14">
    <w:p w:rsidR="006E442D" w:rsidP="006E442D" w14:paraId="404C0A0A" w14:textId="25E6E9A0">
      <w:pPr>
        <w:pStyle w:val="FootnoteText"/>
      </w:pPr>
      <w:r>
        <w:rPr>
          <w:rStyle w:val="FootnoteReference"/>
        </w:rPr>
        <w:footnoteRef/>
      </w:r>
      <w:r>
        <w:t xml:space="preserve"> </w:t>
      </w:r>
      <w:r>
        <w:t>Letter from Jennifer K. McKee, Vice President and Associate General Counsel, NCTA, to Kris Anne Monteith, Chief, Wireline Competition Bureau, FCC, and Patrick Webre, Chief, Consumer and Governmental Affairs Bureau, FCC (Feb</w:t>
      </w:r>
      <w:r w:rsidR="00622086">
        <w:t>.</w:t>
      </w:r>
      <w:r>
        <w:t xml:space="preserve"> 13, 2020), </w:t>
      </w:r>
      <w:hyperlink r:id="rId1" w:history="1">
        <w:r w:rsidRPr="005227BF">
          <w:rPr>
            <w:rStyle w:val="Hyperlink"/>
          </w:rPr>
          <w:t>https://docs.fcc.gov/public/attachments/DOC-362500A1.pdf</w:t>
        </w:r>
      </w:hyperlink>
      <w:r>
        <w:t xml:space="preserve"> (Council Recommendation Letter)</w:t>
      </w:r>
      <w:r w:rsidR="00C76EED">
        <w:t>; North American Numbering Council (NANC) Recommendation on Funding of the Creation Costs and Fee Structure for Users of the Reassigned Numbers Database (Feb. 13, 2020) (NANC Recommendation)</w:t>
      </w:r>
      <w:r w:rsidR="005752E7">
        <w:t>.</w:t>
      </w:r>
    </w:p>
  </w:footnote>
  <w:footnote w:id="15">
    <w:p w:rsidR="00C76EED" w14:paraId="21A9FE3C" w14:textId="4AB1154E">
      <w:pPr>
        <w:pStyle w:val="FootnoteText"/>
      </w:pPr>
      <w:r>
        <w:rPr>
          <w:rStyle w:val="FootnoteReference"/>
        </w:rPr>
        <w:footnoteRef/>
      </w:r>
      <w:r>
        <w:t xml:space="preserve"> </w:t>
      </w:r>
      <w:r>
        <w:t>NANC Recommendation at pp. 8-9.</w:t>
      </w:r>
    </w:p>
  </w:footnote>
  <w:footnote w:id="16">
    <w:p w:rsidR="00155543" w14:paraId="1A76FFF2" w14:textId="3BA018CE">
      <w:pPr>
        <w:pStyle w:val="FootnoteText"/>
      </w:pPr>
      <w:r>
        <w:rPr>
          <w:rStyle w:val="FootnoteReference"/>
        </w:rPr>
        <w:footnoteRef/>
      </w:r>
      <w:r>
        <w:t xml:space="preserve"> </w:t>
      </w:r>
      <w:r>
        <w:t xml:space="preserve">NANC </w:t>
      </w:r>
      <w:r w:rsidR="00C76EED">
        <w:t>R</w:t>
      </w:r>
      <w:r>
        <w:t>ecommendation</w:t>
      </w:r>
      <w:r w:rsidR="00802E8F">
        <w:t xml:space="preserve"> at</w:t>
      </w:r>
      <w:r>
        <w:t xml:space="preserve"> pp. 7-8</w:t>
      </w:r>
      <w:r w:rsidR="00C76EED">
        <w:t>.</w:t>
      </w:r>
    </w:p>
  </w:footnote>
  <w:footnote w:id="17">
    <w:p w:rsidR="006E442D" w:rsidP="006E442D" w14:paraId="4029FF12" w14:textId="6655ECA2">
      <w:pPr>
        <w:pStyle w:val="FootnoteText"/>
      </w:pPr>
      <w:r>
        <w:rPr>
          <w:rStyle w:val="FootnoteReference"/>
        </w:rPr>
        <w:footnoteRef/>
      </w:r>
      <w:r>
        <w:t xml:space="preserve"> </w:t>
      </w:r>
      <w:r>
        <w:rPr>
          <w:i/>
          <w:iCs/>
        </w:rPr>
        <w:t>Reassigned Numbers Order</w:t>
      </w:r>
      <w:r>
        <w:t>, 33 FCC Rcd</w:t>
      </w:r>
      <w:r w:rsidRPr="00052323">
        <w:t xml:space="preserve"> at </w:t>
      </w:r>
      <w:r>
        <w:t xml:space="preserve">12046, para. </w:t>
      </w:r>
      <w:r w:rsidRPr="00052323">
        <w:t>62</w:t>
      </w:r>
      <w:r w:rsidR="00753142">
        <w:t xml:space="preserve"> (directing the bureaus to seek comment on </w:t>
      </w:r>
      <w:r w:rsidR="00822F3F">
        <w:t xml:space="preserve">the </w:t>
      </w:r>
      <w:r w:rsidR="00753142">
        <w:t>NANC’s guidance and incorporate NANC’s recommendations into contracting decisions)</w:t>
      </w:r>
      <w:r w:rsidRPr="00052323">
        <w:t>;</w:t>
      </w:r>
      <w:r>
        <w:rPr>
          <w:i/>
          <w:iCs/>
        </w:rPr>
        <w:t xml:space="preserve"> see also </w:t>
      </w:r>
      <w:r w:rsidRPr="0018226F">
        <w:rPr>
          <w:i/>
          <w:iCs/>
        </w:rPr>
        <w:t>Wireline Competition Bureau and Consumer and Governmental Affairs Bureau Seek Comment on NANC Recommendations on Cost Funding and Fee Structure for Reassigned Numbers Database</w:t>
      </w:r>
      <w:r>
        <w:t>, CG Docket No. 17-59, 35 FCC Rcd 1560 (WCB/CGB 2020) (observing that “the Commission has stated that it expects the NANC’s guidance an any relevant comments to be incorporated into contracting decisions related to the Database</w:t>
      </w:r>
      <w:r w:rsidR="0065722E">
        <w:t>.</w:t>
      </w:r>
      <w:r>
        <w:t>”).</w:t>
      </w:r>
    </w:p>
  </w:footnote>
  <w:footnote w:id="18">
    <w:p w:rsidR="006E442D" w:rsidP="006E442D" w14:paraId="262B1C6C" w14:textId="77777777">
      <w:pPr>
        <w:pStyle w:val="FootnoteText"/>
      </w:pPr>
      <w:r>
        <w:rPr>
          <w:rStyle w:val="FootnoteReference"/>
        </w:rPr>
        <w:footnoteRef/>
      </w:r>
      <w:r>
        <w:t xml:space="preserve"> </w:t>
      </w:r>
      <w:r>
        <w:t xml:space="preserve">Federal Communications Commission (FCC) North American Numbering Plan Administrator, Pooling Administrator, and Reassigned Numbers Database Administrator Performance Work Statement, at Attachments/Links, Attachment 1 – NANPA-PA-RND PWS.pdf (Apr 9, 2020), </w:t>
      </w:r>
      <w:hyperlink r:id="rId2" w:anchor="attachments-links" w:history="1">
        <w:r w:rsidRPr="00174081">
          <w:rPr>
            <w:rStyle w:val="Hyperlink"/>
          </w:rPr>
          <w:t>https://beta.sam.gov/opp/3f66ec0aa2a04bde8f396a5ee63b4c74/view#attachments-links</w:t>
        </w:r>
      </w:hyperlink>
      <w:r>
        <w:t xml:space="preserve"> (Performance Work Statement).  </w:t>
      </w:r>
    </w:p>
  </w:footnote>
  <w:footnote w:id="19">
    <w:p w:rsidR="006E442D" w:rsidP="006E442D" w14:paraId="5EEE2EA1" w14:textId="000E3064">
      <w:pPr>
        <w:pStyle w:val="FootnoteText"/>
      </w:pPr>
      <w:r>
        <w:rPr>
          <w:rStyle w:val="FootnoteReference"/>
        </w:rPr>
        <w:footnoteRef/>
      </w:r>
      <w:r>
        <w:t xml:space="preserve"> </w:t>
      </w:r>
      <w:r>
        <w:rPr>
          <w:i/>
          <w:iCs/>
        </w:rPr>
        <w:t>I</w:t>
      </w:r>
      <w:r w:rsidRPr="008839D5">
        <w:rPr>
          <w:i/>
          <w:iCs/>
        </w:rPr>
        <w:t>d</w:t>
      </w:r>
      <w:r>
        <w:t xml:space="preserve">. at </w:t>
      </w:r>
      <w:r w:rsidR="00B5536E">
        <w:t>4</w:t>
      </w:r>
      <w:r>
        <w:t>-6, § 1.4.</w:t>
      </w:r>
    </w:p>
  </w:footnote>
  <w:footnote w:id="20">
    <w:p w:rsidR="00B5536E" w14:paraId="4A50A9F6" w14:textId="5C0F1F7C">
      <w:pPr>
        <w:pStyle w:val="FootnoteText"/>
      </w:pPr>
      <w:r>
        <w:rPr>
          <w:rStyle w:val="FootnoteReference"/>
        </w:rPr>
        <w:footnoteRef/>
      </w:r>
      <w:r>
        <w:t xml:space="preserve"> </w:t>
      </w:r>
      <w:r w:rsidRPr="004E6864">
        <w:rPr>
          <w:i/>
          <w:iCs/>
        </w:rPr>
        <w:t>See, e.g.,</w:t>
      </w:r>
      <w:r>
        <w:t xml:space="preserve"> American Bankers Association Comments </w:t>
      </w:r>
      <w:r w:rsidR="001C120B">
        <w:t>at 2-3 (rec. Mar</w:t>
      </w:r>
      <w:r w:rsidR="001F460B">
        <w:t>.</w:t>
      </w:r>
      <w:r w:rsidR="001C120B">
        <w:t xml:space="preserve"> 11, 2020) (“</w:t>
      </w:r>
      <w:r w:rsidRPr="001C120B" w:rsidR="001C120B">
        <w:t>We reiterate our request that the Commission minimize the fees charged to callers for use of the Database</w:t>
      </w:r>
      <w:r w:rsidR="001C120B">
        <w:t xml:space="preserve">. . . . </w:t>
      </w:r>
      <w:r w:rsidRPr="001C120B" w:rsidR="001C120B">
        <w:t>Ultimately, the Commission should select a price that balances the cost of maintaining the Database with encouraging access.</w:t>
      </w:r>
      <w:r w:rsidR="001C120B">
        <w:t>”).</w:t>
      </w:r>
    </w:p>
  </w:footnote>
  <w:footnote w:id="21">
    <w:p w:rsidR="006E442D" w:rsidP="006E442D" w14:paraId="727FB6B2" w14:textId="58D6AFCC">
      <w:pPr>
        <w:pStyle w:val="FootnoteText"/>
      </w:pPr>
      <w:r>
        <w:rPr>
          <w:rStyle w:val="FootnoteReference"/>
        </w:rPr>
        <w:footnoteRef/>
      </w:r>
      <w:r>
        <w:t xml:space="preserve"> </w:t>
      </w:r>
      <w:r w:rsidR="00432577">
        <w:t>Performance Work Statement</w:t>
      </w:r>
      <w:r w:rsidRPr="008839D5" w:rsidR="00432577">
        <w:t xml:space="preserve"> </w:t>
      </w:r>
      <w:r w:rsidRPr="008839D5">
        <w:t xml:space="preserve">at </w:t>
      </w:r>
      <w:r>
        <w:t>8, §</w:t>
      </w:r>
      <w:r w:rsidRPr="008839D5">
        <w:t xml:space="preserve"> 1.8.</w:t>
      </w:r>
    </w:p>
  </w:footnote>
  <w:footnote w:id="22">
    <w:p w:rsidR="006E442D" w:rsidP="006E442D" w14:paraId="2890AD32" w14:textId="0949EFC5">
      <w:pPr>
        <w:pStyle w:val="FootnoteText"/>
      </w:pPr>
      <w:r>
        <w:rPr>
          <w:rStyle w:val="FootnoteReference"/>
        </w:rPr>
        <w:footnoteRef/>
      </w:r>
      <w:r>
        <w:t xml:space="preserve"> </w:t>
      </w:r>
      <w:r w:rsidRPr="005D43D4">
        <w:rPr>
          <w:i/>
          <w:iCs/>
        </w:rPr>
        <w:t>Consumer and Governmental Affairs Bureau Establishes Guidelines for Operation of the Reassigned Numbers Database</w:t>
      </w:r>
      <w:r>
        <w:t>, CG Docket No. 17-59, 35 FCC Rcd 3559 (CGB 2020) (</w:t>
      </w:r>
      <w:r w:rsidRPr="00355F5E">
        <w:rPr>
          <w:i/>
          <w:iCs/>
        </w:rPr>
        <w:t>Guidelines P</w:t>
      </w:r>
      <w:r>
        <w:rPr>
          <w:i/>
          <w:iCs/>
        </w:rPr>
        <w:t xml:space="preserve">ublic </w:t>
      </w:r>
      <w:r w:rsidRPr="00355F5E">
        <w:rPr>
          <w:i/>
          <w:iCs/>
        </w:rPr>
        <w:t>N</w:t>
      </w:r>
      <w:r>
        <w:rPr>
          <w:i/>
          <w:iCs/>
        </w:rPr>
        <w:t>otice</w:t>
      </w:r>
      <w:r>
        <w:t xml:space="preserve">).  If more subscription </w:t>
      </w:r>
      <w:r w:rsidR="00C86D8B">
        <w:t>usage charges</w:t>
      </w:r>
      <w:r>
        <w:t xml:space="preserve"> are received in any given year, excess funds will be distributed as follows: “(1) [</w:t>
      </w:r>
      <w:r>
        <w:t>i</w:t>
      </w:r>
      <w:r>
        <w:t>]f the database had a funding deficit in the prior year(s), the Administrator will apply the excess funds to reduce or eliminate that deficit; (2) [</w:t>
      </w:r>
      <w:r>
        <w:t>i</w:t>
      </w:r>
      <w:r>
        <w:t>]f any excess funds remain after step 1 and the Service Providers have not been paid in full for their funding of the database creation costs, the Administrator shall apply the excess funds to accelerate their repayment, and (3) [</w:t>
      </w:r>
      <w:r>
        <w:t>i</w:t>
      </w:r>
      <w:r>
        <w:t xml:space="preserve">]f any excess funds remain after steps 1 and 2, the Administrator shall apply them to future years of Reassigned Numbers Database operations and thereby lower the fees paid by subscribers.”  </w:t>
      </w:r>
      <w:r w:rsidRPr="00E74DF7">
        <w:rPr>
          <w:i/>
          <w:iCs/>
        </w:rPr>
        <w:t>Id</w:t>
      </w:r>
      <w:r>
        <w:t>. at 3561-62.</w:t>
      </w:r>
      <w:r w:rsidRPr="00D975F8" w:rsidR="00D975F8">
        <w:rPr>
          <w:snapToGrid w:val="0"/>
          <w:kern w:val="28"/>
          <w:sz w:val="22"/>
        </w:rPr>
        <w:t xml:space="preserve"> </w:t>
      </w:r>
      <w:r w:rsidR="00D975F8">
        <w:t xml:space="preserve">Other </w:t>
      </w:r>
      <w:r w:rsidRPr="00D975F8" w:rsidR="00D975F8">
        <w:t xml:space="preserve">commentors requested that the Commission allow them to use the Database without being required to pay a subscription </w:t>
      </w:r>
      <w:r w:rsidR="00C86D8B">
        <w:t>usage charge</w:t>
      </w:r>
      <w:r w:rsidR="00D975F8">
        <w:t xml:space="preserve">. </w:t>
      </w:r>
      <w:r w:rsidRPr="004E6864" w:rsidR="00D975F8">
        <w:rPr>
          <w:i/>
          <w:iCs/>
        </w:rPr>
        <w:t>See, e.g.,</w:t>
      </w:r>
      <w:r w:rsidR="00D975F8">
        <w:t xml:space="preserve"> </w:t>
      </w:r>
      <w:r w:rsidRPr="004E6864" w:rsidR="00D975F8">
        <w:t>National Association of Federally-Insured Credit Unions</w:t>
      </w:r>
      <w:r w:rsidR="00D975F8">
        <w:t xml:space="preserve"> Comments at 1 (Mar. 11, 2020) (“NAFCU further urges the FCC to exempt credit unions from the payment of fees for use of the database entirely”). However, this suggestion conflicts with the </w:t>
      </w:r>
      <w:r w:rsidRPr="00871B12" w:rsidR="00D975F8">
        <w:rPr>
          <w:i/>
          <w:iCs/>
        </w:rPr>
        <w:t>Reassigned Numbers Order</w:t>
      </w:r>
      <w:r w:rsidR="00D975F8">
        <w:t xml:space="preserve">, which specifies that the costs of the RND are to be borne by the users of the Database.  </w:t>
      </w:r>
      <w:r w:rsidR="00D975F8">
        <w:rPr>
          <w:i/>
          <w:iCs/>
        </w:rPr>
        <w:t xml:space="preserve">See </w:t>
      </w:r>
      <w:r w:rsidR="00D975F8">
        <w:rPr>
          <w:rFonts w:eastAsia="Calibri"/>
          <w:i/>
          <w:iCs/>
        </w:rPr>
        <w:t>Reassigned Numbers Order</w:t>
      </w:r>
      <w:r w:rsidR="00D975F8">
        <w:rPr>
          <w:rFonts w:eastAsia="Calibri"/>
        </w:rPr>
        <w:t>, 22 FCC Rcd at 12040, para. 46.</w:t>
      </w:r>
    </w:p>
  </w:footnote>
  <w:footnote w:id="23">
    <w:p w:rsidR="004E6864" w:rsidP="004E6864" w14:paraId="24F0C217" w14:textId="3245C727">
      <w:pPr>
        <w:pStyle w:val="FootnoteText"/>
      </w:pPr>
      <w:r>
        <w:rPr>
          <w:rStyle w:val="FootnoteReference"/>
        </w:rPr>
        <w:footnoteRef/>
      </w:r>
      <w:r>
        <w:t xml:space="preserve"> </w:t>
      </w:r>
      <w:r w:rsidRPr="004E6864">
        <w:rPr>
          <w:i/>
          <w:iCs/>
        </w:rPr>
        <w:t>See, e.g.,</w:t>
      </w:r>
      <w:r>
        <w:t xml:space="preserve"> </w:t>
      </w:r>
      <w:r w:rsidRPr="004E6864">
        <w:t>National Association of Federally-Insured Credit Unions</w:t>
      </w:r>
      <w:r>
        <w:t xml:space="preserve"> Comments at 2 (Mar</w:t>
      </w:r>
      <w:r w:rsidR="001F460B">
        <w:t>.</w:t>
      </w:r>
      <w:r>
        <w:t xml:space="preserve"> 11, 2020) (“Requiring a single, up-front expenditure may bar smaller and less sophisticated credit unions from access to the database”).</w:t>
      </w:r>
      <w:r w:rsidR="003D2FC7">
        <w:t xml:space="preserve">  The Performance Work Statement included the option for the Administrator to “</w:t>
      </w:r>
      <w:r w:rsidRPr="003D2FC7" w:rsidR="003D2FC7">
        <w:t>offer shorter subscriptions, such as monthly subscriptions, three-month subscriptions, or six-month subscriptions, to encourage use of the RND by smaller subscribers that may have difficulty paying for an annual subscription.</w:t>
      </w:r>
      <w:r w:rsidR="003D2FC7">
        <w:t>”  Performance Work Statement</w:t>
      </w:r>
      <w:r w:rsidRPr="008839D5" w:rsidR="003D2FC7">
        <w:t xml:space="preserve"> at </w:t>
      </w:r>
      <w:r w:rsidR="003D2FC7">
        <w:t>5, § </w:t>
      </w:r>
      <w:r w:rsidRPr="008839D5" w:rsidR="003D2FC7">
        <w:t>1.</w:t>
      </w:r>
      <w:r w:rsidR="003D2FC7">
        <w:t>4</w:t>
      </w:r>
      <w:r w:rsidRPr="008839D5" w:rsidR="003D2FC7">
        <w:t>.</w:t>
      </w:r>
    </w:p>
  </w:footnote>
  <w:footnote w:id="24">
    <w:p w:rsidR="00241292" w:rsidRPr="0051436F" w14:paraId="42D04431" w14:textId="5EDC3390">
      <w:pPr>
        <w:pStyle w:val="FootnoteText"/>
      </w:pPr>
      <w:r w:rsidRPr="00A87555">
        <w:rPr>
          <w:rStyle w:val="FootnoteReference"/>
        </w:rPr>
        <w:footnoteRef/>
      </w:r>
      <w:r w:rsidRPr="00A87555">
        <w:t xml:space="preserve"> </w:t>
      </w:r>
      <w:r w:rsidRPr="00A87555">
        <w:rPr>
          <w:i/>
          <w:iCs/>
        </w:rPr>
        <w:t xml:space="preserve">See, e.g., </w:t>
      </w:r>
      <w:r w:rsidRPr="00A87555" w:rsidR="0051436F">
        <w:t>Association of Credit and Collection Professionals Comments at 5 (Mar. 10, 20</w:t>
      </w:r>
      <w:r w:rsidRPr="001E6B18" w:rsidR="0051436F">
        <w:t>20</w:t>
      </w:r>
      <w:r w:rsidRPr="00A87555" w:rsidR="0051436F">
        <w:t>).</w:t>
      </w:r>
    </w:p>
  </w:footnote>
  <w:footnote w:id="25">
    <w:p w:rsidR="00552891" w14:paraId="444186CD" w14:textId="465E7CF1">
      <w:pPr>
        <w:pStyle w:val="FootnoteText"/>
      </w:pPr>
      <w:r>
        <w:rPr>
          <w:rStyle w:val="FootnoteReference"/>
        </w:rPr>
        <w:footnoteRef/>
      </w:r>
      <w:r>
        <w:t xml:space="preserve"> </w:t>
      </w:r>
      <w:r>
        <w:t xml:space="preserve">Performance Work Statement at </w:t>
      </w:r>
      <w:r w:rsidR="00B5536E">
        <w:t>5-6, § 1.4</w:t>
      </w:r>
      <w:r w:rsidR="00A30F2A">
        <w:t xml:space="preserve"> (“the [Administrator], </w:t>
      </w:r>
      <w:r w:rsidRPr="00A30F2A" w:rsidR="00A30F2A">
        <w:t>on a monthly basis, shall analyze the volume of queries it receives by subscription tier and the amount it collects in fees, and recommend any adjustments to the subscription tiers or rates to the Commission</w:t>
      </w:r>
      <w:r w:rsidR="00A30F2A">
        <w:t>”).</w:t>
      </w:r>
    </w:p>
  </w:footnote>
  <w:footnote w:id="26">
    <w:p w:rsidR="00F2287B" w14:paraId="20BFD5A3" w14:textId="5204663B">
      <w:pPr>
        <w:pStyle w:val="FootnoteText"/>
      </w:pPr>
      <w:r>
        <w:rPr>
          <w:rStyle w:val="FootnoteReference"/>
        </w:rPr>
        <w:footnoteRef/>
      </w:r>
      <w:r>
        <w:t xml:space="preserve"> </w:t>
      </w:r>
      <w:r w:rsidRPr="0087057A">
        <w:t xml:space="preserve">47 CFR §§ 1.1200 </w:t>
      </w:r>
      <w:r w:rsidRPr="0087057A">
        <w:rPr>
          <w:i/>
          <w:iCs/>
        </w:rPr>
        <w:t>et seq</w:t>
      </w:r>
      <w:r>
        <w:t>.</w:t>
      </w:r>
    </w:p>
  </w:footnote>
  <w:footnote w:id="27">
    <w:p w:rsidR="00DE120E" w:rsidRPr="00386B86" w:rsidP="00DE120E" w14:paraId="0A689E25" w14:textId="2CDFAA72">
      <w:pPr>
        <w:pStyle w:val="FootnoteText"/>
      </w:pPr>
      <w:r>
        <w:rPr>
          <w:rStyle w:val="FootnoteReference"/>
        </w:rPr>
        <w:footnoteRef/>
      </w:r>
      <w:r>
        <w:t xml:space="preserve"> </w:t>
      </w:r>
      <w:r w:rsidRPr="0087057A">
        <w:t>47 CFR § 1.1200</w:t>
      </w:r>
      <w:r w:rsidR="00F2287B">
        <w:t xml:space="preserve">(a) (noting that Commission staff have discretion to modify the applicable </w:t>
      </w:r>
      <w:r w:rsidR="00F2287B">
        <w:rPr>
          <w:i/>
          <w:iCs/>
        </w:rPr>
        <w:t xml:space="preserve">ex </w:t>
      </w:r>
      <w:r w:rsidR="00F2287B">
        <w:rPr>
          <w:i/>
          <w:iCs/>
        </w:rPr>
        <w:t>parte</w:t>
      </w:r>
      <w:r w:rsidR="00F2287B">
        <w:t xml:space="preserve"> rules in a proceeding where the public interest so requires).</w:t>
      </w:r>
      <w:r>
        <w:rPr>
          <w:i/>
          <w:iCs/>
        </w:rPr>
        <w:t xml:space="preserve"> </w:t>
      </w:r>
    </w:p>
  </w:footnote>
  <w:footnote w:id="28">
    <w:p w:rsidR="00391F7D" w:rsidP="00391F7D" w14:paraId="60C1C3B2" w14:textId="2FD3A737">
      <w:pPr>
        <w:pStyle w:val="FootnoteText"/>
      </w:pPr>
      <w:r>
        <w:rPr>
          <w:rStyle w:val="FootnoteReference"/>
        </w:rPr>
        <w:footnoteRef/>
      </w:r>
      <w:r>
        <w:t xml:space="preserve"> </w:t>
      </w:r>
      <w:r>
        <w:t>5 U.S.C. § 553(d)(3)</w:t>
      </w:r>
      <w:r w:rsidR="002328AE">
        <w:t xml:space="preserve"> (</w:t>
      </w:r>
      <w:r w:rsidR="0099147F">
        <w:t xml:space="preserve">providing that under </w:t>
      </w:r>
      <w:r w:rsidR="002328AE">
        <w:t>t</w:t>
      </w:r>
      <w:r w:rsidRPr="6DDF69A7">
        <w:t>he Administrative Procedure Act</w:t>
      </w:r>
      <w:r w:rsidR="0099147F">
        <w:t>, rules may be made effective less than 30 days after publication in the Federal Register if the agency makes</w:t>
      </w:r>
      <w:r w:rsidRPr="6DDF69A7">
        <w:t xml:space="preserve"> a showing of “good cause”</w:t>
      </w:r>
      <w:r w:rsidR="002328AE">
        <w:t>).</w:t>
      </w:r>
    </w:p>
  </w:footnote>
  <w:footnote w:id="29">
    <w:p w:rsidR="00EA21C5" w:rsidP="00EA21C5" w14:paraId="5C2FF40A" w14:textId="77777777">
      <w:pPr>
        <w:pStyle w:val="FootnoteText"/>
      </w:pPr>
      <w:r w:rsidRPr="00920189">
        <w:rPr>
          <w:rStyle w:val="FootnoteReference"/>
        </w:rPr>
        <w:footnoteRef/>
      </w:r>
      <w:r w:rsidRPr="00920189">
        <w:t xml:space="preserve"> </w:t>
      </w:r>
      <w:r w:rsidRPr="00EC2AB4">
        <w:rPr>
          <w:i/>
          <w:color w:val="000000"/>
        </w:rPr>
        <w:t>Omnipoint</w:t>
      </w:r>
      <w:r w:rsidRPr="00EC2AB4">
        <w:rPr>
          <w:i/>
          <w:color w:val="000000"/>
        </w:rPr>
        <w:t xml:space="preserve"> Corp. v. FCC</w:t>
      </w:r>
      <w:r w:rsidRPr="00321C12">
        <w:rPr>
          <w:color w:val="000000"/>
        </w:rPr>
        <w:t>, 78 F.3d 620, 630 (D.C. Cir. 1996) (citation omitted).</w:t>
      </w:r>
    </w:p>
  </w:footnote>
  <w:footnote w:id="30">
    <w:p w:rsidR="0099147F" w14:paraId="00E93B08" w14:textId="1AF33D6D">
      <w:pPr>
        <w:pStyle w:val="FootnoteText"/>
      </w:pPr>
      <w:r>
        <w:rPr>
          <w:rStyle w:val="FootnoteReference"/>
        </w:rPr>
        <w:footnoteRef/>
      </w:r>
      <w:r>
        <w:t xml:space="preserve"> </w:t>
      </w:r>
      <w:r w:rsidRPr="006C2CBD" w:rsidR="006C2CBD">
        <w:rPr>
          <w:i/>
          <w:iCs/>
        </w:rPr>
        <w:t>See Consumer and Governmental Affairs Bureau Announces Beta Test for Users of the Reassigned Numbers Database</w:t>
      </w:r>
      <w:r w:rsidR="006C2CBD">
        <w:t>, CG Docket 17-59, Public Notice, DA 21-699 (rel. June 15, 2021).</w:t>
      </w:r>
    </w:p>
  </w:footnote>
  <w:footnote w:id="31">
    <w:p w:rsidR="00981ACA" w:rsidRPr="006B285D" w14:paraId="7CF8C245" w14:textId="1C49A064">
      <w:pPr>
        <w:pStyle w:val="FootnoteText"/>
      </w:pPr>
      <w:r>
        <w:rPr>
          <w:rStyle w:val="FootnoteReference"/>
        </w:rPr>
        <w:footnoteRef/>
      </w:r>
      <w:r>
        <w:t xml:space="preserve"> </w:t>
      </w:r>
      <w:r w:rsidR="006B285D">
        <w:rPr>
          <w:i/>
          <w:iCs/>
        </w:rPr>
        <w:t>See Kessler v. FCC</w:t>
      </w:r>
      <w:r w:rsidR="006B285D">
        <w:t>,</w:t>
      </w:r>
      <w:r w:rsidR="0092291E">
        <w:t xml:space="preserve"> 326 F.2d 673 (D.C. Cir. 1963) (parties with actual notice were bound by a procedural rule that was not published in the Federal Register); </w:t>
      </w:r>
      <w:r w:rsidR="0092291E">
        <w:rPr>
          <w:i/>
          <w:iCs/>
        </w:rPr>
        <w:t>s</w:t>
      </w:r>
      <w:r w:rsidR="006B285D">
        <w:rPr>
          <w:i/>
          <w:iCs/>
        </w:rPr>
        <w:t>ee also United States v. Ventura-Melendez</w:t>
      </w:r>
      <w:r w:rsidR="006B285D">
        <w:t xml:space="preserve">, 321 F.3d 230, 233 </w:t>
      </w:r>
      <w:r w:rsidR="0092291E">
        <w:t>(1st Cir. 2003)</w:t>
      </w:r>
      <w:r w:rsidR="006B285D">
        <w:t xml:space="preserve"> (noting that the Administrative Procedure Act “contemplates that actual notice may at times supersede constructive notice through publication”).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F0CC460" w14:textId="05B0E951">
    <w:pPr>
      <w:tabs>
        <w:tab w:val="center" w:pos="4680"/>
        <w:tab w:val="right" w:pos="9360"/>
      </w:tabs>
    </w:pPr>
    <w:r w:rsidRPr="009838BC">
      <w:rPr>
        <w:b/>
      </w:rPr>
      <w:tab/>
    </w:r>
    <w:r w:rsidRPr="009838BC">
      <w:rPr>
        <w:b/>
      </w:rPr>
      <w:t>Federal Communications Commission</w:t>
    </w:r>
    <w:r w:rsidRPr="009838BC">
      <w:rPr>
        <w:b/>
      </w:rPr>
      <w:tab/>
    </w:r>
    <w:r w:rsidR="00654DF4">
      <w:rPr>
        <w:b/>
      </w:rPr>
      <w:t>DA 21-</w:t>
    </w:r>
    <w:r w:rsidR="001639DA">
      <w:rPr>
        <w:b/>
      </w:rPr>
      <w:t>1240</w:t>
    </w:r>
  </w:p>
  <w:p w:rsidR="009838BC" w:rsidRPr="009838BC" w:rsidP="009838BC" w14:paraId="77D6494C" w14:textId="78B243B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2C6F22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D2728C3" w14:textId="13E1B3DE">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E0AB8" w:rsidP="00DE0AB8" w14:paraId="1669BE7A" w14:textId="77777777">
                    <w:pPr>
                      <w:rPr>
                        <w:rFonts w:ascii="Arial" w:hAnsi="Arial"/>
                        <w:b/>
                        <w:snapToGrid/>
                      </w:rPr>
                    </w:pPr>
                    <w:r>
                      <w:rPr>
                        <w:rFonts w:ascii="Arial" w:hAnsi="Arial"/>
                        <w:b/>
                      </w:rPr>
                      <w:t>Federal Communications Commission</w:t>
                    </w:r>
                  </w:p>
                  <w:p w:rsidR="00DE0AB8" w:rsidP="00DE0AB8" w14:paraId="71BD181F" w14:textId="77777777">
                    <w:pPr>
                      <w:rPr>
                        <w:rFonts w:ascii="Arial" w:hAnsi="Arial"/>
                        <w:b/>
                      </w:rPr>
                    </w:pPr>
                    <w:r>
                      <w:rPr>
                        <w:rFonts w:ascii="Arial" w:hAnsi="Arial"/>
                        <w:b/>
                      </w:rPr>
                      <w:t>45 L Street NE</w:t>
                    </w:r>
                  </w:p>
                  <w:p w:rsidR="009838BC" w:rsidP="00DE0AB8" w14:paraId="7E535A3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6"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4633B1">
      <w:rPr>
        <w:rFonts w:ascii="Arial" w:hAnsi="Arial" w:cs="Arial"/>
        <w:b/>
        <w:sz w:val="96"/>
      </w:rPr>
      <w:t>PUBLIC NOTICE</w:t>
    </w:r>
  </w:p>
  <w:p w:rsidR="009838BC" w:rsidRPr="00357D50" w:rsidP="009838BC" w14:paraId="7253A41E" w14:textId="154A75F2">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10795" t="5715" r="825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A3F0116" w14:textId="77777777">
                    <w:pPr>
                      <w:spacing w:before="40"/>
                      <w:jc w:val="right"/>
                      <w:rPr>
                        <w:rFonts w:ascii="Arial" w:hAnsi="Arial"/>
                        <w:b/>
                        <w:sz w:val="16"/>
                      </w:rPr>
                    </w:pPr>
                    <w:r>
                      <w:rPr>
                        <w:rFonts w:ascii="Arial" w:hAnsi="Arial"/>
                        <w:b/>
                        <w:sz w:val="16"/>
                      </w:rPr>
                      <w:t>News Media Information 202 / 418-0500</w:t>
                    </w:r>
                  </w:p>
                  <w:p w:rsidR="009838BC" w:rsidP="009838BC" w14:paraId="7E196E1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0A0BAE0" w14:textId="77777777">
                    <w:pPr>
                      <w:jc w:val="right"/>
                    </w:pPr>
                    <w:r>
                      <w:rPr>
                        <w:rFonts w:ascii="Arial" w:hAnsi="Arial"/>
                        <w:b/>
                        <w:sz w:val="16"/>
                      </w:rPr>
                      <w:t>TTY: 1-888-835-5322</w:t>
                    </w:r>
                  </w:p>
                </w:txbxContent>
              </v:textbox>
            </v:shape>
          </w:pict>
        </mc:Fallback>
      </mc:AlternateContent>
    </w:r>
  </w:p>
  <w:p w:rsidR="006F7393" w:rsidRPr="009838BC" w:rsidP="009838BC" w14:paraId="0DCC069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5299C"/>
    <w:multiLevelType w:val="hybridMultilevel"/>
    <w:tmpl w:val="2FAE93F2"/>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BE20C7"/>
    <w:multiLevelType w:val="hybridMultilevel"/>
    <w:tmpl w:val="E1FC3AB2"/>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5222236"/>
    <w:multiLevelType w:val="hybridMultilevel"/>
    <w:tmpl w:val="15861AE4"/>
    <w:lvl w:ilvl="0">
      <w:start w:val="0"/>
      <w:numFmt w:val="bullet"/>
      <w:lvlText w:val=""/>
      <w:lvlJc w:val="left"/>
      <w:pPr>
        <w:ind w:left="1440" w:hanging="72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F7C3905"/>
    <w:multiLevelType w:val="hybridMultilevel"/>
    <w:tmpl w:val="59BE5DC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 w:numId="9">
    <w:abstractNumId w:val="7"/>
    <w:lvlOverride w:ilvl="0">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F4"/>
    <w:rsid w:val="000072CE"/>
    <w:rsid w:val="00013A8B"/>
    <w:rsid w:val="00020E05"/>
    <w:rsid w:val="00021445"/>
    <w:rsid w:val="0003312E"/>
    <w:rsid w:val="00036039"/>
    <w:rsid w:val="00037F90"/>
    <w:rsid w:val="00052323"/>
    <w:rsid w:val="00054C5B"/>
    <w:rsid w:val="00080EE3"/>
    <w:rsid w:val="0008411C"/>
    <w:rsid w:val="000875BF"/>
    <w:rsid w:val="00090914"/>
    <w:rsid w:val="00096D8C"/>
    <w:rsid w:val="000C0B65"/>
    <w:rsid w:val="000C0C5D"/>
    <w:rsid w:val="000D0465"/>
    <w:rsid w:val="000D05AE"/>
    <w:rsid w:val="000D2DD9"/>
    <w:rsid w:val="000E3D42"/>
    <w:rsid w:val="000E4EA1"/>
    <w:rsid w:val="000E5884"/>
    <w:rsid w:val="000E6C9F"/>
    <w:rsid w:val="000F3C8B"/>
    <w:rsid w:val="00101EE0"/>
    <w:rsid w:val="00122BD5"/>
    <w:rsid w:val="00136249"/>
    <w:rsid w:val="001366E0"/>
    <w:rsid w:val="001435D1"/>
    <w:rsid w:val="00146F9A"/>
    <w:rsid w:val="00153BF1"/>
    <w:rsid w:val="00155543"/>
    <w:rsid w:val="001639DA"/>
    <w:rsid w:val="00174081"/>
    <w:rsid w:val="00181F61"/>
    <w:rsid w:val="0018226F"/>
    <w:rsid w:val="001967C8"/>
    <w:rsid w:val="001979D9"/>
    <w:rsid w:val="001C120B"/>
    <w:rsid w:val="001D4EE8"/>
    <w:rsid w:val="001D6BCF"/>
    <w:rsid w:val="001E01CA"/>
    <w:rsid w:val="001E6B18"/>
    <w:rsid w:val="001F0E1F"/>
    <w:rsid w:val="001F460B"/>
    <w:rsid w:val="00204E88"/>
    <w:rsid w:val="00205249"/>
    <w:rsid w:val="002060D9"/>
    <w:rsid w:val="00210347"/>
    <w:rsid w:val="00226822"/>
    <w:rsid w:val="002328AE"/>
    <w:rsid w:val="00236FFB"/>
    <w:rsid w:val="00241292"/>
    <w:rsid w:val="00245526"/>
    <w:rsid w:val="00255903"/>
    <w:rsid w:val="00256CE1"/>
    <w:rsid w:val="00260594"/>
    <w:rsid w:val="002726DF"/>
    <w:rsid w:val="00285017"/>
    <w:rsid w:val="002959C5"/>
    <w:rsid w:val="002977B2"/>
    <w:rsid w:val="002A2D2E"/>
    <w:rsid w:val="002A7137"/>
    <w:rsid w:val="002C362E"/>
    <w:rsid w:val="002C5A03"/>
    <w:rsid w:val="002E482A"/>
    <w:rsid w:val="0030368F"/>
    <w:rsid w:val="003133B2"/>
    <w:rsid w:val="00321C12"/>
    <w:rsid w:val="00322916"/>
    <w:rsid w:val="00325FEA"/>
    <w:rsid w:val="00327455"/>
    <w:rsid w:val="003347AD"/>
    <w:rsid w:val="00341E9F"/>
    <w:rsid w:val="00343749"/>
    <w:rsid w:val="00355F5E"/>
    <w:rsid w:val="00357D50"/>
    <w:rsid w:val="003807A2"/>
    <w:rsid w:val="00386B86"/>
    <w:rsid w:val="00391F7D"/>
    <w:rsid w:val="003925DC"/>
    <w:rsid w:val="00393D29"/>
    <w:rsid w:val="00397D5C"/>
    <w:rsid w:val="003A57B0"/>
    <w:rsid w:val="003B0550"/>
    <w:rsid w:val="003B2E5B"/>
    <w:rsid w:val="003B694F"/>
    <w:rsid w:val="003C28C1"/>
    <w:rsid w:val="003C39B9"/>
    <w:rsid w:val="003C5FD0"/>
    <w:rsid w:val="003C760A"/>
    <w:rsid w:val="003D2FC7"/>
    <w:rsid w:val="003F171C"/>
    <w:rsid w:val="003F3FB1"/>
    <w:rsid w:val="00400BB1"/>
    <w:rsid w:val="00412FC5"/>
    <w:rsid w:val="0041762A"/>
    <w:rsid w:val="00422276"/>
    <w:rsid w:val="004242F1"/>
    <w:rsid w:val="00430142"/>
    <w:rsid w:val="00432577"/>
    <w:rsid w:val="0043321F"/>
    <w:rsid w:val="00435394"/>
    <w:rsid w:val="00435B68"/>
    <w:rsid w:val="00437412"/>
    <w:rsid w:val="00445A00"/>
    <w:rsid w:val="00451B0F"/>
    <w:rsid w:val="004552FD"/>
    <w:rsid w:val="0046125F"/>
    <w:rsid w:val="004630FF"/>
    <w:rsid w:val="004633B1"/>
    <w:rsid w:val="00473D4D"/>
    <w:rsid w:val="00474BE5"/>
    <w:rsid w:val="004833FB"/>
    <w:rsid w:val="00487524"/>
    <w:rsid w:val="00491B3B"/>
    <w:rsid w:val="00496106"/>
    <w:rsid w:val="004B0174"/>
    <w:rsid w:val="004C12D0"/>
    <w:rsid w:val="004C2EE3"/>
    <w:rsid w:val="004D3626"/>
    <w:rsid w:val="004E0060"/>
    <w:rsid w:val="004E4A22"/>
    <w:rsid w:val="004E6864"/>
    <w:rsid w:val="004F5958"/>
    <w:rsid w:val="00511968"/>
    <w:rsid w:val="0051436F"/>
    <w:rsid w:val="00521772"/>
    <w:rsid w:val="00521EBB"/>
    <w:rsid w:val="005227BF"/>
    <w:rsid w:val="00544E8B"/>
    <w:rsid w:val="00546FD1"/>
    <w:rsid w:val="00552891"/>
    <w:rsid w:val="00552EA0"/>
    <w:rsid w:val="0055614C"/>
    <w:rsid w:val="0056563D"/>
    <w:rsid w:val="005658F3"/>
    <w:rsid w:val="005752E7"/>
    <w:rsid w:val="005A6958"/>
    <w:rsid w:val="005A6EA4"/>
    <w:rsid w:val="005B08F4"/>
    <w:rsid w:val="005D43D4"/>
    <w:rsid w:val="005E35BB"/>
    <w:rsid w:val="005F453E"/>
    <w:rsid w:val="00604098"/>
    <w:rsid w:val="00607BA5"/>
    <w:rsid w:val="006113FF"/>
    <w:rsid w:val="006151E1"/>
    <w:rsid w:val="006178F1"/>
    <w:rsid w:val="00617A94"/>
    <w:rsid w:val="00622086"/>
    <w:rsid w:val="00626EB6"/>
    <w:rsid w:val="006353A3"/>
    <w:rsid w:val="0064024C"/>
    <w:rsid w:val="006418E6"/>
    <w:rsid w:val="00645650"/>
    <w:rsid w:val="00654DF4"/>
    <w:rsid w:val="00655D03"/>
    <w:rsid w:val="0065722E"/>
    <w:rsid w:val="00662933"/>
    <w:rsid w:val="006816EE"/>
    <w:rsid w:val="00682886"/>
    <w:rsid w:val="00683F84"/>
    <w:rsid w:val="00695854"/>
    <w:rsid w:val="006A6A81"/>
    <w:rsid w:val="006A799F"/>
    <w:rsid w:val="006B285D"/>
    <w:rsid w:val="006C0599"/>
    <w:rsid w:val="006C2CBD"/>
    <w:rsid w:val="006C474F"/>
    <w:rsid w:val="006E26AF"/>
    <w:rsid w:val="006E442D"/>
    <w:rsid w:val="006F7393"/>
    <w:rsid w:val="0070224F"/>
    <w:rsid w:val="007115F7"/>
    <w:rsid w:val="00717FCD"/>
    <w:rsid w:val="007232A4"/>
    <w:rsid w:val="00733B3C"/>
    <w:rsid w:val="00753142"/>
    <w:rsid w:val="00754C3D"/>
    <w:rsid w:val="0076056B"/>
    <w:rsid w:val="00762EB5"/>
    <w:rsid w:val="00773F20"/>
    <w:rsid w:val="0077643D"/>
    <w:rsid w:val="00785689"/>
    <w:rsid w:val="0079179A"/>
    <w:rsid w:val="0079754B"/>
    <w:rsid w:val="007A1E6D"/>
    <w:rsid w:val="007A40B1"/>
    <w:rsid w:val="007B1432"/>
    <w:rsid w:val="007D02C2"/>
    <w:rsid w:val="007D12EB"/>
    <w:rsid w:val="007F53A5"/>
    <w:rsid w:val="007F6A8E"/>
    <w:rsid w:val="00802E8F"/>
    <w:rsid w:val="008060AC"/>
    <w:rsid w:val="00822CE0"/>
    <w:rsid w:val="00822F3F"/>
    <w:rsid w:val="00837C62"/>
    <w:rsid w:val="00841AB1"/>
    <w:rsid w:val="00851C0E"/>
    <w:rsid w:val="00863011"/>
    <w:rsid w:val="0087057A"/>
    <w:rsid w:val="00871B12"/>
    <w:rsid w:val="008839D5"/>
    <w:rsid w:val="008A165D"/>
    <w:rsid w:val="008B46CA"/>
    <w:rsid w:val="008B715F"/>
    <w:rsid w:val="008C22FD"/>
    <w:rsid w:val="008C5874"/>
    <w:rsid w:val="008E2275"/>
    <w:rsid w:val="008E5CBA"/>
    <w:rsid w:val="008E7937"/>
    <w:rsid w:val="008F64F0"/>
    <w:rsid w:val="008F7E54"/>
    <w:rsid w:val="008F7F3F"/>
    <w:rsid w:val="0090494E"/>
    <w:rsid w:val="00905C49"/>
    <w:rsid w:val="00910F12"/>
    <w:rsid w:val="00920189"/>
    <w:rsid w:val="0092037A"/>
    <w:rsid w:val="0092291E"/>
    <w:rsid w:val="00922A38"/>
    <w:rsid w:val="00926503"/>
    <w:rsid w:val="00930ECF"/>
    <w:rsid w:val="0093255E"/>
    <w:rsid w:val="009442FF"/>
    <w:rsid w:val="00980DF7"/>
    <w:rsid w:val="00981ACA"/>
    <w:rsid w:val="009838BC"/>
    <w:rsid w:val="009872C3"/>
    <w:rsid w:val="0099147F"/>
    <w:rsid w:val="00992A20"/>
    <w:rsid w:val="0099386F"/>
    <w:rsid w:val="009B74ED"/>
    <w:rsid w:val="009C1ABB"/>
    <w:rsid w:val="009D1220"/>
    <w:rsid w:val="009D3DB1"/>
    <w:rsid w:val="009F15F9"/>
    <w:rsid w:val="00A02690"/>
    <w:rsid w:val="00A04495"/>
    <w:rsid w:val="00A0638B"/>
    <w:rsid w:val="00A15EA0"/>
    <w:rsid w:val="00A16CD2"/>
    <w:rsid w:val="00A30F2A"/>
    <w:rsid w:val="00A33845"/>
    <w:rsid w:val="00A43942"/>
    <w:rsid w:val="00A45F4F"/>
    <w:rsid w:val="00A57262"/>
    <w:rsid w:val="00A57652"/>
    <w:rsid w:val="00A600A9"/>
    <w:rsid w:val="00A61427"/>
    <w:rsid w:val="00A65853"/>
    <w:rsid w:val="00A73354"/>
    <w:rsid w:val="00A73BF0"/>
    <w:rsid w:val="00A866AC"/>
    <w:rsid w:val="00A87555"/>
    <w:rsid w:val="00AA2089"/>
    <w:rsid w:val="00AA55B7"/>
    <w:rsid w:val="00AA5B9E"/>
    <w:rsid w:val="00AB2407"/>
    <w:rsid w:val="00AB4168"/>
    <w:rsid w:val="00AB53DF"/>
    <w:rsid w:val="00AF161F"/>
    <w:rsid w:val="00AF72E1"/>
    <w:rsid w:val="00AF7D08"/>
    <w:rsid w:val="00B0453A"/>
    <w:rsid w:val="00B07E5C"/>
    <w:rsid w:val="00B124C0"/>
    <w:rsid w:val="00B20363"/>
    <w:rsid w:val="00B204FF"/>
    <w:rsid w:val="00B326E3"/>
    <w:rsid w:val="00B44459"/>
    <w:rsid w:val="00B46418"/>
    <w:rsid w:val="00B46E08"/>
    <w:rsid w:val="00B5536E"/>
    <w:rsid w:val="00B63454"/>
    <w:rsid w:val="00B66499"/>
    <w:rsid w:val="00B7036C"/>
    <w:rsid w:val="00B71B26"/>
    <w:rsid w:val="00B811F7"/>
    <w:rsid w:val="00B93F3E"/>
    <w:rsid w:val="00BA3809"/>
    <w:rsid w:val="00BA5DC6"/>
    <w:rsid w:val="00BA6196"/>
    <w:rsid w:val="00BA7861"/>
    <w:rsid w:val="00BC6D8C"/>
    <w:rsid w:val="00BE18E6"/>
    <w:rsid w:val="00BE5A27"/>
    <w:rsid w:val="00C0116D"/>
    <w:rsid w:val="00C041CD"/>
    <w:rsid w:val="00C06B94"/>
    <w:rsid w:val="00C11023"/>
    <w:rsid w:val="00C16AF2"/>
    <w:rsid w:val="00C34006"/>
    <w:rsid w:val="00C426B1"/>
    <w:rsid w:val="00C51C59"/>
    <w:rsid w:val="00C57748"/>
    <w:rsid w:val="00C65C08"/>
    <w:rsid w:val="00C7323F"/>
    <w:rsid w:val="00C73C83"/>
    <w:rsid w:val="00C74B40"/>
    <w:rsid w:val="00C76EED"/>
    <w:rsid w:val="00C82B6B"/>
    <w:rsid w:val="00C8573B"/>
    <w:rsid w:val="00C86D8B"/>
    <w:rsid w:val="00C90D6A"/>
    <w:rsid w:val="00CB1437"/>
    <w:rsid w:val="00CB4703"/>
    <w:rsid w:val="00CC54E4"/>
    <w:rsid w:val="00CC72B6"/>
    <w:rsid w:val="00CE38CC"/>
    <w:rsid w:val="00CE479C"/>
    <w:rsid w:val="00CE702F"/>
    <w:rsid w:val="00CF5778"/>
    <w:rsid w:val="00D0218D"/>
    <w:rsid w:val="00D067D6"/>
    <w:rsid w:val="00D10245"/>
    <w:rsid w:val="00D216CD"/>
    <w:rsid w:val="00D3158A"/>
    <w:rsid w:val="00D448AA"/>
    <w:rsid w:val="00D455BD"/>
    <w:rsid w:val="00D57859"/>
    <w:rsid w:val="00D61B93"/>
    <w:rsid w:val="00D63A3F"/>
    <w:rsid w:val="00D92BBD"/>
    <w:rsid w:val="00D953D9"/>
    <w:rsid w:val="00D975F8"/>
    <w:rsid w:val="00DA0D75"/>
    <w:rsid w:val="00DA2529"/>
    <w:rsid w:val="00DA65DE"/>
    <w:rsid w:val="00DB130A"/>
    <w:rsid w:val="00DC10A1"/>
    <w:rsid w:val="00DC5C8C"/>
    <w:rsid w:val="00DC655F"/>
    <w:rsid w:val="00DD7EBD"/>
    <w:rsid w:val="00DE0AB8"/>
    <w:rsid w:val="00DE0C14"/>
    <w:rsid w:val="00DE120E"/>
    <w:rsid w:val="00DE206F"/>
    <w:rsid w:val="00DE3336"/>
    <w:rsid w:val="00DE47B4"/>
    <w:rsid w:val="00DE6F98"/>
    <w:rsid w:val="00DF22E8"/>
    <w:rsid w:val="00DF62B6"/>
    <w:rsid w:val="00DF63D5"/>
    <w:rsid w:val="00E024E3"/>
    <w:rsid w:val="00E07225"/>
    <w:rsid w:val="00E0749E"/>
    <w:rsid w:val="00E14537"/>
    <w:rsid w:val="00E155B7"/>
    <w:rsid w:val="00E3716D"/>
    <w:rsid w:val="00E50C2D"/>
    <w:rsid w:val="00E5409F"/>
    <w:rsid w:val="00E6444F"/>
    <w:rsid w:val="00E74DF7"/>
    <w:rsid w:val="00E8246E"/>
    <w:rsid w:val="00E85095"/>
    <w:rsid w:val="00E85B37"/>
    <w:rsid w:val="00E9794A"/>
    <w:rsid w:val="00EA21C5"/>
    <w:rsid w:val="00EA3F00"/>
    <w:rsid w:val="00EB4AC8"/>
    <w:rsid w:val="00EC0185"/>
    <w:rsid w:val="00EC2AB4"/>
    <w:rsid w:val="00EC73D0"/>
    <w:rsid w:val="00ED0E2C"/>
    <w:rsid w:val="00ED15DC"/>
    <w:rsid w:val="00F005A9"/>
    <w:rsid w:val="00F021FA"/>
    <w:rsid w:val="00F1307D"/>
    <w:rsid w:val="00F2287B"/>
    <w:rsid w:val="00F27510"/>
    <w:rsid w:val="00F40B48"/>
    <w:rsid w:val="00F502CF"/>
    <w:rsid w:val="00F57ACA"/>
    <w:rsid w:val="00F60754"/>
    <w:rsid w:val="00F62E97"/>
    <w:rsid w:val="00F64209"/>
    <w:rsid w:val="00F7590B"/>
    <w:rsid w:val="00F86E0D"/>
    <w:rsid w:val="00F92E22"/>
    <w:rsid w:val="00F93BF5"/>
    <w:rsid w:val="00F96F63"/>
    <w:rsid w:val="00F974D2"/>
    <w:rsid w:val="00FC24C6"/>
    <w:rsid w:val="00FD004A"/>
    <w:rsid w:val="00FE2301"/>
    <w:rsid w:val="00FF2452"/>
    <w:rsid w:val="00FF3B85"/>
    <w:rsid w:val="00FF48C6"/>
    <w:rsid w:val="00FF7FE1"/>
    <w:rsid w:val="6DDF69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7A6B65"/>
  <w15:chartTrackingRefBased/>
  <w15:docId w15:val="{7148751F-D45C-4148-A39F-F50718B4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654DF4"/>
    <w:pPr>
      <w:ind w:left="720"/>
    </w:p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654DF4"/>
  </w:style>
  <w:style w:type="character" w:styleId="FollowedHyperlink">
    <w:name w:val="FollowedHyperlink"/>
    <w:basedOn w:val="DefaultParagraphFont"/>
    <w:uiPriority w:val="99"/>
    <w:semiHidden/>
    <w:unhideWhenUsed/>
    <w:rsid w:val="00654DF4"/>
    <w:rPr>
      <w:color w:val="954F72" w:themeColor="followedHyperlink"/>
      <w:u w:val="single"/>
    </w:rPr>
  </w:style>
  <w:style w:type="character" w:styleId="CommentReference">
    <w:name w:val="annotation reference"/>
    <w:basedOn w:val="DefaultParagraphFont"/>
    <w:uiPriority w:val="99"/>
    <w:unhideWhenUsed/>
    <w:rsid w:val="001366E0"/>
    <w:rPr>
      <w:sz w:val="16"/>
      <w:szCs w:val="16"/>
    </w:rPr>
  </w:style>
  <w:style w:type="paragraph" w:styleId="CommentText">
    <w:name w:val="annotation text"/>
    <w:basedOn w:val="Normal"/>
    <w:link w:val="CommentTextChar"/>
    <w:uiPriority w:val="99"/>
    <w:unhideWhenUsed/>
    <w:rsid w:val="001366E0"/>
    <w:rPr>
      <w:sz w:val="20"/>
    </w:rPr>
  </w:style>
  <w:style w:type="character" w:customStyle="1" w:styleId="CommentTextChar">
    <w:name w:val="Comment Text Char"/>
    <w:basedOn w:val="DefaultParagraphFont"/>
    <w:link w:val="CommentText"/>
    <w:uiPriority w:val="99"/>
    <w:rsid w:val="001366E0"/>
    <w:rPr>
      <w:snapToGrid w:val="0"/>
      <w:kern w:val="28"/>
    </w:rPr>
  </w:style>
  <w:style w:type="paragraph" w:styleId="CommentSubject">
    <w:name w:val="annotation subject"/>
    <w:basedOn w:val="CommentText"/>
    <w:next w:val="CommentText"/>
    <w:link w:val="CommentSubjectChar"/>
    <w:uiPriority w:val="99"/>
    <w:semiHidden/>
    <w:unhideWhenUsed/>
    <w:rsid w:val="001366E0"/>
    <w:rPr>
      <w:b/>
      <w:bCs/>
    </w:rPr>
  </w:style>
  <w:style w:type="character" w:customStyle="1" w:styleId="CommentSubjectChar">
    <w:name w:val="Comment Subject Char"/>
    <w:basedOn w:val="CommentTextChar"/>
    <w:link w:val="CommentSubject"/>
    <w:uiPriority w:val="99"/>
    <w:semiHidden/>
    <w:rsid w:val="001366E0"/>
    <w:rPr>
      <w:b/>
      <w:bCs/>
      <w:snapToGrid w:val="0"/>
      <w:kern w:val="28"/>
    </w:rPr>
  </w:style>
  <w:style w:type="paragraph" w:styleId="BalloonText">
    <w:name w:val="Balloon Text"/>
    <w:basedOn w:val="Normal"/>
    <w:link w:val="BalloonTextChar"/>
    <w:uiPriority w:val="99"/>
    <w:semiHidden/>
    <w:unhideWhenUsed/>
    <w:rsid w:val="00136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6E0"/>
    <w:rPr>
      <w:rFonts w:ascii="Segoe UI" w:hAnsi="Segoe UI" w:cs="Segoe UI"/>
      <w:snapToGrid w:val="0"/>
      <w:kern w:val="28"/>
      <w:sz w:val="18"/>
      <w:szCs w:val="18"/>
    </w:rPr>
  </w:style>
  <w:style w:type="character" w:customStyle="1" w:styleId="ParaNumChar">
    <w:name w:val="ParaNum Char"/>
    <w:link w:val="ParaNum"/>
    <w:locked/>
    <w:rsid w:val="00F27510"/>
    <w:rPr>
      <w:snapToGrid w:val="0"/>
      <w:kern w:val="28"/>
      <w:sz w:val="22"/>
    </w:rPr>
  </w:style>
  <w:style w:type="table" w:styleId="TableGrid">
    <w:name w:val="Table Grid"/>
    <w:basedOn w:val="TableNormal"/>
    <w:uiPriority w:val="59"/>
    <w:rsid w:val="0043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0">
    <w:name w:val="Paranum"/>
    <w:basedOn w:val="Normal"/>
    <w:autoRedefine/>
    <w:rsid w:val="006E442D"/>
    <w:pPr>
      <w:widowControl/>
      <w:tabs>
        <w:tab w:val="left" w:pos="3240"/>
      </w:tabs>
      <w:ind w:firstLine="720"/>
    </w:pPr>
    <w:rPr>
      <w:snapToGrid/>
      <w:sz w:val="24"/>
      <w:szCs w:val="24"/>
    </w:rPr>
  </w:style>
  <w:style w:type="character" w:customStyle="1" w:styleId="UnresolvedMention">
    <w:name w:val="Unresolved Mention"/>
    <w:basedOn w:val="DefaultParagraphFont"/>
    <w:uiPriority w:val="99"/>
    <w:rsid w:val="00A30F2A"/>
    <w:rPr>
      <w:color w:val="605E5C"/>
      <w:shd w:val="clear" w:color="auto" w:fill="E1DFDD"/>
    </w:rPr>
  </w:style>
  <w:style w:type="paragraph" w:styleId="Revision">
    <w:name w:val="Revision"/>
    <w:hidden/>
    <w:uiPriority w:val="99"/>
    <w:semiHidden/>
    <w:rsid w:val="00B4445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hyperlink" Target="https://www.reassigned.us/support" TargetMode="External" /><Relationship Id="rId7" Type="http://schemas.openxmlformats.org/officeDocument/2006/relationships/hyperlink" Target="https://wwww.reassigned.us" TargetMode="External" /><Relationship Id="rId8" Type="http://schemas.openxmlformats.org/officeDocument/2006/relationships/hyperlink" Target="mailto:fcc504@fcc.gov" TargetMode="External" /><Relationship Id="rId9" Type="http://schemas.openxmlformats.org/officeDocument/2006/relationships/image" Target="media/image2.emf"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62500A1.pdf" TargetMode="External" /><Relationship Id="rId2" Type="http://schemas.openxmlformats.org/officeDocument/2006/relationships/hyperlink" Target="https://beta.sam.gov/opp/3f66ec0aa2a04bde8f396a5ee63b4c74/view"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