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3EF3" w:rsidRPr="006D5400" w:rsidP="00BF2F4A" w14:paraId="2670B355" w14:textId="77777777">
      <w:pPr>
        <w:pStyle w:val="Title"/>
        <w:rPr>
          <w:szCs w:val="22"/>
        </w:rPr>
      </w:pPr>
      <w:r w:rsidRPr="006D5400">
        <w:rPr>
          <w:szCs w:val="22"/>
        </w:rPr>
        <w:t>Before the</w:t>
      </w:r>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3F3DF107">
            <w:pPr>
              <w:tabs>
                <w:tab w:val="center" w:pos="4680"/>
              </w:tabs>
              <w:suppressAutoHyphens/>
              <w:rPr>
                <w:szCs w:val="22"/>
              </w:rPr>
            </w:pPr>
            <w:r>
              <w:rPr>
                <w:szCs w:val="22"/>
              </w:rPr>
              <w:t>Clear Rate</w:t>
            </w:r>
            <w:r w:rsidR="009C3ADD">
              <w:rPr>
                <w:szCs w:val="22"/>
              </w:rPr>
              <w:t xml:space="preserve"> Communications</w:t>
            </w:r>
            <w:r w:rsidR="000844C5">
              <w:rPr>
                <w:szCs w:val="22"/>
              </w:rPr>
              <w:t>, Inc.</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313EF3" w:rsidRPr="006D5400" w14:paraId="2B2501B6" w14:textId="77777777">
            <w:pPr>
              <w:tabs>
                <w:tab w:val="center" w:pos="4680"/>
              </w:tabs>
              <w:suppressAutoHyphens/>
              <w:rPr>
                <w:b/>
                <w:spacing w:val="-2"/>
                <w:szCs w:val="22"/>
              </w:rPr>
            </w:pPr>
            <w:r w:rsidRPr="006D5400">
              <w:rPr>
                <w:b/>
                <w:spacing w:val="-2"/>
                <w:szCs w:val="22"/>
              </w:rPr>
              <w:t>)</w:t>
            </w:r>
          </w:p>
          <w:p w:rsidR="00DE1F08" w:rsidRPr="006D5400" w14:paraId="45BF7EAE" w14:textId="77777777">
            <w:pPr>
              <w:tabs>
                <w:tab w:val="center" w:pos="4680"/>
              </w:tabs>
              <w:suppressAutoHyphens/>
              <w:rPr>
                <w:b/>
                <w:spacing w:val="-2"/>
                <w:szCs w:val="22"/>
              </w:rPr>
            </w:pP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581019B8">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A01035">
              <w:rPr>
                <w:szCs w:val="22"/>
              </w:rPr>
              <w:t>4982560</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6E31A291">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5C4093">
        <w:rPr>
          <w:b/>
          <w:spacing w:val="-2"/>
          <w:szCs w:val="22"/>
        </w:rPr>
        <w:t>October</w:t>
      </w:r>
      <w:r w:rsidR="00A01035">
        <w:rPr>
          <w:b/>
          <w:spacing w:val="-2"/>
          <w:szCs w:val="22"/>
        </w:rPr>
        <w:t xml:space="preserve"> </w:t>
      </w:r>
      <w:r w:rsidR="003C3F8F">
        <w:rPr>
          <w:b/>
          <w:spacing w:val="-2"/>
          <w:szCs w:val="22"/>
        </w:rPr>
        <w:t>1</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w:t>
      </w:r>
      <w:r w:rsidR="00A01035">
        <w:rPr>
          <w:b/>
          <w:spacing w:val="-2"/>
          <w:szCs w:val="22"/>
        </w:rPr>
        <w:t>1</w:t>
      </w:r>
      <w:r w:rsidRPr="006D5400">
        <w:rPr>
          <w:b/>
          <w:spacing w:val="-2"/>
          <w:szCs w:val="22"/>
        </w:rPr>
        <w:tab/>
      </w:r>
      <w:r w:rsidR="00BF2F4A">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5C4093">
        <w:rPr>
          <w:b/>
          <w:spacing w:val="-2"/>
          <w:szCs w:val="22"/>
        </w:rPr>
        <w:t>October</w:t>
      </w:r>
      <w:r w:rsidR="00A01035">
        <w:rPr>
          <w:b/>
          <w:spacing w:val="-2"/>
          <w:szCs w:val="22"/>
        </w:rPr>
        <w:t xml:space="preserve"> </w:t>
      </w:r>
      <w:r w:rsidR="003C3F8F">
        <w:rPr>
          <w:b/>
          <w:spacing w:val="-2"/>
          <w:szCs w:val="22"/>
        </w:rPr>
        <w:t>4</w:t>
      </w:r>
      <w:r w:rsidRPr="006D5400" w:rsidR="00236AA1">
        <w:rPr>
          <w:b/>
          <w:spacing w:val="-2"/>
          <w:szCs w:val="22"/>
        </w:rPr>
        <w:t xml:space="preserve">, </w:t>
      </w:r>
      <w:r w:rsidRPr="006D5400">
        <w:rPr>
          <w:b/>
          <w:spacing w:val="-2"/>
          <w:szCs w:val="22"/>
        </w:rPr>
        <w:t>20</w:t>
      </w:r>
      <w:r w:rsidR="00EF5ABE">
        <w:rPr>
          <w:b/>
          <w:spacing w:val="-2"/>
          <w:szCs w:val="22"/>
        </w:rPr>
        <w:t>2</w:t>
      </w:r>
      <w:r w:rsidR="00A01035">
        <w:rPr>
          <w:b/>
          <w:spacing w:val="-2"/>
          <w:szCs w:val="22"/>
        </w:rPr>
        <w:t>1</w:t>
      </w:r>
    </w:p>
    <w:p w:rsidR="00313EF3" w:rsidRPr="006D5400" w14:paraId="2AE0D00F" w14:textId="77777777">
      <w:pPr>
        <w:rPr>
          <w:szCs w:val="22"/>
        </w:rPr>
      </w:pPr>
    </w:p>
    <w:p w:rsidR="00313EF3" w:rsidRPr="006D5400" w:rsidP="0062716E" w14:paraId="0D9AA386" w14:textId="37459F67">
      <w:pPr>
        <w:spacing w:after="120"/>
        <w:rPr>
          <w:szCs w:val="22"/>
        </w:rPr>
      </w:pPr>
      <w:r w:rsidRPr="006D5400">
        <w:rPr>
          <w:szCs w:val="22"/>
        </w:rPr>
        <w:t xml:space="preserve">By the </w:t>
      </w:r>
      <w:r w:rsidR="000844C5">
        <w:rPr>
          <w:szCs w:val="22"/>
        </w:rPr>
        <w:t xml:space="preserve">Acting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CE7A1D" w:rsidP="00CE7A1D" w14:paraId="007FF784" w14:textId="5977047F">
      <w:pPr>
        <w:numPr>
          <w:ilvl w:val="0"/>
          <w:numId w:val="5"/>
        </w:numPr>
        <w:tabs>
          <w:tab w:val="num" w:pos="0"/>
        </w:tabs>
        <w:snapToGrid w:val="0"/>
        <w:spacing w:after="120"/>
        <w:ind w:left="0" w:firstLine="720"/>
        <w:jc w:val="left"/>
      </w:pPr>
      <w:r w:rsidRPr="006D5400">
        <w:rPr>
          <w:szCs w:val="22"/>
        </w:rPr>
        <w:t xml:space="preserve">In this Order, we consider </w:t>
      </w:r>
      <w:r w:rsidR="00DE7276">
        <w:rPr>
          <w:szCs w:val="22"/>
        </w:rPr>
        <w:t>a</w:t>
      </w:r>
      <w:r w:rsidRPr="006D5400">
        <w:rPr>
          <w:szCs w:val="22"/>
        </w:rPr>
        <w:t xml:space="preserve"> complaint alleging that</w:t>
      </w:r>
      <w:r w:rsidR="00A01035">
        <w:rPr>
          <w:szCs w:val="22"/>
        </w:rPr>
        <w:t xml:space="preserve"> Clear Rate</w:t>
      </w:r>
      <w:r w:rsidR="009C3ADD">
        <w:rPr>
          <w:szCs w:val="22"/>
        </w:rPr>
        <w:t xml:space="preserve"> Communications</w:t>
      </w:r>
      <w:r w:rsidR="000844C5">
        <w:rPr>
          <w:szCs w:val="22"/>
        </w:rPr>
        <w:t>, Inc.</w:t>
      </w:r>
      <w:r w:rsidR="009C3ADD">
        <w:rPr>
          <w:szCs w:val="22"/>
        </w:rPr>
        <w:t xml:space="preserve"> </w:t>
      </w:r>
      <w:r w:rsidRPr="006D5400" w:rsidR="001204B1">
        <w:rPr>
          <w:szCs w:val="22"/>
        </w:rPr>
        <w:t>(</w:t>
      </w:r>
      <w:r w:rsidR="00A01035">
        <w:rPr>
          <w:szCs w:val="22"/>
        </w:rPr>
        <w:t>C</w:t>
      </w:r>
      <w:r w:rsidR="00C974F6">
        <w:rPr>
          <w:szCs w:val="22"/>
        </w:rPr>
        <w:t>lear Rate</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t>
      </w:r>
      <w:r w:rsidR="00CE7A1D">
        <w:t xml:space="preserve">We find that </w:t>
      </w:r>
      <w:r w:rsidR="00A01035">
        <w:t>C</w:t>
      </w:r>
      <w:r w:rsidR="00C974F6">
        <w:t>lear Rate</w:t>
      </w:r>
      <w:r w:rsidR="00CE7A1D">
        <w:t xml:space="preserve"> has responded to the Complainant’s complaint and has taken action to resolve the complaint.</w:t>
      </w:r>
    </w:p>
    <w:p w:rsidR="007546EE" w:rsidRPr="006D5400" w:rsidP="0062716E" w14:paraId="48474065" w14:textId="1F3CA124">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C974F6">
        <w:rPr>
          <w:szCs w:val="22"/>
        </w:rPr>
        <w:t xml:space="preserve">also </w:t>
      </w:r>
      <w:r w:rsidRPr="006D5400" w:rsidR="00775878">
        <w:rPr>
          <w:szCs w:val="22"/>
        </w:rPr>
        <w:t>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B874BA" w14:paraId="707E3A6E" w14:textId="6AE02489">
      <w:pPr>
        <w:widowControl/>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w:t>
      </w:r>
      <w:r w:rsidR="00E906F8">
        <w:rPr>
          <w:szCs w:val="22"/>
        </w:rPr>
        <w:t>her client’s</w:t>
      </w:r>
      <w:r w:rsidRPr="006D5400" w:rsidR="00D07B67">
        <w:rPr>
          <w:szCs w:val="22"/>
        </w:rPr>
        <w:t xml:space="preserve"> </w:t>
      </w:r>
      <w:r w:rsidRPr="006D5400">
        <w:rPr>
          <w:szCs w:val="22"/>
        </w:rPr>
        <w:t>telecommunications service provider had been changed withou</w:t>
      </w:r>
      <w:r w:rsidR="00E906F8">
        <w:rPr>
          <w:szCs w:val="22"/>
        </w:rPr>
        <w:t xml:space="preserve">t </w:t>
      </w:r>
      <w:r w:rsidRPr="006D5400">
        <w:rPr>
          <w:szCs w:val="22"/>
        </w:rPr>
        <w:t>authorization.</w:t>
      </w:r>
      <w:r>
        <w:rPr>
          <w:rStyle w:val="FootnoteReference"/>
          <w:szCs w:val="22"/>
        </w:rPr>
        <w:footnoteReference w:id="8"/>
      </w:r>
      <w:r w:rsidRPr="006D5400">
        <w:rPr>
          <w:szCs w:val="22"/>
        </w:rPr>
        <w:t xml:space="preserve">  </w:t>
      </w:r>
      <w:r w:rsidR="00664DC0">
        <w:rPr>
          <w:szCs w:val="22"/>
        </w:rPr>
        <w:t>In the complaint, Complainant</w:t>
      </w:r>
      <w:r w:rsidR="001A1A7A">
        <w:rPr>
          <w:szCs w:val="22"/>
        </w:rPr>
        <w:t xml:space="preserve"> stated </w:t>
      </w:r>
      <w:r w:rsidRPr="001A1A7A" w:rsidR="001A1A7A">
        <w:rPr>
          <w:szCs w:val="22"/>
        </w:rPr>
        <w:t xml:space="preserve">that </w:t>
      </w:r>
      <w:r w:rsidRPr="001A1A7A" w:rsidR="001A1A7A">
        <w:rPr>
          <w:szCs w:val="22"/>
          <w:shd w:val="clear" w:color="auto" w:fill="FFFFFF"/>
        </w:rPr>
        <w:t xml:space="preserve">Clear Rate </w:t>
      </w:r>
      <w:r w:rsidR="001A1A7A">
        <w:rPr>
          <w:szCs w:val="22"/>
          <w:shd w:val="clear" w:color="auto" w:fill="FFFFFF"/>
        </w:rPr>
        <w:t xml:space="preserve">contacted her client, </w:t>
      </w:r>
      <w:r w:rsidRPr="001A1A7A" w:rsidR="001A1A7A">
        <w:rPr>
          <w:szCs w:val="22"/>
          <w:shd w:val="clear" w:color="auto" w:fill="FFFFFF"/>
        </w:rPr>
        <w:t xml:space="preserve">a </w:t>
      </w:r>
      <w:r w:rsidR="001A1A7A">
        <w:rPr>
          <w:szCs w:val="22"/>
          <w:shd w:val="clear" w:color="auto" w:fill="FFFFFF"/>
        </w:rPr>
        <w:t>“d</w:t>
      </w:r>
      <w:r w:rsidRPr="001A1A7A" w:rsidR="001A1A7A">
        <w:rPr>
          <w:szCs w:val="22"/>
          <w:shd w:val="clear" w:color="auto" w:fill="FFFFFF"/>
        </w:rPr>
        <w:t xml:space="preserve">evelopmentally </w:t>
      </w:r>
      <w:r w:rsidR="001A1A7A">
        <w:rPr>
          <w:szCs w:val="22"/>
          <w:shd w:val="clear" w:color="auto" w:fill="FFFFFF"/>
        </w:rPr>
        <w:t>d</w:t>
      </w:r>
      <w:r w:rsidRPr="001A1A7A" w:rsidR="001A1A7A">
        <w:rPr>
          <w:szCs w:val="22"/>
          <w:shd w:val="clear" w:color="auto" w:fill="FFFFFF"/>
        </w:rPr>
        <w:t>isabled adult</w:t>
      </w:r>
      <w:r w:rsidR="001A1A7A">
        <w:rPr>
          <w:szCs w:val="22"/>
          <w:shd w:val="clear" w:color="auto" w:fill="FFFFFF"/>
        </w:rPr>
        <w:t>” and resident of a</w:t>
      </w:r>
      <w:r w:rsidR="00403D73">
        <w:rPr>
          <w:szCs w:val="22"/>
          <w:shd w:val="clear" w:color="auto" w:fill="FFFFFF"/>
        </w:rPr>
        <w:t xml:space="preserve">n </w:t>
      </w:r>
      <w:r w:rsidR="001A1A7A">
        <w:rPr>
          <w:szCs w:val="22"/>
          <w:shd w:val="clear" w:color="auto" w:fill="FFFFFF"/>
        </w:rPr>
        <w:t>assisted living facility</w:t>
      </w:r>
      <w:r w:rsidR="00B874BA">
        <w:rPr>
          <w:szCs w:val="22"/>
          <w:shd w:val="clear" w:color="auto" w:fill="FFFFFF"/>
        </w:rPr>
        <w:t>,</w:t>
      </w:r>
      <w:r w:rsidR="001A1A7A">
        <w:rPr>
          <w:szCs w:val="22"/>
          <w:shd w:val="clear" w:color="auto" w:fill="FFFFFF"/>
        </w:rPr>
        <w:t xml:space="preserve"> </w:t>
      </w:r>
      <w:r w:rsidR="00605C8A">
        <w:rPr>
          <w:szCs w:val="22"/>
          <w:shd w:val="clear" w:color="auto" w:fill="FFFFFF"/>
        </w:rPr>
        <w:t xml:space="preserve">in order </w:t>
      </w:r>
      <w:r w:rsidR="001A1A7A">
        <w:rPr>
          <w:szCs w:val="22"/>
          <w:shd w:val="clear" w:color="auto" w:fill="FFFFFF"/>
        </w:rPr>
        <w:t xml:space="preserve">to switch his carrier to Clear Rate.  </w:t>
      </w:r>
      <w:r w:rsidR="003A20A5">
        <w:rPr>
          <w:szCs w:val="22"/>
          <w:shd w:val="clear" w:color="auto" w:fill="FFFFFF"/>
        </w:rPr>
        <w:t>Complainant said that her client has a legal guardian, is not responsible for the telephone bill, and “did not have the legal ability to change pho</w:t>
      </w:r>
      <w:r w:rsidR="00F23128">
        <w:rPr>
          <w:szCs w:val="22"/>
          <w:shd w:val="clear" w:color="auto" w:fill="FFFFFF"/>
        </w:rPr>
        <w:t>ne</w:t>
      </w:r>
      <w:r w:rsidR="003A20A5">
        <w:rPr>
          <w:szCs w:val="22"/>
          <w:shd w:val="clear" w:color="auto" w:fill="FFFFFF"/>
        </w:rPr>
        <w:t xml:space="preserve"> companies.”</w:t>
      </w:r>
      <w:r>
        <w:rPr>
          <w:rStyle w:val="FootnoteReference"/>
          <w:szCs w:val="22"/>
          <w:shd w:val="clear" w:color="auto" w:fill="FFFFFF"/>
        </w:rPr>
        <w:footnoteReference w:id="9"/>
      </w:r>
      <w:r w:rsidR="003A20A5">
        <w:rPr>
          <w:szCs w:val="22"/>
          <w:shd w:val="clear" w:color="auto" w:fill="FFFFFF"/>
        </w:rPr>
        <w:t xml:space="preserve">  </w:t>
      </w:r>
      <w:r w:rsidR="001A1A7A">
        <w:rPr>
          <w:szCs w:val="22"/>
          <w:shd w:val="clear" w:color="auto" w:fill="FFFFFF"/>
        </w:rPr>
        <w:t xml:space="preserve">Complainant </w:t>
      </w:r>
      <w:r w:rsidR="006116DC">
        <w:rPr>
          <w:szCs w:val="22"/>
          <w:shd w:val="clear" w:color="auto" w:fill="FFFFFF"/>
        </w:rPr>
        <w:t xml:space="preserve">also </w:t>
      </w:r>
      <w:r w:rsidR="001A1A7A">
        <w:rPr>
          <w:szCs w:val="22"/>
          <w:shd w:val="clear" w:color="auto" w:fill="FFFFFF"/>
        </w:rPr>
        <w:t>asserted that Clear Rate “</w:t>
      </w:r>
      <w:r w:rsidRPr="001A1A7A" w:rsidR="001A1A7A">
        <w:rPr>
          <w:szCs w:val="22"/>
          <w:shd w:val="clear" w:color="auto" w:fill="FFFFFF"/>
        </w:rPr>
        <w:t>led my client on by continually telling him to say yes</w:t>
      </w:r>
      <w:r w:rsidR="003A20A5">
        <w:rPr>
          <w:szCs w:val="22"/>
          <w:shd w:val="clear" w:color="auto" w:fill="FFFFFF"/>
        </w:rPr>
        <w:t>”</w:t>
      </w:r>
      <w:r w:rsidR="001A1A7A">
        <w:rPr>
          <w:szCs w:val="22"/>
          <w:shd w:val="clear" w:color="auto" w:fill="FFFFFF"/>
        </w:rPr>
        <w:t xml:space="preserve"> </w:t>
      </w:r>
      <w:r w:rsidR="00F23128">
        <w:rPr>
          <w:szCs w:val="22"/>
          <w:shd w:val="clear" w:color="auto" w:fill="FFFFFF"/>
        </w:rPr>
        <w:t xml:space="preserve">on the verification call </w:t>
      </w:r>
      <w:r w:rsidRPr="001A1A7A" w:rsidR="001A1A7A">
        <w:rPr>
          <w:szCs w:val="22"/>
          <w:shd w:val="clear" w:color="auto" w:fill="FFFFFF"/>
        </w:rPr>
        <w:t xml:space="preserve">even </w:t>
      </w:r>
      <w:r w:rsidR="003A20A5">
        <w:rPr>
          <w:szCs w:val="22"/>
          <w:shd w:val="clear" w:color="auto" w:fill="FFFFFF"/>
        </w:rPr>
        <w:t>after he</w:t>
      </w:r>
      <w:r w:rsidR="00724294">
        <w:rPr>
          <w:szCs w:val="22"/>
          <w:shd w:val="clear" w:color="auto" w:fill="FFFFFF"/>
        </w:rPr>
        <w:t xml:space="preserve"> </w:t>
      </w:r>
      <w:r w:rsidR="003A20A5">
        <w:rPr>
          <w:szCs w:val="22"/>
          <w:shd w:val="clear" w:color="auto" w:fill="FFFFFF"/>
        </w:rPr>
        <w:t>had expressed concerns about the questions asked of him</w:t>
      </w:r>
      <w:r w:rsidR="00F23128">
        <w:rPr>
          <w:szCs w:val="22"/>
          <w:shd w:val="clear" w:color="auto" w:fill="FFFFFF"/>
        </w:rPr>
        <w:t>.</w:t>
      </w:r>
      <w:r>
        <w:rPr>
          <w:rStyle w:val="FootnoteReference"/>
          <w:szCs w:val="22"/>
        </w:rPr>
        <w:footnoteReference w:id="10"/>
      </w:r>
      <w:r w:rsidR="008C54AE">
        <w:rPr>
          <w:szCs w:val="22"/>
        </w:rPr>
        <w:t xml:space="preserve"> </w:t>
      </w:r>
      <w:r w:rsidR="007811EF">
        <w:rPr>
          <w:szCs w:val="22"/>
        </w:rPr>
        <w:t xml:space="preserve"> </w:t>
      </w:r>
    </w:p>
    <w:p w:rsidR="00F208BD" w:rsidRPr="00F208BD" w:rsidP="00242581" w14:paraId="34DE424C" w14:textId="15C25805">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A01035">
        <w:t>C</w:t>
      </w:r>
      <w:r w:rsidR="00C974F6">
        <w:t>lear Rate</w:t>
      </w:r>
      <w:r>
        <w:t xml:space="preserve"> of the complaint</w:t>
      </w:r>
      <w:r w:rsidR="00753932">
        <w:t>.</w:t>
      </w:r>
      <w:r>
        <w:rPr>
          <w:rStyle w:val="FootnoteReference"/>
        </w:rPr>
        <w:footnoteReference w:id="11"/>
      </w:r>
      <w:r w:rsidR="00C61A5E">
        <w:t xml:space="preserve">  </w:t>
      </w:r>
      <w:r w:rsidR="00A01035">
        <w:t>C</w:t>
      </w:r>
      <w:r w:rsidR="00C974F6">
        <w:t>lear Rate</w:t>
      </w:r>
      <w:r w:rsidR="00C61A5E">
        <w:t xml:space="preserve"> responded to the complaint, stating that </w:t>
      </w:r>
      <w:r w:rsidR="005E6EB3">
        <w:t>the consumer</w:t>
      </w:r>
      <w:r w:rsidR="00E906F8">
        <w:t xml:space="preserve"> agreed to switch carriers to Clear Rate and that </w:t>
      </w:r>
      <w:r w:rsidR="00C61A5E">
        <w:t xml:space="preserve">authorization was received and confirmed </w:t>
      </w:r>
      <w:r w:rsidR="00242581">
        <w:t>through</w:t>
      </w:r>
      <w:r w:rsidR="00C61A5E">
        <w:t xml:space="preserve"> a </w:t>
      </w:r>
      <w:r>
        <w:t>third-party verification</w:t>
      </w:r>
      <w:r w:rsidR="00C61A5E">
        <w:t xml:space="preserve"> </w:t>
      </w:r>
      <w:r>
        <w:t>recording</w:t>
      </w:r>
      <w:r w:rsidR="00E906F8">
        <w:t xml:space="preserve"> (TPV)</w:t>
      </w:r>
      <w:r w:rsidR="00F23128">
        <w:t>.</w:t>
      </w:r>
      <w:r>
        <w:rPr>
          <w:rStyle w:val="FootnoteReference"/>
        </w:rPr>
        <w:footnoteReference w:id="12"/>
      </w:r>
      <w:r w:rsidR="00C61A5E">
        <w:t xml:space="preserve">  </w:t>
      </w:r>
      <w:r w:rsidR="00F23128">
        <w:t>Clear Rate also s</w:t>
      </w:r>
      <w:r w:rsidR="00EA55A6">
        <w:t>tated</w:t>
      </w:r>
      <w:r w:rsidR="00F23128">
        <w:t xml:space="preserve"> that </w:t>
      </w:r>
      <w:r w:rsidR="0027480A">
        <w:t xml:space="preserve">at the time of the TPV, it had no knowledge of the consumer’s </w:t>
      </w:r>
      <w:r w:rsidR="00335F7E">
        <w:t>“</w:t>
      </w:r>
      <w:r w:rsidR="0027480A">
        <w:t>cognitive abilities or legal status</w:t>
      </w:r>
      <w:r w:rsidR="00605C8A">
        <w:t>,</w:t>
      </w:r>
      <w:r w:rsidR="00335F7E">
        <w:t>”</w:t>
      </w:r>
      <w:r w:rsidR="00605C8A">
        <w:t xml:space="preserve"> but that </w:t>
      </w:r>
      <w:r w:rsidR="00F23128">
        <w:t xml:space="preserve">the </w:t>
      </w:r>
      <w:r w:rsidR="00EA55A6">
        <w:t>summary</w:t>
      </w:r>
      <w:r w:rsidR="00F23128">
        <w:t xml:space="preserve"> of events in the complaint was “accurate</w:t>
      </w:r>
      <w:r w:rsidR="00605C8A">
        <w:t>.”</w:t>
      </w:r>
      <w:r>
        <w:rPr>
          <w:rStyle w:val="FootnoteReference"/>
        </w:rPr>
        <w:footnoteReference w:id="13"/>
      </w:r>
      <w:r w:rsidR="00605C8A">
        <w:t xml:space="preserve">  Clear Rate </w:t>
      </w:r>
      <w:r w:rsidR="005D2C0E">
        <w:t xml:space="preserve">said it </w:t>
      </w:r>
      <w:r w:rsidR="00605C8A">
        <w:t xml:space="preserve">therefore </w:t>
      </w:r>
      <w:r w:rsidR="003D5974">
        <w:t>took action to</w:t>
      </w:r>
      <w:r w:rsidR="00F23128">
        <w:t xml:space="preserve"> </w:t>
      </w:r>
      <w:r w:rsidR="00EA55A6">
        <w:t xml:space="preserve">assist </w:t>
      </w:r>
      <w:r w:rsidR="003D5974">
        <w:t xml:space="preserve">the consumer with returning to his </w:t>
      </w:r>
      <w:r w:rsidR="00F23128">
        <w:t xml:space="preserve">preferred carrier and </w:t>
      </w:r>
      <w:r w:rsidR="006116DC">
        <w:t>to</w:t>
      </w:r>
      <w:r w:rsidR="003D5974">
        <w:t xml:space="preserve"> cancel all charges</w:t>
      </w:r>
      <w:r w:rsidR="00F23128">
        <w:t>.</w:t>
      </w:r>
      <w:r>
        <w:rPr>
          <w:rStyle w:val="FootnoteReference"/>
        </w:rPr>
        <w:footnoteReference w:id="14"/>
      </w:r>
    </w:p>
    <w:p w:rsidR="002C332E" w:rsidRPr="00F208BD" w:rsidP="00F208BD" w14:paraId="1F1EB302" w14:textId="792AB02E">
      <w:pPr>
        <w:numPr>
          <w:ilvl w:val="0"/>
          <w:numId w:val="4"/>
        </w:numPr>
        <w:tabs>
          <w:tab w:val="clear" w:pos="1440"/>
        </w:tabs>
        <w:spacing w:after="120"/>
        <w:ind w:left="0" w:firstLine="720"/>
        <w:jc w:val="left"/>
        <w:rPr>
          <w:szCs w:val="22"/>
        </w:rPr>
      </w:pPr>
      <w:r>
        <w:t xml:space="preserve">Based on the information provided by </w:t>
      </w:r>
      <w:r w:rsidR="00A01035">
        <w:t>C</w:t>
      </w:r>
      <w:r w:rsidR="00920094">
        <w:t>lear Rate</w:t>
      </w:r>
      <w:r>
        <w:t xml:space="preserve">, it appears that </w:t>
      </w:r>
      <w:r w:rsidR="00861EBA">
        <w:t>Clear Rate</w:t>
      </w:r>
      <w:r>
        <w:t xml:space="preserve"> has fully absolved </w:t>
      </w:r>
      <w:r w:rsidR="00325A8E">
        <w:t>the consumer</w:t>
      </w:r>
      <w:r>
        <w:t xml:space="preserve"> of all </w:t>
      </w:r>
      <w:r w:rsidR="006E5378">
        <w:t xml:space="preserve">unauthorized </w:t>
      </w:r>
      <w:r>
        <w:t xml:space="preserve">charges assessed by </w:t>
      </w:r>
      <w:r w:rsidR="00A01035">
        <w:t>C</w:t>
      </w:r>
      <w:r w:rsidR="00861EBA">
        <w:t>lear Rate</w:t>
      </w:r>
      <w:r>
        <w:t xml:space="preserve"> in a manner consistent with the Commission’s liability rules.  </w:t>
      </w:r>
      <w:r w:rsidR="00920094">
        <w:t xml:space="preserve">Complainant also confirmed for Division staff that </w:t>
      </w:r>
      <w:r w:rsidR="003A20A5">
        <w:t>her client</w:t>
      </w:r>
      <w:r w:rsidR="00920094">
        <w:t xml:space="preserve"> was</w:t>
      </w:r>
      <w:r w:rsidR="006E5378">
        <w:t xml:space="preserve"> able to</w:t>
      </w:r>
      <w:r w:rsidR="00920094">
        <w:t xml:space="preserve"> return to his preferred carrier and had not paid </w:t>
      </w:r>
      <w:r w:rsidR="006E5378">
        <w:t xml:space="preserve">anything to </w:t>
      </w:r>
      <w:r w:rsidR="00920094">
        <w:t xml:space="preserve">Clear Rate for the unauthorized service.  </w:t>
      </w:r>
      <w:r>
        <w:t>We therefore find that the complaint referenced herein has been resolved.</w:t>
      </w:r>
      <w:r>
        <w:rPr>
          <w:rStyle w:val="FootnoteReference"/>
        </w:rPr>
        <w:footnoteReference w:id="15"/>
      </w:r>
      <w:r w:rsidR="00242581">
        <w:rPr>
          <w:szCs w:val="24"/>
        </w:rPr>
        <w:t xml:space="preserve"> </w:t>
      </w:r>
      <w:r w:rsidR="00605C8A">
        <w:rPr>
          <w:szCs w:val="24"/>
        </w:rPr>
        <w:t xml:space="preserve"> We caution carriers</w:t>
      </w:r>
      <w:r w:rsidR="004E1A28">
        <w:rPr>
          <w:szCs w:val="24"/>
        </w:rPr>
        <w:t>, however,</w:t>
      </w:r>
      <w:r w:rsidR="00605C8A">
        <w:rPr>
          <w:szCs w:val="24"/>
        </w:rPr>
        <w:t xml:space="preserve"> that the Commission’s rules require not simply that a </w:t>
      </w:r>
      <w:r w:rsidR="00712C36">
        <w:rPr>
          <w:szCs w:val="24"/>
        </w:rPr>
        <w:t xml:space="preserve">carrier obtain affirmative answers </w:t>
      </w:r>
      <w:r w:rsidR="00605C8A">
        <w:rPr>
          <w:szCs w:val="24"/>
        </w:rPr>
        <w:t xml:space="preserve">to questions on </w:t>
      </w:r>
      <w:r w:rsidR="007D4126">
        <w:rPr>
          <w:szCs w:val="24"/>
        </w:rPr>
        <w:t>a</w:t>
      </w:r>
      <w:r w:rsidR="00605C8A">
        <w:rPr>
          <w:szCs w:val="24"/>
        </w:rPr>
        <w:t xml:space="preserve"> TPV but that </w:t>
      </w:r>
      <w:r w:rsidR="00325A8E">
        <w:rPr>
          <w:szCs w:val="24"/>
        </w:rPr>
        <w:t xml:space="preserve">before making a carrier switch, </w:t>
      </w:r>
      <w:r w:rsidR="00605C8A">
        <w:rPr>
          <w:szCs w:val="24"/>
        </w:rPr>
        <w:t>the carrier</w:t>
      </w:r>
      <w:r w:rsidR="007D4126">
        <w:rPr>
          <w:szCs w:val="24"/>
        </w:rPr>
        <w:t xml:space="preserve"> </w:t>
      </w:r>
      <w:r w:rsidR="00480EE7">
        <w:t>confirms that the consumer has the authority to change carriers, wishes to change carriers, and understands that he or she is authorizing a carrier change.</w:t>
      </w:r>
      <w:r>
        <w:rPr>
          <w:rStyle w:val="FootnoteReference"/>
        </w:rPr>
        <w:footnoteReference w:id="16"/>
      </w:r>
      <w:r w:rsidR="00480EE7">
        <w:rPr>
          <w:szCs w:val="22"/>
        </w:rPr>
        <w:t xml:space="preserve"> </w:t>
      </w:r>
      <w:r w:rsidR="00605C8A">
        <w:rPr>
          <w:szCs w:val="24"/>
        </w:rPr>
        <w:t xml:space="preserve"> </w:t>
      </w:r>
    </w:p>
    <w:p w:rsidR="00545B00" w:rsidP="00E90AD3" w14:paraId="77C60DB8" w14:textId="7799668C">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01035">
        <w:rPr>
          <w:szCs w:val="22"/>
        </w:rPr>
        <w:t>C</w:t>
      </w:r>
      <w:r w:rsidR="00861EBA">
        <w:rPr>
          <w:szCs w:val="22"/>
        </w:rPr>
        <w:t>lear Rate</w:t>
      </w:r>
      <w:r w:rsidR="005D03A5">
        <w:rPr>
          <w:szCs w:val="22"/>
        </w:rPr>
        <w:t xml:space="preserve"> </w:t>
      </w:r>
      <w:r w:rsidR="009C3ADD">
        <w:rPr>
          <w:szCs w:val="22"/>
        </w:rPr>
        <w:t>Communications</w:t>
      </w:r>
      <w:r w:rsidR="0009144D">
        <w:rPr>
          <w:szCs w:val="22"/>
        </w:rPr>
        <w:t>, Inc.</w:t>
      </w:r>
      <w:r w:rsidRPr="006D5400" w:rsidR="00E84E6A">
        <w:rPr>
          <w:szCs w:val="22"/>
        </w:rPr>
        <w:t xml:space="preserve"> </w:t>
      </w:r>
      <w:r w:rsidRPr="006D5400" w:rsidR="002137D1">
        <w:rPr>
          <w:szCs w:val="22"/>
        </w:rPr>
        <w:t>IS</w:t>
      </w:r>
      <w:r w:rsidRPr="006D5400">
        <w:rPr>
          <w:szCs w:val="22"/>
        </w:rPr>
        <w:t xml:space="preserve"> </w:t>
      </w:r>
      <w:r w:rsidR="00F208BD">
        <w:rPr>
          <w:szCs w:val="22"/>
        </w:rPr>
        <w:t>RESOLVED</w:t>
      </w:r>
      <w:r w:rsidRPr="006D5400">
        <w:rPr>
          <w:szCs w:val="22"/>
        </w:rPr>
        <w:t>.</w:t>
      </w:r>
    </w:p>
    <w:p w:rsidR="00454DF3" w:rsidRPr="00160AFE" w:rsidP="00545B00" w14:paraId="51E577AD" w14:textId="77777777">
      <w:pPr>
        <w:widowControl/>
        <w:spacing w:after="120"/>
        <w:jc w:val="left"/>
        <w:rPr>
          <w:szCs w:val="22"/>
        </w:rPr>
      </w:pPr>
      <w:r>
        <w:rPr>
          <w:szCs w:val="22"/>
        </w:rPr>
        <w:br w:type="page"/>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6BCA87FC">
      <w:pPr>
        <w:ind w:left="2880" w:right="270" w:firstLine="1440"/>
        <w:rPr>
          <w:szCs w:val="22"/>
        </w:rPr>
      </w:pPr>
      <w:r>
        <w:rPr>
          <w:szCs w:val="22"/>
        </w:rPr>
        <w:t>Kristi Thornton</w:t>
      </w:r>
    </w:p>
    <w:p w:rsidR="00EF5ABE" w:rsidP="005264A8" w14:paraId="676404B1" w14:textId="3356565A">
      <w:pPr>
        <w:ind w:left="2880" w:right="270" w:firstLine="1440"/>
        <w:rPr>
          <w:szCs w:val="22"/>
        </w:rPr>
      </w:pPr>
      <w:r>
        <w:rPr>
          <w:szCs w:val="22"/>
        </w:rPr>
        <w:t xml:space="preserve">Acting </w:t>
      </w: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8A2" w14:paraId="7CBB6932" w14:textId="77777777">
      <w:r>
        <w:separator/>
      </w:r>
    </w:p>
  </w:footnote>
  <w:footnote w:type="continuationSeparator" w:id="1">
    <w:p w:rsidR="00C358A2" w14:paraId="20806C96" w14:textId="77777777">
      <w:pPr>
        <w:rPr>
          <w:sz w:val="20"/>
        </w:rPr>
      </w:pPr>
      <w:r>
        <w:rPr>
          <w:sz w:val="20"/>
        </w:rPr>
        <w:t xml:space="preserve">(Continued from previous page)  </w:t>
      </w:r>
      <w:r>
        <w:rPr>
          <w:sz w:val="20"/>
        </w:rPr>
        <w:separator/>
      </w:r>
    </w:p>
  </w:footnote>
  <w:footnote w:type="continuationNotice" w:id="2">
    <w:p w:rsidR="00C358A2" w:rsidP="006D5400" w14:paraId="1D0F0907" w14:textId="77777777">
      <w:pPr>
        <w:jc w:val="right"/>
        <w:rPr>
          <w:sz w:val="20"/>
        </w:rPr>
      </w:pPr>
      <w:r>
        <w:rPr>
          <w:sz w:val="20"/>
        </w:rPr>
        <w:t>(continued…)</w:t>
      </w:r>
    </w:p>
  </w:footnote>
  <w:footnote w:id="3">
    <w:p w:rsidR="00DE7276" w:rsidP="00B874BA" w14:paraId="0BF05539" w14:textId="022C0B90">
      <w:pPr>
        <w:pStyle w:val="FootnoteText"/>
        <w:spacing w:after="120"/>
        <w:ind w:right="0"/>
      </w:pPr>
      <w:r>
        <w:rPr>
          <w:rStyle w:val="FootnoteReference"/>
        </w:rPr>
        <w:footnoteRef/>
      </w:r>
      <w:r>
        <w:t xml:space="preserve"> </w:t>
      </w:r>
      <w:r w:rsidRPr="00140317">
        <w:rPr>
          <w:i/>
        </w:rPr>
        <w:t xml:space="preserve">See </w:t>
      </w:r>
      <w:r>
        <w:t xml:space="preserve">Informal Complaint No. </w:t>
      </w:r>
      <w:r w:rsidR="00A01035">
        <w:t>4982560</w:t>
      </w:r>
      <w:r>
        <w:t xml:space="preserve"> (filed </w:t>
      </w:r>
      <w:r w:rsidR="00A01035">
        <w:t>Aug</w:t>
      </w:r>
      <w:r w:rsidR="00CE7A1D">
        <w:t xml:space="preserve">. </w:t>
      </w:r>
      <w:r w:rsidR="00A01035">
        <w:t>24</w:t>
      </w:r>
      <w:r w:rsidR="00DD34BB">
        <w:t>, 20</w:t>
      </w:r>
      <w:r w:rsidR="00A01035">
        <w:t>21</w:t>
      </w:r>
      <w:r>
        <w:t xml:space="preserve">); </w:t>
      </w:r>
      <w:r w:rsidRPr="00DE7276">
        <w:rPr>
          <w:i/>
        </w:rPr>
        <w:t>see also</w:t>
      </w:r>
      <w:r>
        <w:t xml:space="preserve"> 47 CFR §§ 64.1100 – 64.1190.</w:t>
      </w:r>
    </w:p>
  </w:footnote>
  <w:footnote w:id="4">
    <w:p w:rsidR="00EC4494" w:rsidP="00B874BA" w14:paraId="1E02166B" w14:textId="77777777">
      <w:pPr>
        <w:pStyle w:val="FootnoteText"/>
        <w:spacing w:after="120"/>
        <w:ind w:right="0"/>
      </w:pPr>
      <w:r>
        <w:rPr>
          <w:rStyle w:val="FootnoteReference"/>
        </w:rPr>
        <w:footnoteRef/>
      </w:r>
      <w:r>
        <w:t xml:space="preserve"> 47 U.S.C. § 258(a).</w:t>
      </w:r>
    </w:p>
  </w:footnote>
  <w:footnote w:id="5">
    <w:p w:rsidR="00EC4494" w:rsidP="00B874BA" w14:paraId="5122CEE0" w14:textId="77777777">
      <w:pPr>
        <w:pStyle w:val="FootnoteText"/>
        <w:tabs>
          <w:tab w:val="left" w:pos="0"/>
          <w:tab w:val="clear" w:pos="720"/>
        </w:tabs>
        <w:spacing w:after="120"/>
        <w:ind w:right="0"/>
      </w:pPr>
      <w:r>
        <w:rPr>
          <w:rStyle w:val="FootnoteReference"/>
        </w:rPr>
        <w:footnoteRef/>
      </w:r>
      <w:r>
        <w:t xml:space="preserve"> </w:t>
      </w:r>
      <w:r>
        <w:rPr>
          <w:i/>
        </w:rPr>
        <w:t>See</w:t>
      </w:r>
      <w:r>
        <w:t xml:space="preserve"> 47 CFR § 64.1120.</w:t>
      </w:r>
    </w:p>
  </w:footnote>
  <w:footnote w:id="6">
    <w:p w:rsidR="00EC4494" w:rsidP="00B874BA" w14:paraId="3F675692" w14:textId="77777777">
      <w:pPr>
        <w:pStyle w:val="FootnoteText"/>
        <w:tabs>
          <w:tab w:val="left" w:pos="0"/>
          <w:tab w:val="clear" w:pos="720"/>
        </w:tabs>
        <w:spacing w:after="120"/>
        <w:ind w:right="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B874BA" w14:paraId="7A70E7CB" w14:textId="77777777">
      <w:pPr>
        <w:pStyle w:val="FootnoteText"/>
        <w:spacing w:after="120"/>
        <w:ind w:right="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B874BA" w14:paraId="58793EE5" w14:textId="6666B78C">
      <w:pPr>
        <w:pStyle w:val="FootnoteText"/>
        <w:spacing w:after="120"/>
        <w:ind w:right="0"/>
      </w:pPr>
      <w:r>
        <w:rPr>
          <w:rStyle w:val="FootnoteReference"/>
        </w:rPr>
        <w:footnoteRef/>
      </w:r>
      <w:r>
        <w:t xml:space="preserve"> </w:t>
      </w:r>
      <w:r w:rsidRPr="00664DC0">
        <w:rPr>
          <w:i/>
        </w:rPr>
        <w:t>See</w:t>
      </w:r>
      <w:r>
        <w:t xml:space="preserve"> Informal Complaint No. </w:t>
      </w:r>
      <w:r w:rsidR="000B3CB8">
        <w:t>4982560</w:t>
      </w:r>
      <w:r>
        <w:t>.</w:t>
      </w:r>
    </w:p>
  </w:footnote>
  <w:footnote w:id="9">
    <w:p w:rsidR="00B874BA" w:rsidP="00B874BA" w14:paraId="05081A85" w14:textId="1DB4C3B5">
      <w:pPr>
        <w:pStyle w:val="FootnoteText"/>
        <w:spacing w:after="120"/>
        <w:ind w:right="0"/>
      </w:pPr>
      <w:r>
        <w:rPr>
          <w:rStyle w:val="FootnoteReference"/>
        </w:rPr>
        <w:footnoteRef/>
      </w:r>
      <w:r>
        <w:t xml:space="preserve"> </w:t>
      </w:r>
      <w:r w:rsidRPr="00B874BA">
        <w:rPr>
          <w:i/>
          <w:iCs/>
        </w:rPr>
        <w:t>Id.</w:t>
      </w:r>
    </w:p>
  </w:footnote>
  <w:footnote w:id="10">
    <w:p w:rsidR="001A63BB" w:rsidP="00B874BA" w14:paraId="2A42E7EB" w14:textId="59564E42">
      <w:pPr>
        <w:pStyle w:val="FootnoteText"/>
        <w:spacing w:after="120"/>
        <w:ind w:right="0"/>
      </w:pPr>
      <w:r>
        <w:rPr>
          <w:rStyle w:val="FootnoteReference"/>
        </w:rPr>
        <w:footnoteRef/>
      </w:r>
      <w:r>
        <w:t xml:space="preserve"> </w:t>
      </w:r>
      <w:r w:rsidRPr="001A63BB">
        <w:rPr>
          <w:i/>
          <w:iCs/>
        </w:rPr>
        <w:t>Id</w:t>
      </w:r>
      <w:r>
        <w:t>.</w:t>
      </w:r>
    </w:p>
  </w:footnote>
  <w:footnote w:id="11">
    <w:p w:rsidR="00C335BA" w:rsidP="00B874BA" w14:paraId="042AA30C" w14:textId="7C8CE99F">
      <w:pPr>
        <w:pStyle w:val="FootnoteText"/>
        <w:spacing w:after="120"/>
        <w:ind w:right="0"/>
      </w:pPr>
      <w:r>
        <w:rPr>
          <w:rStyle w:val="FootnoteReference"/>
        </w:rPr>
        <w:footnoteRef/>
      </w:r>
      <w:r>
        <w:t xml:space="preserve"> </w:t>
      </w:r>
      <w:r w:rsidR="00225606">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B874BA" w14:paraId="72BDB1BD" w14:textId="0439390E">
      <w:pPr>
        <w:pStyle w:val="FootnoteText"/>
        <w:spacing w:after="120"/>
        <w:ind w:right="0"/>
      </w:pPr>
      <w:r>
        <w:rPr>
          <w:rStyle w:val="FootnoteReference"/>
        </w:rPr>
        <w:footnoteRef/>
      </w:r>
      <w:r>
        <w:t xml:space="preserve"> </w:t>
      </w:r>
      <w:r w:rsidRPr="005D03A5">
        <w:rPr>
          <w:i/>
        </w:rPr>
        <w:t>See</w:t>
      </w:r>
      <w:r>
        <w:t xml:space="preserve"> </w:t>
      </w:r>
      <w:r w:rsidR="00A01035">
        <w:t>C</w:t>
      </w:r>
      <w:r w:rsidR="003D5974">
        <w:t>lear Rate</w:t>
      </w:r>
      <w:r>
        <w:t xml:space="preserve"> Response to Informal Complaint No. </w:t>
      </w:r>
      <w:r w:rsidR="000B3CB8">
        <w:t>4982560</w:t>
      </w:r>
      <w:r>
        <w:rPr>
          <w:szCs w:val="22"/>
        </w:rPr>
        <w:t xml:space="preserve"> (filed </w:t>
      </w:r>
      <w:r w:rsidR="000B3CB8">
        <w:rPr>
          <w:szCs w:val="22"/>
        </w:rPr>
        <w:t>Sept</w:t>
      </w:r>
      <w:r w:rsidR="00CE7A1D">
        <w:rPr>
          <w:szCs w:val="22"/>
        </w:rPr>
        <w:t>. 2</w:t>
      </w:r>
      <w:r>
        <w:t>, 20</w:t>
      </w:r>
      <w:r w:rsidR="000B3CB8">
        <w:t>21</w:t>
      </w:r>
      <w:r>
        <w:t>).</w:t>
      </w:r>
    </w:p>
  </w:footnote>
  <w:footnote w:id="13">
    <w:p w:rsidR="00B874BA" w:rsidP="00B874BA" w14:paraId="4FEA3CAC" w14:textId="21FCF3D7">
      <w:pPr>
        <w:pStyle w:val="FootnoteText"/>
        <w:spacing w:after="120"/>
        <w:ind w:right="0"/>
      </w:pPr>
      <w:r>
        <w:rPr>
          <w:rStyle w:val="FootnoteReference"/>
        </w:rPr>
        <w:footnoteRef/>
      </w:r>
      <w:r>
        <w:t xml:space="preserve"> </w:t>
      </w:r>
      <w:r w:rsidRPr="00B874BA">
        <w:rPr>
          <w:i/>
          <w:iCs/>
        </w:rPr>
        <w:t>Id.</w:t>
      </w:r>
    </w:p>
  </w:footnote>
  <w:footnote w:id="14">
    <w:p w:rsidR="003D5974" w:rsidP="00B874BA" w14:paraId="370BEF0F" w14:textId="510C9AE5">
      <w:pPr>
        <w:pStyle w:val="FootnoteText"/>
        <w:spacing w:after="120"/>
        <w:ind w:right="0"/>
      </w:pPr>
      <w:r>
        <w:rPr>
          <w:rStyle w:val="FootnoteReference"/>
        </w:rPr>
        <w:footnoteRef/>
      </w:r>
      <w:r>
        <w:rPr>
          <w:i/>
        </w:rPr>
        <w:t xml:space="preserve"> See </w:t>
      </w:r>
      <w:r>
        <w:rPr>
          <w:iCs/>
        </w:rPr>
        <w:t>47 CFR</w:t>
      </w:r>
      <w:r>
        <w:t xml:space="preserve"> § 64.1160. Specifically, Clear Rate stated that </w:t>
      </w:r>
      <w:r w:rsidR="00605C8A">
        <w:t>the consumer’s account was now</w:t>
      </w:r>
      <w:r>
        <w:t xml:space="preserve"> </w:t>
      </w:r>
      <w:r w:rsidR="00605C8A">
        <w:t>“</w:t>
      </w:r>
      <w:r>
        <w:t xml:space="preserve">inactive with a balance of $0.00.”   </w:t>
      </w:r>
    </w:p>
  </w:footnote>
  <w:footnote w:id="15">
    <w:p w:rsidR="00F208BD" w:rsidP="00B874BA" w14:paraId="58533B7B" w14:textId="26EED65B">
      <w:pPr>
        <w:pStyle w:val="FootnoteText"/>
        <w:tabs>
          <w:tab w:val="left" w:pos="0"/>
        </w:tabs>
        <w:spacing w:after="120"/>
        <w:ind w:right="0"/>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footnote>
  <w:footnote w:id="16">
    <w:p w:rsidR="00480EE7" w:rsidP="00B874BA" w14:paraId="65327D40" w14:textId="73AA0EBF">
      <w:pPr>
        <w:pStyle w:val="FootnoteText"/>
        <w:spacing w:after="120"/>
        <w:ind w:right="0"/>
      </w:pPr>
      <w:r>
        <w:rPr>
          <w:rStyle w:val="FootnoteReference"/>
        </w:rPr>
        <w:footnoteRef/>
      </w:r>
      <w:r>
        <w:t xml:space="preserve"> </w:t>
      </w:r>
      <w:r>
        <w:rPr>
          <w:i/>
        </w:rPr>
        <w:t xml:space="preserve">See id. </w:t>
      </w:r>
      <w:r>
        <w:t>§ 64.1120(c)(3)(iii)</w:t>
      </w:r>
      <w:r w:rsidR="005E044B">
        <w:t xml:space="preserve">; </w:t>
      </w:r>
      <w:r w:rsidRPr="005E044B" w:rsidR="005E044B">
        <w:rPr>
          <w:i/>
          <w:iCs/>
        </w:rPr>
        <w:t>see also</w:t>
      </w:r>
      <w:r w:rsidR="005E044B">
        <w:t xml:space="preserve"> </w:t>
      </w:r>
      <w:r w:rsidRPr="002B607A" w:rsidR="005E044B">
        <w:rPr>
          <w:i/>
        </w:rPr>
        <w:t>Consumer Telcom, Inc.</w:t>
      </w:r>
      <w:r w:rsidR="005E044B">
        <w:t xml:space="preserve">, Notice of Apparent Liability for Forfeiture, 28 FCC </w:t>
      </w:r>
      <w:r w:rsidR="005E044B">
        <w:t>Rcd</w:t>
      </w:r>
      <w:r w:rsidR="005E044B">
        <w:t xml:space="preserve"> 17196, </w:t>
      </w:r>
      <w:r w:rsidR="006D1926">
        <w:t>17209-17210, paras. 29-31</w:t>
      </w:r>
      <w:r w:rsidR="005E044B">
        <w:t xml:space="preserve"> (2013) (proposing an upward adjustment to the </w:t>
      </w:r>
      <w:r w:rsidR="0099325E">
        <w:t xml:space="preserve">proposed </w:t>
      </w:r>
      <w:r w:rsidR="005E044B">
        <w:t xml:space="preserve">forfeiture amount because </w:t>
      </w:r>
      <w:r w:rsidR="005E044B">
        <w:rPr>
          <w:color w:val="000000"/>
          <w:szCs w:val="22"/>
        </w:rPr>
        <w:t>the carrier and its telemarketers and third party verifiers exploited elderly or disabled consumers’ obvious confusion and inability to understand the sales pitch they heard and understand the questions they were asked).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6037425A">
    <w:pPr>
      <w:tabs>
        <w:tab w:val="center" w:pos="4680"/>
        <w:tab w:val="right" w:pos="9360"/>
      </w:tabs>
      <w:suppressAutoHyphens/>
      <w:spacing w:line="227" w:lineRule="auto"/>
      <w:rPr>
        <w:b/>
        <w:spacing w:val="-2"/>
      </w:rPr>
    </w:pPr>
    <w:r>
      <w:rPr>
        <w:b/>
        <w:spacing w:val="-2"/>
      </w:rPr>
      <w:tab/>
    </w:r>
    <w:r>
      <w:rPr>
        <w:b/>
        <w:spacing w:val="-2"/>
      </w:rPr>
      <w:t>Federal Communications Commission</w:t>
    </w:r>
    <w:r>
      <w:rPr>
        <w:spacing w:val="-2"/>
      </w:rPr>
      <w:tab/>
    </w:r>
    <w:r>
      <w:rPr>
        <w:b/>
        <w:spacing w:val="-2"/>
      </w:rPr>
      <w:t xml:space="preserve">DA </w:t>
    </w:r>
    <w:r w:rsidR="00EF5ABE">
      <w:rPr>
        <w:b/>
        <w:spacing w:val="-2"/>
      </w:rPr>
      <w:t>2</w:t>
    </w:r>
    <w:r w:rsidR="0092788C">
      <w:rPr>
        <w:b/>
        <w:spacing w:val="-2"/>
      </w:rPr>
      <w:t>1</w:t>
    </w:r>
    <w:r>
      <w:rPr>
        <w:b/>
        <w:spacing w:val="-2"/>
      </w:rPr>
      <w:t>-</w:t>
    </w:r>
    <w:r w:rsidR="003C3F8F">
      <w:rPr>
        <w:b/>
        <w:spacing w:val="-2"/>
      </w:rPr>
      <w:t>1243</w:t>
    </w:r>
  </w:p>
  <w:p w:rsidR="00EC4494" w14:paraId="309D8E79" w14:textId="4DEF8AD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5E950964">
    <w:pPr>
      <w:pStyle w:val="Header"/>
      <w:pBdr>
        <w:bottom w:val="single" w:sz="12" w:space="1" w:color="auto"/>
      </w:pBdr>
      <w:rPr>
        <w:b w:val="0"/>
      </w:rPr>
    </w:pPr>
    <w:r>
      <w:tab/>
    </w:r>
    <w:r>
      <w:t>Federal</w:t>
    </w:r>
    <w:r w:rsidR="00385691">
      <w:t xml:space="preserve"> Communications Commission</w:t>
    </w:r>
    <w:r w:rsidR="00385691">
      <w:tab/>
      <w:t xml:space="preserve">DA </w:t>
    </w:r>
    <w:r w:rsidR="00EF5ABE">
      <w:t>2</w:t>
    </w:r>
    <w:r w:rsidR="0092788C">
      <w:t>1</w:t>
    </w:r>
    <w:r w:rsidR="00780827">
      <w:t>-</w:t>
    </w:r>
    <w:r w:rsidR="003C3F8F">
      <w:t>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 w:numId="5">
    <w:abstractNumId w:val="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715F6"/>
    <w:rsid w:val="000844C5"/>
    <w:rsid w:val="0009144D"/>
    <w:rsid w:val="000B3CB8"/>
    <w:rsid w:val="000B7A45"/>
    <w:rsid w:val="000D6FF3"/>
    <w:rsid w:val="000E6D51"/>
    <w:rsid w:val="00113639"/>
    <w:rsid w:val="001204B1"/>
    <w:rsid w:val="00120529"/>
    <w:rsid w:val="001348A7"/>
    <w:rsid w:val="00140317"/>
    <w:rsid w:val="001414E3"/>
    <w:rsid w:val="00142D97"/>
    <w:rsid w:val="00155E02"/>
    <w:rsid w:val="00160AFE"/>
    <w:rsid w:val="00162727"/>
    <w:rsid w:val="001717CE"/>
    <w:rsid w:val="001849AA"/>
    <w:rsid w:val="00190163"/>
    <w:rsid w:val="00195161"/>
    <w:rsid w:val="001A0861"/>
    <w:rsid w:val="001A1A7A"/>
    <w:rsid w:val="001A43D8"/>
    <w:rsid w:val="001A63BB"/>
    <w:rsid w:val="001A7A2C"/>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5262D"/>
    <w:rsid w:val="00265A91"/>
    <w:rsid w:val="0027480A"/>
    <w:rsid w:val="00283DF4"/>
    <w:rsid w:val="002A3B0B"/>
    <w:rsid w:val="002B607A"/>
    <w:rsid w:val="002C332E"/>
    <w:rsid w:val="002F4B88"/>
    <w:rsid w:val="00310BAA"/>
    <w:rsid w:val="00313EF3"/>
    <w:rsid w:val="00325A8E"/>
    <w:rsid w:val="00335F7E"/>
    <w:rsid w:val="003427C1"/>
    <w:rsid w:val="003473A7"/>
    <w:rsid w:val="00353700"/>
    <w:rsid w:val="00360D54"/>
    <w:rsid w:val="00385691"/>
    <w:rsid w:val="0039622B"/>
    <w:rsid w:val="003A1EBA"/>
    <w:rsid w:val="003A20A5"/>
    <w:rsid w:val="003B1201"/>
    <w:rsid w:val="003B39A5"/>
    <w:rsid w:val="003C3F8F"/>
    <w:rsid w:val="003C5092"/>
    <w:rsid w:val="003D14B8"/>
    <w:rsid w:val="003D32F8"/>
    <w:rsid w:val="003D5974"/>
    <w:rsid w:val="003E5B69"/>
    <w:rsid w:val="003F75CF"/>
    <w:rsid w:val="003F7602"/>
    <w:rsid w:val="003F7D44"/>
    <w:rsid w:val="00403483"/>
    <w:rsid w:val="00403D73"/>
    <w:rsid w:val="00422B9B"/>
    <w:rsid w:val="004334F6"/>
    <w:rsid w:val="00454DF3"/>
    <w:rsid w:val="0047594E"/>
    <w:rsid w:val="00480EE7"/>
    <w:rsid w:val="004914A3"/>
    <w:rsid w:val="004A1686"/>
    <w:rsid w:val="004C104C"/>
    <w:rsid w:val="004C3D84"/>
    <w:rsid w:val="004C7040"/>
    <w:rsid w:val="004D2792"/>
    <w:rsid w:val="004E1A28"/>
    <w:rsid w:val="004E5EFB"/>
    <w:rsid w:val="00510F6C"/>
    <w:rsid w:val="00524588"/>
    <w:rsid w:val="005264A8"/>
    <w:rsid w:val="005265B9"/>
    <w:rsid w:val="00545B00"/>
    <w:rsid w:val="005561FD"/>
    <w:rsid w:val="00563A90"/>
    <w:rsid w:val="00566D7F"/>
    <w:rsid w:val="005772B2"/>
    <w:rsid w:val="00586E06"/>
    <w:rsid w:val="005A6A46"/>
    <w:rsid w:val="005B27B1"/>
    <w:rsid w:val="005B2BD1"/>
    <w:rsid w:val="005B2F11"/>
    <w:rsid w:val="005B796C"/>
    <w:rsid w:val="005C203E"/>
    <w:rsid w:val="005C4093"/>
    <w:rsid w:val="005C4098"/>
    <w:rsid w:val="005D03A5"/>
    <w:rsid w:val="005D1006"/>
    <w:rsid w:val="005D2C0E"/>
    <w:rsid w:val="005D78D7"/>
    <w:rsid w:val="005E044B"/>
    <w:rsid w:val="005E456F"/>
    <w:rsid w:val="005E6EB3"/>
    <w:rsid w:val="005E78CA"/>
    <w:rsid w:val="005F7472"/>
    <w:rsid w:val="00605C8A"/>
    <w:rsid w:val="006116DC"/>
    <w:rsid w:val="006173F3"/>
    <w:rsid w:val="00622CD2"/>
    <w:rsid w:val="00623693"/>
    <w:rsid w:val="00623E7A"/>
    <w:rsid w:val="0062716E"/>
    <w:rsid w:val="0063192B"/>
    <w:rsid w:val="00646FF8"/>
    <w:rsid w:val="00664DC0"/>
    <w:rsid w:val="00676CB9"/>
    <w:rsid w:val="00685FD6"/>
    <w:rsid w:val="00697A80"/>
    <w:rsid w:val="006A7E1F"/>
    <w:rsid w:val="006B0C4B"/>
    <w:rsid w:val="006B0F44"/>
    <w:rsid w:val="006D1926"/>
    <w:rsid w:val="006D5400"/>
    <w:rsid w:val="006E4C47"/>
    <w:rsid w:val="006E5378"/>
    <w:rsid w:val="00712C36"/>
    <w:rsid w:val="00724294"/>
    <w:rsid w:val="00727230"/>
    <w:rsid w:val="007368C0"/>
    <w:rsid w:val="0074254C"/>
    <w:rsid w:val="00750DAE"/>
    <w:rsid w:val="00753932"/>
    <w:rsid w:val="007546EE"/>
    <w:rsid w:val="00774600"/>
    <w:rsid w:val="0077536C"/>
    <w:rsid w:val="00775878"/>
    <w:rsid w:val="00780827"/>
    <w:rsid w:val="00780927"/>
    <w:rsid w:val="007811EF"/>
    <w:rsid w:val="007831C1"/>
    <w:rsid w:val="00795CE2"/>
    <w:rsid w:val="007A0316"/>
    <w:rsid w:val="007B65C8"/>
    <w:rsid w:val="007B67D3"/>
    <w:rsid w:val="007D2B0E"/>
    <w:rsid w:val="007D4126"/>
    <w:rsid w:val="007D7FBB"/>
    <w:rsid w:val="007E0B90"/>
    <w:rsid w:val="007E5AF2"/>
    <w:rsid w:val="008101C7"/>
    <w:rsid w:val="00816066"/>
    <w:rsid w:val="0083033B"/>
    <w:rsid w:val="00831E67"/>
    <w:rsid w:val="00843CA0"/>
    <w:rsid w:val="00854DB7"/>
    <w:rsid w:val="00861EBA"/>
    <w:rsid w:val="00870845"/>
    <w:rsid w:val="00876880"/>
    <w:rsid w:val="008B004B"/>
    <w:rsid w:val="008C54AE"/>
    <w:rsid w:val="008E2D1A"/>
    <w:rsid w:val="008E6C8C"/>
    <w:rsid w:val="008F1B97"/>
    <w:rsid w:val="008F47DB"/>
    <w:rsid w:val="008F4E04"/>
    <w:rsid w:val="00901A56"/>
    <w:rsid w:val="00916312"/>
    <w:rsid w:val="00920094"/>
    <w:rsid w:val="00927544"/>
    <w:rsid w:val="0092788C"/>
    <w:rsid w:val="00940F17"/>
    <w:rsid w:val="00941EA5"/>
    <w:rsid w:val="00964BC8"/>
    <w:rsid w:val="0097045E"/>
    <w:rsid w:val="0097482E"/>
    <w:rsid w:val="00983C4E"/>
    <w:rsid w:val="009848B2"/>
    <w:rsid w:val="009868ED"/>
    <w:rsid w:val="0099325E"/>
    <w:rsid w:val="009A1060"/>
    <w:rsid w:val="009C3ADD"/>
    <w:rsid w:val="009C46EC"/>
    <w:rsid w:val="009C6B1F"/>
    <w:rsid w:val="009C732D"/>
    <w:rsid w:val="009D3461"/>
    <w:rsid w:val="009E3216"/>
    <w:rsid w:val="009E4E88"/>
    <w:rsid w:val="009E74BE"/>
    <w:rsid w:val="009F49B4"/>
    <w:rsid w:val="00A01035"/>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47339"/>
    <w:rsid w:val="00B47A3A"/>
    <w:rsid w:val="00B85C40"/>
    <w:rsid w:val="00B874BA"/>
    <w:rsid w:val="00BA0244"/>
    <w:rsid w:val="00BA241C"/>
    <w:rsid w:val="00BC43F4"/>
    <w:rsid w:val="00BC643E"/>
    <w:rsid w:val="00BD2451"/>
    <w:rsid w:val="00BE1976"/>
    <w:rsid w:val="00BF2F4A"/>
    <w:rsid w:val="00C04D95"/>
    <w:rsid w:val="00C12167"/>
    <w:rsid w:val="00C22E1D"/>
    <w:rsid w:val="00C335BA"/>
    <w:rsid w:val="00C358A2"/>
    <w:rsid w:val="00C3654F"/>
    <w:rsid w:val="00C403BC"/>
    <w:rsid w:val="00C447BD"/>
    <w:rsid w:val="00C47746"/>
    <w:rsid w:val="00C5129C"/>
    <w:rsid w:val="00C53380"/>
    <w:rsid w:val="00C61A5E"/>
    <w:rsid w:val="00C81A17"/>
    <w:rsid w:val="00C974F6"/>
    <w:rsid w:val="00CA0F5A"/>
    <w:rsid w:val="00CA575D"/>
    <w:rsid w:val="00CB0D3D"/>
    <w:rsid w:val="00CB11F0"/>
    <w:rsid w:val="00CB1F6D"/>
    <w:rsid w:val="00CD65A9"/>
    <w:rsid w:val="00CD6BB8"/>
    <w:rsid w:val="00CD7CDA"/>
    <w:rsid w:val="00CE7A1D"/>
    <w:rsid w:val="00CF10D8"/>
    <w:rsid w:val="00D042D4"/>
    <w:rsid w:val="00D07B67"/>
    <w:rsid w:val="00D12F96"/>
    <w:rsid w:val="00D20C3C"/>
    <w:rsid w:val="00D31805"/>
    <w:rsid w:val="00D32700"/>
    <w:rsid w:val="00D32D0B"/>
    <w:rsid w:val="00D612CA"/>
    <w:rsid w:val="00D67F06"/>
    <w:rsid w:val="00D74200"/>
    <w:rsid w:val="00D7613F"/>
    <w:rsid w:val="00D820D6"/>
    <w:rsid w:val="00D8360E"/>
    <w:rsid w:val="00D85AC6"/>
    <w:rsid w:val="00DB373D"/>
    <w:rsid w:val="00DB40D9"/>
    <w:rsid w:val="00DB4EAF"/>
    <w:rsid w:val="00DC450D"/>
    <w:rsid w:val="00DD26EF"/>
    <w:rsid w:val="00DD34BB"/>
    <w:rsid w:val="00DD5275"/>
    <w:rsid w:val="00DE04F2"/>
    <w:rsid w:val="00DE1F08"/>
    <w:rsid w:val="00DE60CD"/>
    <w:rsid w:val="00DE7276"/>
    <w:rsid w:val="00E0746D"/>
    <w:rsid w:val="00E12641"/>
    <w:rsid w:val="00E12DF2"/>
    <w:rsid w:val="00E35C29"/>
    <w:rsid w:val="00E430A7"/>
    <w:rsid w:val="00E53AD1"/>
    <w:rsid w:val="00E54D57"/>
    <w:rsid w:val="00E62B5D"/>
    <w:rsid w:val="00E67930"/>
    <w:rsid w:val="00E76BB5"/>
    <w:rsid w:val="00E84E6A"/>
    <w:rsid w:val="00E906F8"/>
    <w:rsid w:val="00E90AD3"/>
    <w:rsid w:val="00E961F6"/>
    <w:rsid w:val="00EA55A6"/>
    <w:rsid w:val="00EA795E"/>
    <w:rsid w:val="00EB38E9"/>
    <w:rsid w:val="00EC408A"/>
    <w:rsid w:val="00EC4494"/>
    <w:rsid w:val="00EC75FC"/>
    <w:rsid w:val="00ED15EC"/>
    <w:rsid w:val="00ED65C0"/>
    <w:rsid w:val="00EF15C3"/>
    <w:rsid w:val="00EF5ABE"/>
    <w:rsid w:val="00F208BD"/>
    <w:rsid w:val="00F21FE8"/>
    <w:rsid w:val="00F23128"/>
    <w:rsid w:val="00F416D5"/>
    <w:rsid w:val="00F7752B"/>
    <w:rsid w:val="00F81B78"/>
    <w:rsid w:val="00F84D1D"/>
    <w:rsid w:val="00F86B2C"/>
    <w:rsid w:val="00F904D4"/>
    <w:rsid w:val="00FA2D00"/>
    <w:rsid w:val="00FA5366"/>
    <w:rsid w:val="00FB42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2FA560"/>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fn Ch,fn Char"/>
    <w:link w:val="FootnoteTextChar"/>
    <w:pPr>
      <w:tabs>
        <w:tab w:val="left" w:pos="720"/>
        <w:tab w:val="left" w:pos="1440"/>
      </w:tabs>
      <w:spacing w:after="200"/>
      <w:ind w:right="144"/>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fn Char1"/>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