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C43013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192D493" w14:textId="77777777">
      <w:pPr>
        <w:pStyle w:val="StyleBoldCentered"/>
      </w:pPr>
      <w:r>
        <w:t>F</w:t>
      </w:r>
      <w:r>
        <w:rPr>
          <w:caps w:val="0"/>
        </w:rPr>
        <w:t>ederal Communications Commission</w:t>
      </w:r>
    </w:p>
    <w:p w:rsidR="004C2EE3" w:rsidP="00096D8C" w14:paraId="28F208AF" w14:textId="77777777">
      <w:pPr>
        <w:pStyle w:val="StyleBoldCentered"/>
      </w:pPr>
      <w:r>
        <w:rPr>
          <w:caps w:val="0"/>
        </w:rPr>
        <w:t>Washington, D.C. 20554</w:t>
      </w:r>
    </w:p>
    <w:p w:rsidR="004C2EE3" w:rsidP="0070224F" w14:paraId="6843F006" w14:textId="77777777"/>
    <w:p w:rsidR="004C2EE3" w:rsidP="0070224F" w14:paraId="115BF6D7" w14:textId="77777777"/>
    <w:tbl>
      <w:tblPr>
        <w:tblW w:w="0" w:type="auto"/>
        <w:tblLayout w:type="fixed"/>
        <w:tblLook w:val="0000"/>
      </w:tblPr>
      <w:tblGrid>
        <w:gridCol w:w="4698"/>
        <w:gridCol w:w="630"/>
        <w:gridCol w:w="4248"/>
      </w:tblGrid>
      <w:tr w14:paraId="6C19941D" w14:textId="77777777" w:rsidTr="3E7EDDE8">
        <w:tblPrEx>
          <w:tblW w:w="0" w:type="auto"/>
          <w:tblLayout w:type="fixed"/>
          <w:tblLook w:val="0000"/>
        </w:tblPrEx>
        <w:tc>
          <w:tcPr>
            <w:tcW w:w="4698" w:type="dxa"/>
          </w:tcPr>
          <w:p w:rsidR="004C2EE3" w14:paraId="101955B9" w14:textId="77777777">
            <w:pPr>
              <w:tabs>
                <w:tab w:val="center" w:pos="4680"/>
              </w:tabs>
              <w:suppressAutoHyphens/>
              <w:rPr>
                <w:spacing w:val="-2"/>
              </w:rPr>
            </w:pPr>
            <w:r>
              <w:rPr>
                <w:spacing w:val="-2"/>
              </w:rPr>
              <w:t>In the Matter of</w:t>
            </w:r>
          </w:p>
          <w:p w:rsidR="004C2EE3" w14:paraId="36FA55DA" w14:textId="77777777">
            <w:pPr>
              <w:tabs>
                <w:tab w:val="center" w:pos="4680"/>
              </w:tabs>
              <w:suppressAutoHyphens/>
              <w:rPr>
                <w:spacing w:val="-2"/>
              </w:rPr>
            </w:pPr>
          </w:p>
          <w:p w:rsidR="00624A26" w:rsidRPr="0036010E" w:rsidP="3E7EDDE8" w14:paraId="3CBC5626" w14:textId="61EA0EDC">
            <w:pPr>
              <w:rPr>
                <w:szCs w:val="22"/>
              </w:rPr>
            </w:pPr>
            <w:r w:rsidRPr="3E7EDDE8">
              <w:rPr>
                <w:szCs w:val="22"/>
              </w:rPr>
              <w:t xml:space="preserve">Marne Elk Horn Telephone Company </w:t>
            </w:r>
            <w:r w:rsidR="4321BA53">
              <w:t>Petition for Waiver of Sections 51.909(a), 51.917(b)(1) and 51.917(b)(7) of the Commission’s Rules to modify access rate bands and charges, and</w:t>
            </w:r>
            <w:r w:rsidR="6569FBEE">
              <w:t xml:space="preserve"> </w:t>
            </w:r>
            <w:r w:rsidRPr="3E7EDDE8" w:rsidR="380147B5">
              <w:rPr>
                <w:szCs w:val="22"/>
              </w:rPr>
              <w:t xml:space="preserve">2011 </w:t>
            </w:r>
            <w:r w:rsidR="0033661A">
              <w:rPr>
                <w:szCs w:val="22"/>
              </w:rPr>
              <w:t xml:space="preserve">Interstate </w:t>
            </w:r>
            <w:r w:rsidRPr="3E7EDDE8" w:rsidR="380147B5">
              <w:rPr>
                <w:szCs w:val="22"/>
              </w:rPr>
              <w:t>Switched Access Revenue Requirement and 2011 Base Period Revenue in connection with the merger of affiliated study areas in Iowa</w:t>
            </w:r>
          </w:p>
          <w:p w:rsidR="00624A26" w:rsidRPr="007115F7" w:rsidP="007115F7" w14:paraId="2041D45C" w14:textId="77777777">
            <w:pPr>
              <w:tabs>
                <w:tab w:val="center" w:pos="4680"/>
              </w:tabs>
              <w:suppressAutoHyphens/>
              <w:rPr>
                <w:spacing w:val="-2"/>
              </w:rPr>
            </w:pPr>
          </w:p>
        </w:tc>
        <w:tc>
          <w:tcPr>
            <w:tcW w:w="630" w:type="dxa"/>
          </w:tcPr>
          <w:p w:rsidR="004C2EE3" w14:paraId="187C9E1F" w14:textId="77777777">
            <w:pPr>
              <w:tabs>
                <w:tab w:val="center" w:pos="4680"/>
              </w:tabs>
              <w:suppressAutoHyphens/>
              <w:rPr>
                <w:b/>
                <w:spacing w:val="-2"/>
              </w:rPr>
            </w:pPr>
            <w:r>
              <w:rPr>
                <w:b/>
                <w:spacing w:val="-2"/>
              </w:rPr>
              <w:t>)</w:t>
            </w:r>
          </w:p>
          <w:p w:rsidR="004C2EE3" w14:paraId="7FCAD6C9" w14:textId="77777777">
            <w:pPr>
              <w:tabs>
                <w:tab w:val="center" w:pos="4680"/>
              </w:tabs>
              <w:suppressAutoHyphens/>
              <w:rPr>
                <w:b/>
                <w:spacing w:val="-2"/>
              </w:rPr>
            </w:pPr>
            <w:r>
              <w:rPr>
                <w:b/>
                <w:spacing w:val="-2"/>
              </w:rPr>
              <w:t>)</w:t>
            </w:r>
          </w:p>
          <w:p w:rsidR="004C2EE3" w14:paraId="239EE0D2" w14:textId="77777777">
            <w:pPr>
              <w:tabs>
                <w:tab w:val="center" w:pos="4680"/>
              </w:tabs>
              <w:suppressAutoHyphens/>
              <w:rPr>
                <w:b/>
                <w:spacing w:val="-2"/>
              </w:rPr>
            </w:pPr>
            <w:r>
              <w:rPr>
                <w:b/>
                <w:spacing w:val="-2"/>
              </w:rPr>
              <w:t>)</w:t>
            </w:r>
          </w:p>
          <w:p w:rsidR="004C2EE3" w14:paraId="21239F40" w14:textId="77777777">
            <w:pPr>
              <w:tabs>
                <w:tab w:val="center" w:pos="4680"/>
              </w:tabs>
              <w:suppressAutoHyphens/>
              <w:rPr>
                <w:b/>
                <w:spacing w:val="-2"/>
              </w:rPr>
            </w:pPr>
            <w:r>
              <w:rPr>
                <w:b/>
                <w:spacing w:val="-2"/>
              </w:rPr>
              <w:t>)</w:t>
            </w:r>
          </w:p>
          <w:p w:rsidR="00FC1530" w14:paraId="6EA10E3F" w14:textId="77777777">
            <w:pPr>
              <w:tabs>
                <w:tab w:val="center" w:pos="4680"/>
              </w:tabs>
              <w:suppressAutoHyphens/>
              <w:rPr>
                <w:b/>
                <w:spacing w:val="-2"/>
              </w:rPr>
            </w:pPr>
            <w:r>
              <w:rPr>
                <w:b/>
                <w:spacing w:val="-2"/>
              </w:rPr>
              <w:t>)</w:t>
            </w:r>
          </w:p>
          <w:p w:rsidR="00FC1530" w14:paraId="33AC8957" w14:textId="77777777">
            <w:pPr>
              <w:tabs>
                <w:tab w:val="center" w:pos="4680"/>
              </w:tabs>
              <w:suppressAutoHyphens/>
              <w:rPr>
                <w:b/>
                <w:spacing w:val="-2"/>
              </w:rPr>
            </w:pPr>
            <w:r>
              <w:rPr>
                <w:b/>
                <w:spacing w:val="-2"/>
              </w:rPr>
              <w:t>)</w:t>
            </w:r>
          </w:p>
          <w:p w:rsidR="00FC1530" w14:paraId="7D1D8B38" w14:textId="77777777">
            <w:pPr>
              <w:tabs>
                <w:tab w:val="center" w:pos="4680"/>
              </w:tabs>
              <w:suppressAutoHyphens/>
              <w:rPr>
                <w:b/>
                <w:spacing w:val="-2"/>
              </w:rPr>
            </w:pPr>
            <w:r>
              <w:rPr>
                <w:b/>
                <w:spacing w:val="-2"/>
              </w:rPr>
              <w:t>)</w:t>
            </w:r>
          </w:p>
          <w:p w:rsidR="00FC1530" w14:paraId="7172E185" w14:textId="77777777">
            <w:pPr>
              <w:tabs>
                <w:tab w:val="center" w:pos="4680"/>
              </w:tabs>
              <w:suppressAutoHyphens/>
              <w:rPr>
                <w:b/>
                <w:spacing w:val="-2"/>
              </w:rPr>
            </w:pPr>
            <w:r>
              <w:rPr>
                <w:b/>
                <w:spacing w:val="-2"/>
              </w:rPr>
              <w:t>)</w:t>
            </w:r>
          </w:p>
          <w:p w:rsidR="00FC1530" w14:paraId="5F42A705" w14:textId="77777777">
            <w:pPr>
              <w:tabs>
                <w:tab w:val="center" w:pos="4680"/>
              </w:tabs>
              <w:suppressAutoHyphens/>
              <w:rPr>
                <w:spacing w:val="-2"/>
              </w:rPr>
            </w:pPr>
            <w:r>
              <w:rPr>
                <w:b/>
                <w:spacing w:val="-2"/>
              </w:rPr>
              <w:t>)</w:t>
            </w:r>
          </w:p>
        </w:tc>
        <w:tc>
          <w:tcPr>
            <w:tcW w:w="4248" w:type="dxa"/>
          </w:tcPr>
          <w:p w:rsidR="00624A26" w14:paraId="1B0E66D3" w14:textId="77777777">
            <w:pPr>
              <w:tabs>
                <w:tab w:val="center" w:pos="4680"/>
              </w:tabs>
              <w:suppressAutoHyphens/>
              <w:rPr>
                <w:spacing w:val="-2"/>
              </w:rPr>
            </w:pPr>
          </w:p>
          <w:p w:rsidR="00FC1530" w14:paraId="128B77BC" w14:textId="77777777">
            <w:pPr>
              <w:tabs>
                <w:tab w:val="center" w:pos="4680"/>
              </w:tabs>
              <w:suppressAutoHyphens/>
              <w:rPr>
                <w:spacing w:val="-2"/>
              </w:rPr>
            </w:pPr>
          </w:p>
          <w:p w:rsidR="00B47ED5" w14:paraId="0B7D1AED" w14:textId="77777777">
            <w:pPr>
              <w:tabs>
                <w:tab w:val="center" w:pos="4680"/>
              </w:tabs>
              <w:suppressAutoHyphens/>
              <w:rPr>
                <w:spacing w:val="-2"/>
              </w:rPr>
            </w:pPr>
          </w:p>
          <w:p w:rsidR="00624A26" w:rsidP="3E7EDDE8" w14:paraId="597EAF57" w14:textId="6AC52CFF">
            <w:pPr>
              <w:tabs>
                <w:tab w:val="center" w:pos="4680"/>
              </w:tabs>
              <w:suppressAutoHyphens/>
              <w:rPr>
                <w:spacing w:val="-2"/>
                <w:szCs w:val="22"/>
              </w:rPr>
            </w:pPr>
            <w:r>
              <w:rPr>
                <w:spacing w:val="-2"/>
              </w:rPr>
              <w:t xml:space="preserve">WC Docket No. </w:t>
            </w:r>
            <w:r w:rsidR="61ED438A">
              <w:t>21-281</w:t>
            </w:r>
          </w:p>
        </w:tc>
      </w:tr>
    </w:tbl>
    <w:p w:rsidR="004C2EE3" w:rsidP="0070224F" w14:paraId="2C5411E0" w14:textId="77777777"/>
    <w:p w:rsidR="00841AB1" w:rsidP="00F021FA" w14:paraId="303E833C" w14:textId="77777777">
      <w:pPr>
        <w:pStyle w:val="StyleBoldCentered"/>
      </w:pPr>
      <w:r>
        <w:t>ORDER</w:t>
      </w:r>
    </w:p>
    <w:p w:rsidR="004C2EE3" w14:paraId="693D6BDD" w14:textId="77777777">
      <w:pPr>
        <w:tabs>
          <w:tab w:val="left" w:pos="-720"/>
        </w:tabs>
        <w:suppressAutoHyphens/>
        <w:spacing w:line="227" w:lineRule="auto"/>
        <w:rPr>
          <w:spacing w:val="-2"/>
        </w:rPr>
      </w:pPr>
    </w:p>
    <w:p w:rsidR="004C2EE3" w:rsidP="3E7EDDE8" w14:paraId="745FD9AB" w14:textId="6B7D2FAB">
      <w:pPr>
        <w:tabs>
          <w:tab w:val="left" w:pos="720"/>
          <w:tab w:val="right" w:pos="9360"/>
        </w:tabs>
        <w:suppressAutoHyphens/>
        <w:spacing w:line="227" w:lineRule="auto"/>
        <w:rPr>
          <w:b/>
          <w:bCs/>
          <w:szCs w:val="22"/>
        </w:rPr>
      </w:pPr>
      <w:r w:rsidRPr="0327BDD6">
        <w:rPr>
          <w:b/>
          <w:bCs/>
          <w:spacing w:val="-2"/>
        </w:rPr>
        <w:t xml:space="preserve">Adopted:  </w:t>
      </w:r>
      <w:r w:rsidR="006C1864">
        <w:rPr>
          <w:b/>
          <w:bCs/>
        </w:rPr>
        <w:t>October 4, 2021</w:t>
      </w:r>
      <w:r w:rsidRPr="0327BDD6" w:rsidR="753F968D">
        <w:rPr>
          <w:b/>
          <w:bCs/>
          <w:spacing w:val="-2"/>
        </w:rPr>
        <w:t xml:space="preserve">                                                                                    </w:t>
      </w:r>
      <w:r w:rsidRPr="0327BDD6" w:rsidR="0CC415F8">
        <w:rPr>
          <w:b/>
          <w:bCs/>
          <w:spacing w:val="-2"/>
        </w:rPr>
        <w:t>Released</w:t>
      </w:r>
      <w:r w:rsidRPr="0327BDD6">
        <w:rPr>
          <w:b/>
          <w:bCs/>
          <w:spacing w:val="-2"/>
        </w:rPr>
        <w:t>:</w:t>
      </w:r>
      <w:r w:rsidRPr="0327BDD6" w:rsidR="0CC415F8">
        <w:rPr>
          <w:b/>
          <w:bCs/>
          <w:spacing w:val="-2"/>
        </w:rPr>
        <w:t xml:space="preserve"> </w:t>
      </w:r>
      <w:r w:rsidR="006C1864">
        <w:rPr>
          <w:b/>
          <w:bCs/>
        </w:rPr>
        <w:t>October 4, 2021</w:t>
      </w:r>
    </w:p>
    <w:p w:rsidR="00822CE0" w14:paraId="1C2E73E7" w14:textId="77777777"/>
    <w:p w:rsidR="004C2EE3" w14:paraId="3D212548" w14:textId="77777777">
      <w:pPr>
        <w:rPr>
          <w:spacing w:val="-2"/>
        </w:rPr>
      </w:pPr>
      <w:r>
        <w:t xml:space="preserve">By </w:t>
      </w:r>
      <w:r w:rsidR="004E4A22">
        <w:t>the</w:t>
      </w:r>
      <w:r w:rsidR="002A2D2E">
        <w:t xml:space="preserve"> </w:t>
      </w:r>
      <w:r w:rsidR="008D234C">
        <w:rPr>
          <w:spacing w:val="-2"/>
        </w:rPr>
        <w:t>Chief, Wireline Competition Bureau</w:t>
      </w:r>
      <w:r>
        <w:rPr>
          <w:spacing w:val="-2"/>
        </w:rPr>
        <w:t>:</w:t>
      </w:r>
    </w:p>
    <w:p w:rsidR="00822CE0" w14:paraId="3BA0161F" w14:textId="77777777">
      <w:pPr>
        <w:rPr>
          <w:spacing w:val="-2"/>
        </w:rPr>
      </w:pPr>
    </w:p>
    <w:p w:rsidR="00412FC5" w:rsidP="00C36B4C" w14:paraId="077D6A5F" w14:textId="77777777">
      <w:pPr>
        <w:pStyle w:val="Heading1"/>
      </w:pPr>
      <w:r>
        <w:t>INTRODUCTION</w:t>
      </w:r>
    </w:p>
    <w:p w:rsidR="005A6473" w:rsidRPr="005A6473" w:rsidP="00765D6B" w14:paraId="71668072" w14:textId="0DAB238D">
      <w:pPr>
        <w:pStyle w:val="ParaNum"/>
      </w:pPr>
      <w:r>
        <w:t xml:space="preserve">In this </w:t>
      </w:r>
      <w:r w:rsidRPr="0000505E">
        <w:t>Order</w:t>
      </w:r>
      <w:r>
        <w:t xml:space="preserve"> we grant </w:t>
      </w:r>
      <w:r w:rsidR="615FCE09">
        <w:t xml:space="preserve">the </w:t>
      </w:r>
      <w:r>
        <w:t xml:space="preserve">petition filed by </w:t>
      </w:r>
      <w:r w:rsidR="46B675DD">
        <w:t>Marne Elk Horn Telephone Company</w:t>
      </w:r>
      <w:r>
        <w:rPr>
          <w:rStyle w:val="FootnoteReference"/>
        </w:rPr>
        <w:footnoteReference w:id="3"/>
      </w:r>
      <w:r w:rsidR="7D0B5232">
        <w:t xml:space="preserve"> (</w:t>
      </w:r>
      <w:r w:rsidR="2B7082B7">
        <w:t>METC</w:t>
      </w:r>
      <w:r w:rsidR="7D0B5232">
        <w:t xml:space="preserve">) </w:t>
      </w:r>
      <w:r>
        <w:t xml:space="preserve">seeking waiver of certain of the Commission’s intercarrier compensation rules to allow </w:t>
      </w:r>
      <w:r w:rsidR="4A5B9137">
        <w:t xml:space="preserve">it </w:t>
      </w:r>
      <w:r>
        <w:t xml:space="preserve">to </w:t>
      </w:r>
      <w:r w:rsidR="728F80F5">
        <w:t xml:space="preserve">consolidate </w:t>
      </w:r>
      <w:r w:rsidR="00A6157E">
        <w:t xml:space="preserve">two </w:t>
      </w:r>
      <w:r w:rsidR="4A5B9137">
        <w:t xml:space="preserve">affiliated </w:t>
      </w:r>
      <w:r>
        <w:t>study areas</w:t>
      </w:r>
      <w:r w:rsidR="3983D42A">
        <w:t xml:space="preserve"> into a single study area</w:t>
      </w:r>
      <w:r>
        <w:t>.</w:t>
      </w:r>
      <w:r>
        <w:rPr>
          <w:rStyle w:val="FootnoteReference"/>
        </w:rPr>
        <w:footnoteReference w:id="4"/>
      </w:r>
      <w:r>
        <w:t xml:space="preserve">  Base</w:t>
      </w:r>
      <w:r w:rsidR="4B117579">
        <w:t>d</w:t>
      </w:r>
      <w:r>
        <w:t xml:space="preserve"> on the record before us, we find that grant of the unopposed waiver</w:t>
      </w:r>
      <w:r w:rsidR="728F80F5">
        <w:t xml:space="preserve"> request</w:t>
      </w:r>
      <w:r>
        <w:t xml:space="preserve"> will serve the public interest by result</w:t>
      </w:r>
      <w:r w:rsidR="006560B1">
        <w:t>ing</w:t>
      </w:r>
      <w:r>
        <w:t xml:space="preserve"> in cost savings for </w:t>
      </w:r>
      <w:r w:rsidR="38488DE3">
        <w:t>METC</w:t>
      </w:r>
      <w:r>
        <w:t xml:space="preserve">, which </w:t>
      </w:r>
      <w:r w:rsidR="001032AA">
        <w:t>should</w:t>
      </w:r>
      <w:r w:rsidR="006560B1">
        <w:t>,</w:t>
      </w:r>
      <w:r>
        <w:t xml:space="preserve"> in turn</w:t>
      </w:r>
      <w:r w:rsidR="00F23B06">
        <w:t>,</w:t>
      </w:r>
      <w:r>
        <w:t xml:space="preserve"> </w:t>
      </w:r>
      <w:r w:rsidR="001032AA">
        <w:t xml:space="preserve">result in improved service (e.g., increased investment in broadband deployment) </w:t>
      </w:r>
      <w:r w:rsidR="006560B1">
        <w:t>for the company’s customers</w:t>
      </w:r>
      <w:r w:rsidR="001032AA">
        <w:t xml:space="preserve">, as well as </w:t>
      </w:r>
      <w:r w:rsidR="00495E55">
        <w:t xml:space="preserve">ensuring no </w:t>
      </w:r>
      <w:r w:rsidR="00A62F32">
        <w:t xml:space="preserve">increase </w:t>
      </w:r>
      <w:r w:rsidR="00495E55">
        <w:t xml:space="preserve">in </w:t>
      </w:r>
      <w:r w:rsidR="767E7E2E">
        <w:t xml:space="preserve">demand on the </w:t>
      </w:r>
      <w:r w:rsidR="00FD0F7A">
        <w:t xml:space="preserve">federal </w:t>
      </w:r>
      <w:r w:rsidR="009D51E1">
        <w:t>u</w:t>
      </w:r>
      <w:r w:rsidR="006560B1">
        <w:t xml:space="preserve">niversal </w:t>
      </w:r>
      <w:r w:rsidR="009D51E1">
        <w:t>s</w:t>
      </w:r>
      <w:r w:rsidR="006560B1">
        <w:t xml:space="preserve">ervice </w:t>
      </w:r>
      <w:r w:rsidR="00A1730B">
        <w:t>high</w:t>
      </w:r>
      <w:r w:rsidR="009D51E1">
        <w:t>-</w:t>
      </w:r>
      <w:r w:rsidR="00A1730B">
        <w:t>cost program</w:t>
      </w:r>
      <w:r w:rsidR="006560B1">
        <w:t xml:space="preserve">.  </w:t>
      </w:r>
    </w:p>
    <w:p w:rsidR="005A6473" w:rsidRPr="005A6473" w:rsidP="005A6473" w14:paraId="045A8FA0" w14:textId="77777777">
      <w:pPr>
        <w:pStyle w:val="Heading1"/>
      </w:pPr>
      <w:r>
        <w:t>Background</w:t>
      </w:r>
    </w:p>
    <w:p w:rsidR="005A6473" w:rsidP="005A6473" w14:paraId="2144AA7E" w14:textId="77777777">
      <w:pPr>
        <w:pStyle w:val="Heading2"/>
      </w:pPr>
      <w:r>
        <w:t>Intercarrier Compensation Reform</w:t>
      </w:r>
    </w:p>
    <w:p w:rsidR="005A6473" w:rsidP="000A5F6A" w14:paraId="624D748B" w14:textId="21D5A7CC">
      <w:pPr>
        <w:pStyle w:val="ParaNum"/>
      </w:pPr>
      <w:r>
        <w:t>In 2011, the Commission comprehensively reformed its regulation of intercarrier compensation i</w:t>
      </w:r>
      <w:r w:rsidRPr="00D12B52" w:rsidR="006254FD">
        <w:t xml:space="preserve">n the </w:t>
      </w:r>
      <w:r w:rsidRPr="00D12B52" w:rsidR="006254FD">
        <w:rPr>
          <w:i/>
        </w:rPr>
        <w:t>USF/ICC Transformation Order</w:t>
      </w:r>
      <w:r>
        <w:t>.</w:t>
      </w:r>
      <w:r>
        <w:rPr>
          <w:rStyle w:val="FootnoteReference"/>
        </w:rPr>
        <w:footnoteReference w:id="5"/>
      </w:r>
      <w:r w:rsidRPr="00D12B52" w:rsidR="006254FD">
        <w:t xml:space="preserve"> </w:t>
      </w:r>
      <w:r>
        <w:t xml:space="preserve"> These reforms included </w:t>
      </w:r>
      <w:r w:rsidRPr="00D12B52" w:rsidR="006254FD">
        <w:t>the capp</w:t>
      </w:r>
      <w:r>
        <w:t>ing</w:t>
      </w:r>
      <w:r w:rsidRPr="00D12B52" w:rsidR="006254FD">
        <w:t xml:space="preserve"> </w:t>
      </w:r>
      <w:r>
        <w:t xml:space="preserve">of </w:t>
      </w:r>
      <w:r w:rsidRPr="00D12B52" w:rsidR="006254FD">
        <w:t xml:space="preserve">reciprocal </w:t>
      </w:r>
      <w:r w:rsidRPr="00D12B52" w:rsidR="006254FD">
        <w:t xml:space="preserve">compensation and interstate switched access rates and most intrastate switched access rates at the </w:t>
      </w:r>
      <w:r w:rsidR="006560B1">
        <w:t xml:space="preserve">levels </w:t>
      </w:r>
      <w:r w:rsidRPr="00D12B52" w:rsidR="006254FD">
        <w:t>in effect on December 29, 2011.</w:t>
      </w:r>
      <w:r>
        <w:rPr>
          <w:rStyle w:val="FootnoteReference"/>
        </w:rPr>
        <w:footnoteReference w:id="6"/>
      </w:r>
      <w:r w:rsidRPr="00D12B52" w:rsidR="006254FD">
        <w:t xml:space="preserve">  </w:t>
      </w:r>
      <w:r>
        <w:t>T</w:t>
      </w:r>
      <w:r w:rsidRPr="00D12B52" w:rsidR="006254FD">
        <w:t xml:space="preserve">he Commission </w:t>
      </w:r>
      <w:r>
        <w:t xml:space="preserve">also </w:t>
      </w:r>
      <w:r w:rsidRPr="00D12B52" w:rsidR="006254FD">
        <w:t xml:space="preserve">adopted a multi-year process for </w:t>
      </w:r>
      <w:r w:rsidR="00C016AC">
        <w:t xml:space="preserve">transitioning </w:t>
      </w:r>
      <w:r w:rsidRPr="00D12B52" w:rsidR="006254FD">
        <w:t>most terminating switched access rates to bill-and-keep.</w:t>
      </w:r>
      <w:r>
        <w:rPr>
          <w:rStyle w:val="FootnoteReference"/>
        </w:rPr>
        <w:footnoteReference w:id="7"/>
      </w:r>
      <w:r w:rsidRPr="00D12B52" w:rsidR="006254FD">
        <w:t xml:space="preserve">  </w:t>
      </w:r>
      <w:r>
        <w:t>As part of that process, t</w:t>
      </w:r>
      <w:r w:rsidRPr="00D12B52" w:rsidR="006254FD">
        <w:t xml:space="preserve">he Commission adopted a revenue recovery mechanism that allows incumbent local exchange carriers (LECs) to recover a portion of the intercarrier compensation revenues </w:t>
      </w:r>
      <w:r w:rsidR="006560B1">
        <w:t xml:space="preserve">they </w:t>
      </w:r>
      <w:r w:rsidRPr="00D12B52" w:rsidR="006254FD">
        <w:t xml:space="preserve">lost due to the Commission’s reforms, up to a defined </w:t>
      </w:r>
      <w:r w:rsidRPr="00D12B52" w:rsidR="00A37BFF">
        <w:t>amount</w:t>
      </w:r>
      <w:r w:rsidR="00AE7568">
        <w:t>.</w:t>
      </w:r>
      <w:r>
        <w:rPr>
          <w:rStyle w:val="FootnoteReference"/>
        </w:rPr>
        <w:footnoteReference w:id="8"/>
      </w:r>
      <w:r w:rsidR="00AE7568">
        <w:t xml:space="preserve">  This amount, which is referred to as a carrier’s “Eligible Recover</w:t>
      </w:r>
      <w:r w:rsidR="00497566">
        <w:t>y</w:t>
      </w:r>
      <w:r w:rsidR="00AE7568">
        <w:t xml:space="preserve">,” </w:t>
      </w:r>
      <w:r w:rsidR="00A37BFF">
        <w:t xml:space="preserve">decreases </w:t>
      </w:r>
      <w:r w:rsidR="00497566">
        <w:t>annually</w:t>
      </w:r>
      <w:r w:rsidRPr="00D12B52" w:rsidR="006254FD">
        <w:t>.</w:t>
      </w:r>
      <w:r>
        <w:rPr>
          <w:rStyle w:val="FootnoteReference"/>
        </w:rPr>
        <w:footnoteReference w:id="9"/>
      </w:r>
      <w:r w:rsidRPr="00A3437D" w:rsidR="006254FD">
        <w:t xml:space="preserve">  An incumbent LEC may recover its Eligible Recovery each year from its end users through an Access Recovery Charge, subject to an annual cap.</w:t>
      </w:r>
      <w:r>
        <w:rPr>
          <w:rStyle w:val="FootnoteReference"/>
          <w:color w:val="000000"/>
        </w:rPr>
        <w:footnoteReference w:id="10"/>
      </w:r>
      <w:r w:rsidRPr="00A3437D" w:rsidR="006254FD">
        <w:t xml:space="preserve">  If the projected Access Recovery Charge revenues are not sufficient to cover the entire Eligible Recovery amount, </w:t>
      </w:r>
      <w:r w:rsidR="00AD785C">
        <w:t>rate</w:t>
      </w:r>
      <w:r w:rsidR="0000505E">
        <w:t>-</w:t>
      </w:r>
      <w:r w:rsidR="00AD785C">
        <w:t>of</w:t>
      </w:r>
      <w:r w:rsidR="0000505E">
        <w:t>-</w:t>
      </w:r>
      <w:r w:rsidR="00AD785C">
        <w:t xml:space="preserve">return </w:t>
      </w:r>
      <w:r w:rsidRPr="00A3437D" w:rsidR="006254FD">
        <w:t>carrier</w:t>
      </w:r>
      <w:r w:rsidR="00AD785C">
        <w:t>s</w:t>
      </w:r>
      <w:r w:rsidR="00AE7568">
        <w:t>, such as METC,</w:t>
      </w:r>
      <w:r w:rsidR="006254FD">
        <w:t xml:space="preserve"> may elect to </w:t>
      </w:r>
      <w:r w:rsidR="00AD785C">
        <w:t xml:space="preserve">receive </w:t>
      </w:r>
      <w:r w:rsidR="006254FD">
        <w:t xml:space="preserve">the remainder </w:t>
      </w:r>
      <w:r w:rsidR="00A37BFF">
        <w:t xml:space="preserve">from the </w:t>
      </w:r>
      <w:r w:rsidR="006254FD">
        <w:t>Connect America Fund</w:t>
      </w:r>
      <w:r w:rsidR="00CA5B7F">
        <w:t xml:space="preserve"> in the form of Connect America Fund – Intercarrier Compensation </w:t>
      </w:r>
      <w:r w:rsidR="004F0F31">
        <w:t xml:space="preserve">(CAF/ICC) </w:t>
      </w:r>
      <w:r w:rsidR="00CA5B7F">
        <w:t>support</w:t>
      </w:r>
      <w:r w:rsidRPr="00A3437D" w:rsidR="006254FD">
        <w:t>.</w:t>
      </w:r>
      <w:r>
        <w:rPr>
          <w:rStyle w:val="FootnoteReference"/>
          <w:color w:val="000000"/>
        </w:rPr>
        <w:footnoteReference w:id="11"/>
      </w:r>
      <w:r w:rsidRPr="00A3437D" w:rsidR="006254FD">
        <w:t xml:space="preserve">   </w:t>
      </w:r>
    </w:p>
    <w:p w:rsidR="000A5F6A" w:rsidRPr="00A3437D" w:rsidP="000A5F6A" w14:paraId="507CF15B" w14:textId="68D4FA0E">
      <w:pPr>
        <w:pStyle w:val="ParaNum"/>
      </w:pPr>
      <w:r>
        <w:t>METC</w:t>
      </w:r>
      <w:r w:rsidRPr="00A3437D" w:rsidR="006254FD">
        <w:t xml:space="preserve"> </w:t>
      </w:r>
      <w:r w:rsidR="0060141A">
        <w:t xml:space="preserve">is a </w:t>
      </w:r>
      <w:r w:rsidRPr="00A3437D" w:rsidR="006254FD">
        <w:t xml:space="preserve">rate-of-return </w:t>
      </w:r>
      <w:r w:rsidR="00A37BFF">
        <w:t xml:space="preserve">incumbent </w:t>
      </w:r>
      <w:r w:rsidRPr="00A3437D" w:rsidR="006254FD">
        <w:t>LEC</w:t>
      </w:r>
      <w:r w:rsidR="00E0491A">
        <w:t>.</w:t>
      </w:r>
      <w:r w:rsidRPr="00A3437D" w:rsidR="006254FD">
        <w:t xml:space="preserve">  The calculation of a rate-of-return LEC’s Eligible Recovery begins with </w:t>
      </w:r>
      <w:r w:rsidR="0022054B">
        <w:t xml:space="preserve">its </w:t>
      </w:r>
      <w:r w:rsidRPr="00A3437D" w:rsidR="006254FD">
        <w:t>Base Period Revenue.</w:t>
      </w:r>
      <w:r>
        <w:rPr>
          <w:rStyle w:val="FootnoteReference"/>
          <w:color w:val="000000"/>
        </w:rPr>
        <w:footnoteReference w:id="12"/>
      </w:r>
      <w:r w:rsidRPr="00A3437D" w:rsidR="006254FD">
        <w:t xml:space="preserve">  A rate-of-return carrier’s Base Period Revenue is the sum of certain intrastate switched access revenues and net reciprocal compensation revenues received by March 31, 2012, for services provided during Fiscal Year (FY) 2011,</w:t>
      </w:r>
      <w:r>
        <w:rPr>
          <w:rStyle w:val="FootnoteReference"/>
          <w:color w:val="000000"/>
        </w:rPr>
        <w:footnoteReference w:id="13"/>
      </w:r>
      <w:r w:rsidRPr="00A3437D" w:rsidR="006254FD">
        <w:t xml:space="preserve"> and the projected revenue requirement for interstate switched access services for the 2011-2012 tariff period.</w:t>
      </w:r>
      <w:r>
        <w:rPr>
          <w:rStyle w:val="FootnoteReference"/>
          <w:color w:val="000000"/>
        </w:rPr>
        <w:footnoteReference w:id="14"/>
      </w:r>
      <w:r w:rsidRPr="00A3437D" w:rsidR="006254FD">
        <w:t xml:space="preserve">  The Base Period Revenue for rate-of-return carriers was reduced by 5% initially and is reduced by an additional 5% in each year of the transition.</w:t>
      </w:r>
      <w:r>
        <w:rPr>
          <w:rStyle w:val="FootnoteReference"/>
          <w:color w:val="000000"/>
        </w:rPr>
        <w:footnoteReference w:id="15"/>
      </w:r>
      <w:r w:rsidRPr="00A3437D" w:rsidR="006254FD">
        <w:t xml:space="preserve">  A rate-of-return LEC’s Eligible Recovery is equal to the adjusted Base Period Revenue for the year in question, less, for each relevant year of the transition, the sum of (1) </w:t>
      </w:r>
      <w:r w:rsidR="00921095">
        <w:t xml:space="preserve">certain </w:t>
      </w:r>
      <w:r w:rsidRPr="00A3437D" w:rsidR="006254FD">
        <w:t>projected intrastate switched access revenue;</w:t>
      </w:r>
      <w:r w:rsidR="00E60801">
        <w:t xml:space="preserve"> </w:t>
      </w:r>
      <w:r w:rsidRPr="00A3437D" w:rsidR="006254FD">
        <w:t>(2) projected interstate switched access revenue; and (3) projected net reciprocal compensation revenue.</w:t>
      </w:r>
      <w:r>
        <w:rPr>
          <w:rStyle w:val="FootnoteReference"/>
          <w:color w:val="000000"/>
        </w:rPr>
        <w:footnoteReference w:id="16"/>
      </w:r>
      <w:r w:rsidRPr="00A3437D" w:rsidR="006254FD">
        <w:t xml:space="preserve">  </w:t>
      </w:r>
    </w:p>
    <w:p w:rsidR="000A5F6A" w:rsidRPr="005A6473" w:rsidP="008F72FA" w14:paraId="6444095F" w14:textId="0D78845C">
      <w:pPr>
        <w:pStyle w:val="ParaNum"/>
        <w:widowControl/>
      </w:pPr>
      <w:r w:rsidRPr="00A3437D">
        <w:t>The Commission’s rules for calculating Eligible Recovery are based on study</w:t>
      </w:r>
      <w:r w:rsidR="00226456">
        <w:t xml:space="preserve"> </w:t>
      </w:r>
      <w:r w:rsidRPr="00A3437D">
        <w:t xml:space="preserve">area-specific data and do not address </w:t>
      </w:r>
      <w:r w:rsidRPr="00A3437D" w:rsidR="7E0C41EC">
        <w:t>potential</w:t>
      </w:r>
      <w:r w:rsidR="001B4406">
        <w:t>ly</w:t>
      </w:r>
      <w:r w:rsidRPr="00A3437D" w:rsidR="7E0C41EC">
        <w:t xml:space="preserve"> necessary </w:t>
      </w:r>
      <w:r w:rsidRPr="00A3437D">
        <w:t xml:space="preserve">adjustments when study areas are </w:t>
      </w:r>
      <w:r w:rsidR="00BD6D9F">
        <w:t>consolidated</w:t>
      </w:r>
      <w:r w:rsidRPr="00A3437D">
        <w:t>.</w:t>
      </w:r>
      <w:r>
        <w:rPr>
          <w:rStyle w:val="FootnoteReference"/>
        </w:rPr>
        <w:footnoteReference w:id="17"/>
      </w:r>
      <w:r w:rsidRPr="00A3437D">
        <w:t xml:space="preserve">  Because a carrier’s Base Period Revenue and interstate revenue requirement are study</w:t>
      </w:r>
      <w:r w:rsidR="00226456">
        <w:t xml:space="preserve"> </w:t>
      </w:r>
      <w:r w:rsidRPr="00A3437D">
        <w:t xml:space="preserve">area-specific, combining study areas requires </w:t>
      </w:r>
      <w:r w:rsidRPr="00A3437D" w:rsidR="283FC0C7">
        <w:t>deciding</w:t>
      </w:r>
      <w:r w:rsidRPr="00A3437D">
        <w:t xml:space="preserve"> how best to combine </w:t>
      </w:r>
      <w:r w:rsidR="00154C45">
        <w:t xml:space="preserve">the </w:t>
      </w:r>
      <w:r w:rsidRPr="00A3437D">
        <w:t>different Base Period Revenues and interstate revenue requirements</w:t>
      </w:r>
      <w:r w:rsidR="00412CDD">
        <w:t xml:space="preserve"> of the merging study areas</w:t>
      </w:r>
      <w:r w:rsidR="00154C45">
        <w:t>.</w:t>
      </w:r>
      <w:r>
        <w:rPr>
          <w:rStyle w:val="FootnoteReference"/>
        </w:rPr>
        <w:footnoteReference w:id="18"/>
      </w:r>
      <w:r w:rsidR="00154C45">
        <w:t xml:space="preserve">  Combining study areas also requires </w:t>
      </w:r>
      <w:r w:rsidRPr="00A3437D">
        <w:t xml:space="preserve">a </w:t>
      </w:r>
      <w:r w:rsidRPr="00A3437D">
        <w:t>waiver of the Commission’s rules governing Base Period Revenue and interstate revenue requirements</w:t>
      </w:r>
      <w:r w:rsidRPr="00A01C8B" w:rsidR="00A01C8B">
        <w:t xml:space="preserve"> </w:t>
      </w:r>
      <w:r w:rsidRPr="00A3437D" w:rsidR="00A01C8B">
        <w:t>calculation</w:t>
      </w:r>
      <w:r w:rsidR="00A01C8B">
        <w:t>s</w:t>
      </w:r>
      <w:r w:rsidRPr="00A3437D">
        <w:t>.</w:t>
      </w:r>
      <w:r>
        <w:rPr>
          <w:rStyle w:val="FootnoteReference"/>
        </w:rPr>
        <w:footnoteReference w:id="19"/>
      </w:r>
      <w:r w:rsidRPr="00A3437D">
        <w:t xml:space="preserve"> </w:t>
      </w:r>
    </w:p>
    <w:p w:rsidR="000A5F6A" w14:paraId="21286F22" w14:textId="50464C92">
      <w:pPr>
        <w:pStyle w:val="Heading2"/>
      </w:pPr>
      <w:r>
        <w:t xml:space="preserve">The </w:t>
      </w:r>
      <w:r w:rsidR="003F5CAD">
        <w:t xml:space="preserve">METC </w:t>
      </w:r>
      <w:r>
        <w:t>Petition</w:t>
      </w:r>
    </w:p>
    <w:p w:rsidR="0005382F" w:rsidP="00C416E1" w14:paraId="273C3B3A" w14:textId="4FB1B8C0">
      <w:pPr>
        <w:pStyle w:val="ParaNum"/>
      </w:pPr>
      <w:r>
        <w:t xml:space="preserve">The </w:t>
      </w:r>
      <w:r w:rsidR="535FBF15">
        <w:t xml:space="preserve">METC </w:t>
      </w:r>
      <w:r>
        <w:t xml:space="preserve">Petition </w:t>
      </w:r>
      <w:r w:rsidR="4321BA53">
        <w:t>seek</w:t>
      </w:r>
      <w:r w:rsidR="6675E7C6">
        <w:t>s</w:t>
      </w:r>
      <w:r w:rsidR="4321BA53">
        <w:t xml:space="preserve"> waiver of the </w:t>
      </w:r>
      <w:r w:rsidR="40300D9E">
        <w:t>Commission’s</w:t>
      </w:r>
      <w:r w:rsidR="4321BA53">
        <w:t xml:space="preserve"> rules, as necessary, to allow </w:t>
      </w:r>
      <w:r w:rsidR="6FD646DA">
        <w:t xml:space="preserve">it to </w:t>
      </w:r>
      <w:r w:rsidR="728F80F5">
        <w:t xml:space="preserve">consolidate </w:t>
      </w:r>
      <w:r w:rsidR="6B650BCC">
        <w:t xml:space="preserve">two commonly-owned </w:t>
      </w:r>
      <w:r w:rsidR="4321BA53">
        <w:t xml:space="preserve">study areas in </w:t>
      </w:r>
      <w:r w:rsidR="1BCB5038">
        <w:t>Iowa</w:t>
      </w:r>
      <w:r w:rsidR="4321BA53">
        <w:t>.</w:t>
      </w:r>
      <w:r>
        <w:rPr>
          <w:rStyle w:val="FootnoteReference"/>
        </w:rPr>
        <w:footnoteReference w:id="20"/>
      </w:r>
      <w:r w:rsidR="380DF814">
        <w:t xml:space="preserve"> </w:t>
      </w:r>
      <w:r w:rsidR="275935D5">
        <w:t xml:space="preserve"> </w:t>
      </w:r>
      <w:r w:rsidR="00D51E6E">
        <w:t xml:space="preserve">METC owns the local exchange carrier that is also named </w:t>
      </w:r>
      <w:r w:rsidR="37D0C436">
        <w:t>Marne Elk Horn Telephone Company</w:t>
      </w:r>
      <w:r w:rsidR="380DF814">
        <w:t xml:space="preserve"> (</w:t>
      </w:r>
      <w:r w:rsidR="00C765BB">
        <w:t xml:space="preserve">Marne Elk Horn; </w:t>
      </w:r>
      <w:r w:rsidR="380DF814">
        <w:t xml:space="preserve">Study Area Code </w:t>
      </w:r>
      <w:r w:rsidR="00B31EA8">
        <w:t>351237</w:t>
      </w:r>
      <w:r w:rsidR="380DF814">
        <w:t xml:space="preserve">); and </w:t>
      </w:r>
      <w:r w:rsidR="45C5D49A">
        <w:t>Walnut Telephone Company</w:t>
      </w:r>
      <w:r w:rsidR="380DF814">
        <w:t xml:space="preserve"> (</w:t>
      </w:r>
      <w:r w:rsidR="520C6721">
        <w:t>Walnut</w:t>
      </w:r>
      <w:r w:rsidR="380DF814">
        <w:t xml:space="preserve">; Study Area Code </w:t>
      </w:r>
      <w:r w:rsidR="431A8301">
        <w:t>351326</w:t>
      </w:r>
      <w:r w:rsidR="380DF814">
        <w:t>)</w:t>
      </w:r>
      <w:r w:rsidR="00D51E6E">
        <w:t xml:space="preserve">. </w:t>
      </w:r>
      <w:r w:rsidR="70E3B85E">
        <w:t xml:space="preserve"> </w:t>
      </w:r>
      <w:r w:rsidR="00D51E6E">
        <w:t xml:space="preserve">The two study areas </w:t>
      </w:r>
      <w:r w:rsidR="380DF814">
        <w:t xml:space="preserve">will </w:t>
      </w:r>
      <w:r w:rsidR="45C0AFB2">
        <w:t>consolidate</w:t>
      </w:r>
      <w:r w:rsidR="380DF814">
        <w:t xml:space="preserve"> </w:t>
      </w:r>
      <w:r w:rsidR="00D51E6E">
        <w:t xml:space="preserve">as a single study area </w:t>
      </w:r>
      <w:r w:rsidR="441BA527">
        <w:t>as of</w:t>
      </w:r>
      <w:r w:rsidR="380DF814">
        <w:t xml:space="preserve"> </w:t>
      </w:r>
      <w:r w:rsidR="793CD580">
        <w:t xml:space="preserve">January </w:t>
      </w:r>
      <w:r w:rsidR="380DF814">
        <w:t>1, 202</w:t>
      </w:r>
      <w:r w:rsidR="0E259A64">
        <w:t>2</w:t>
      </w:r>
      <w:r w:rsidR="00D51E6E">
        <w:t>, which</w:t>
      </w:r>
      <w:r w:rsidR="001E7C2F">
        <w:t xml:space="preserve"> will </w:t>
      </w:r>
      <w:r w:rsidR="00D51E6E">
        <w:t xml:space="preserve">also </w:t>
      </w:r>
      <w:r w:rsidR="001E7C2F">
        <w:t xml:space="preserve">be referred to as </w:t>
      </w:r>
      <w:r w:rsidR="001B09A7">
        <w:t xml:space="preserve">the </w:t>
      </w:r>
      <w:r w:rsidR="001E7C2F">
        <w:t>Marne Elk Horn Telephone Company</w:t>
      </w:r>
      <w:r w:rsidR="00862834">
        <w:t xml:space="preserve"> (retaining Study Area Code 351237)</w:t>
      </w:r>
      <w:r w:rsidR="380DF814">
        <w:t>.</w:t>
      </w:r>
      <w:r>
        <w:rPr>
          <w:rStyle w:val="FootnoteReference"/>
        </w:rPr>
        <w:footnoteReference w:id="21"/>
      </w:r>
      <w:r w:rsidR="4D7B84A3">
        <w:t xml:space="preserve"> </w:t>
      </w:r>
      <w:r w:rsidR="7F7158E1">
        <w:t xml:space="preserve"> </w:t>
      </w:r>
      <w:r w:rsidR="1541A68D">
        <w:t xml:space="preserve">Both </w:t>
      </w:r>
      <w:r w:rsidR="7F7158E1">
        <w:t xml:space="preserve">are </w:t>
      </w:r>
      <w:r w:rsidR="507297E7">
        <w:t xml:space="preserve">rate-of-return </w:t>
      </w:r>
      <w:r w:rsidR="00D105D8">
        <w:t>incumbent LECs</w:t>
      </w:r>
      <w:r w:rsidR="003314B5">
        <w:t xml:space="preserve"> operating in Iowa</w:t>
      </w:r>
      <w:r w:rsidR="7F7158E1">
        <w:t>.</w:t>
      </w:r>
      <w:r>
        <w:rPr>
          <w:rStyle w:val="FootnoteReference"/>
        </w:rPr>
        <w:footnoteReference w:id="22"/>
      </w:r>
      <w:r w:rsidR="14CCC18D">
        <w:t xml:space="preserve"> </w:t>
      </w:r>
      <w:r w:rsidR="4D7B84A3">
        <w:t xml:space="preserve"> </w:t>
      </w:r>
    </w:p>
    <w:p w:rsidR="000A5F6A" w:rsidP="00C416E1" w14:paraId="4CB8EBAC" w14:textId="2DD9FB4B">
      <w:pPr>
        <w:pStyle w:val="ParaNum"/>
      </w:pPr>
      <w:r>
        <w:t>Like many</w:t>
      </w:r>
      <w:r w:rsidR="5E54C341">
        <w:t xml:space="preserve"> </w:t>
      </w:r>
      <w:r>
        <w:t xml:space="preserve">other </w:t>
      </w:r>
      <w:r w:rsidR="00C21956">
        <w:t>incumbent LECs</w:t>
      </w:r>
      <w:r>
        <w:t xml:space="preserve">, </w:t>
      </w:r>
      <w:r w:rsidR="00F23B06">
        <w:t xml:space="preserve">Marne Elk Horn </w:t>
      </w:r>
      <w:r w:rsidR="66F6E129">
        <w:t>and Walnut</w:t>
      </w:r>
      <w:r>
        <w:t xml:space="preserve"> </w:t>
      </w:r>
      <w:r w:rsidR="003D58C4">
        <w:t xml:space="preserve">are </w:t>
      </w:r>
      <w:r>
        <w:t>currently</w:t>
      </w:r>
      <w:r w:rsidR="5E54C341">
        <w:t xml:space="preserve"> </w:t>
      </w:r>
      <w:r w:rsidR="003D58C4">
        <w:t>both</w:t>
      </w:r>
      <w:r w:rsidR="00A607CD">
        <w:t xml:space="preserve"> </w:t>
      </w:r>
      <w:r w:rsidR="4324BE20">
        <w:t>Issuing Carriers in the N</w:t>
      </w:r>
      <w:r>
        <w:t>ational Exchange Carrier Association (N</w:t>
      </w:r>
      <w:r w:rsidR="4324BE20">
        <w:t>ECA</w:t>
      </w:r>
      <w:r>
        <w:t>)</w:t>
      </w:r>
      <w:r w:rsidR="4324BE20">
        <w:t xml:space="preserve"> Tariff F.C.C. No. 5 (traffic</w:t>
      </w:r>
      <w:r w:rsidR="176A4B19">
        <w:t>-</w:t>
      </w:r>
      <w:r w:rsidR="4324BE20">
        <w:t>sensitive tariff)</w:t>
      </w:r>
      <w:r>
        <w:t>.</w:t>
      </w:r>
      <w:r>
        <w:rPr>
          <w:rStyle w:val="FootnoteReference"/>
        </w:rPr>
        <w:footnoteReference w:id="23"/>
      </w:r>
      <w:r>
        <w:t xml:space="preserve">  </w:t>
      </w:r>
      <w:r w:rsidR="67835316">
        <w:t xml:space="preserve">METC </w:t>
      </w:r>
      <w:r w:rsidR="00257369">
        <w:t xml:space="preserve">seeks a waiver </w:t>
      </w:r>
      <w:r w:rsidR="0DCA407A">
        <w:t xml:space="preserve">to </w:t>
      </w:r>
      <w:r w:rsidR="275935D5">
        <w:t xml:space="preserve">tariff </w:t>
      </w:r>
      <w:r w:rsidR="0DCA407A">
        <w:t xml:space="preserve">rates for the </w:t>
      </w:r>
      <w:r w:rsidR="728F80F5">
        <w:t xml:space="preserve">single </w:t>
      </w:r>
      <w:r w:rsidR="10AA1306">
        <w:t xml:space="preserve">consolidated study area </w:t>
      </w:r>
      <w:r w:rsidR="0DCA407A">
        <w:t xml:space="preserve">in Rate Band </w:t>
      </w:r>
      <w:r w:rsidR="61974985">
        <w:t>8</w:t>
      </w:r>
      <w:r w:rsidR="0DCA407A">
        <w:t xml:space="preserve"> for Local Switching </w:t>
      </w:r>
      <w:r w:rsidR="317AC17D">
        <w:t>Service</w:t>
      </w:r>
      <w:r w:rsidR="0DCA407A">
        <w:t xml:space="preserve">, Rate Band </w:t>
      </w:r>
      <w:r w:rsidR="003C5361">
        <w:t>9</w:t>
      </w:r>
      <w:r w:rsidR="0DCA407A">
        <w:t xml:space="preserve"> for Dedicated Transport Service, and Rate Band </w:t>
      </w:r>
      <w:r w:rsidR="78AD7E18">
        <w:t>2</w:t>
      </w:r>
      <w:r w:rsidR="0DCA407A">
        <w:t xml:space="preserve"> for Tandem Switching Service.</w:t>
      </w:r>
      <w:r>
        <w:rPr>
          <w:rStyle w:val="FootnoteReference"/>
        </w:rPr>
        <w:footnoteReference w:id="24"/>
      </w:r>
      <w:r w:rsidR="0DCA407A">
        <w:t xml:space="preserve"> </w:t>
      </w:r>
      <w:r w:rsidR="275935D5">
        <w:t xml:space="preserve"> </w:t>
      </w:r>
      <w:r w:rsidR="1D8EE513">
        <w:t xml:space="preserve">METC </w:t>
      </w:r>
      <w:r w:rsidR="0DCA407A">
        <w:t xml:space="preserve">also </w:t>
      </w:r>
      <w:r w:rsidR="57F07126">
        <w:t>seeks</w:t>
      </w:r>
      <w:r w:rsidR="317AC17D">
        <w:t xml:space="preserve"> a waiver</w:t>
      </w:r>
      <w:r w:rsidR="57F07126">
        <w:t xml:space="preserve"> to combine the 2011 interstate access revenue requirements </w:t>
      </w:r>
      <w:r w:rsidR="00F425E9">
        <w:t xml:space="preserve">for the two </w:t>
      </w:r>
      <w:r w:rsidR="57F07126">
        <w:t>study area</w:t>
      </w:r>
      <w:r w:rsidR="00F425E9">
        <w:t>s</w:t>
      </w:r>
      <w:r w:rsidR="57F07126">
        <w:t xml:space="preserve"> </w:t>
      </w:r>
      <w:r w:rsidR="00E36961">
        <w:t xml:space="preserve">into a single interstate access revenue requirement </w:t>
      </w:r>
      <w:r w:rsidR="57F07126">
        <w:t xml:space="preserve">and combine the Base Period Revenues for the </w:t>
      </w:r>
      <w:r w:rsidR="17A3EAEF">
        <w:t xml:space="preserve">two </w:t>
      </w:r>
      <w:r w:rsidR="57F07126">
        <w:t xml:space="preserve">study areas into a single Base Period </w:t>
      </w:r>
      <w:r w:rsidR="317AC17D">
        <w:t xml:space="preserve">Revenue </w:t>
      </w:r>
      <w:r w:rsidR="57F07126">
        <w:t xml:space="preserve">for the newly </w:t>
      </w:r>
      <w:r w:rsidR="10AA1306">
        <w:t>consolidated</w:t>
      </w:r>
      <w:r w:rsidR="57F07126">
        <w:t xml:space="preserve"> study area.</w:t>
      </w:r>
      <w:r>
        <w:rPr>
          <w:rStyle w:val="FootnoteReference"/>
        </w:rPr>
        <w:footnoteReference w:id="25"/>
      </w:r>
    </w:p>
    <w:p w:rsidR="00DB3E78" w:rsidRPr="000A5F6A" w:rsidP="000A5F6A" w14:paraId="6D3609E3" w14:textId="2AA48E75">
      <w:pPr>
        <w:pStyle w:val="ParaNum"/>
      </w:pPr>
      <w:r>
        <w:t xml:space="preserve">On </w:t>
      </w:r>
      <w:r w:rsidR="4FC9A1F6">
        <w:t xml:space="preserve">June </w:t>
      </w:r>
      <w:r w:rsidR="02D33958">
        <w:t>30</w:t>
      </w:r>
      <w:r>
        <w:t>,</w:t>
      </w:r>
      <w:r w:rsidR="40FD0065">
        <w:t xml:space="preserve"> 202</w:t>
      </w:r>
      <w:r w:rsidR="7E029964">
        <w:t>1</w:t>
      </w:r>
      <w:r w:rsidR="40FD0065">
        <w:t xml:space="preserve">, we issued a public notice seeking comment on the </w:t>
      </w:r>
      <w:r w:rsidR="7E931648">
        <w:t xml:space="preserve">METC </w:t>
      </w:r>
      <w:r w:rsidR="317AC17D">
        <w:t>P</w:t>
      </w:r>
      <w:r w:rsidR="40FD0065">
        <w:t>etition.</w:t>
      </w:r>
      <w:r>
        <w:rPr>
          <w:rStyle w:val="FootnoteReference"/>
        </w:rPr>
        <w:footnoteReference w:id="26"/>
      </w:r>
      <w:r w:rsidR="40FD0065">
        <w:t xml:space="preserve"> </w:t>
      </w:r>
      <w:r w:rsidR="275935D5">
        <w:t xml:space="preserve"> </w:t>
      </w:r>
      <w:r w:rsidR="40FD0065">
        <w:t>No comments were filed in response to the public notice.</w:t>
      </w:r>
    </w:p>
    <w:p w:rsidR="0035752D" w14:paraId="4D263297" w14:textId="77777777">
      <w:pPr>
        <w:pStyle w:val="Heading1"/>
      </w:pPr>
      <w:r>
        <w:t>Commission precedent related to study area waivers</w:t>
      </w:r>
    </w:p>
    <w:p w:rsidR="0035752D" w:rsidP="00D963C5" w14:paraId="4D6F9EB3" w14:textId="77777777">
      <w:pPr>
        <w:pStyle w:val="ParaNum"/>
        <w:widowControl/>
      </w:pPr>
      <w:r>
        <w:t>Generally, the Commission’s rules may be waived for good cause shown.</w:t>
      </w:r>
      <w:r>
        <w:rPr>
          <w:rStyle w:val="FootnoteReference"/>
        </w:rPr>
        <w:footnoteReference w:id="27"/>
      </w:r>
      <w:r>
        <w:t xml:space="preserve">  The Commission may exercise its discretion to waive a rule where the specific facts make strict compliance inconsistent with </w:t>
      </w:r>
      <w:r w:rsidR="00C6060B">
        <w:t xml:space="preserve">the </w:t>
      </w:r>
      <w:r>
        <w:t>public interest.</w:t>
      </w:r>
      <w:r>
        <w:rPr>
          <w:rStyle w:val="FootnoteReference"/>
        </w:rPr>
        <w:footnoteReference w:id="28"/>
      </w:r>
      <w:r>
        <w:t xml:space="preserve"> </w:t>
      </w:r>
      <w:r w:rsidR="002A7D20">
        <w:t xml:space="preserve"> </w:t>
      </w:r>
      <w:r>
        <w:t>Waiver of the Commission</w:t>
      </w:r>
      <w:r w:rsidR="002A7D20">
        <w:t>’</w:t>
      </w:r>
      <w:r>
        <w:t xml:space="preserve">s rules is therefore appropriate only if </w:t>
      </w:r>
      <w:r>
        <w:t>special circumstances warrant a deviation from the general rule and such deviation will serve the public interest.</w:t>
      </w:r>
      <w:r>
        <w:rPr>
          <w:rStyle w:val="FootnoteReference"/>
        </w:rPr>
        <w:footnoteReference w:id="29"/>
      </w:r>
    </w:p>
    <w:p w:rsidR="00E160B0" w:rsidRPr="00A3437D" w:rsidP="00E160B0" w14:paraId="4E281CAE" w14:textId="39BB0B26">
      <w:pPr>
        <w:pStyle w:val="ParaNum"/>
      </w:pPr>
      <w:r w:rsidRPr="007A1FAD">
        <w:t>In the interest of efficiency</w:t>
      </w:r>
      <w:r w:rsidR="00E47D13">
        <w:t>,</w:t>
      </w:r>
      <w:r w:rsidRPr="007A1FAD">
        <w:t xml:space="preserve"> and where warranted based on the specific record in each case, the Wireline Competition Bureau </w:t>
      </w:r>
      <w:r>
        <w:t xml:space="preserve">(Bureau) </w:t>
      </w:r>
      <w:r w:rsidRPr="007A1FAD">
        <w:t xml:space="preserve">has facilitated the </w:t>
      </w:r>
      <w:r w:rsidR="00BD6D9F">
        <w:t>consolidation</w:t>
      </w:r>
      <w:r w:rsidRPr="007A1FAD">
        <w:t xml:space="preserve"> of study areas by granting waivers </w:t>
      </w:r>
      <w:r w:rsidRPr="00A3437D">
        <w:t xml:space="preserve">of sections 51.917(b)(1) and 51.917(b)(7) of the </w:t>
      </w:r>
      <w:r w:rsidR="00E47D13">
        <w:t xml:space="preserve">Commission’s </w:t>
      </w:r>
      <w:r w:rsidRPr="00A3437D">
        <w:t xml:space="preserve">rules to allow </w:t>
      </w:r>
      <w:r w:rsidRPr="001A65A4" w:rsidR="00830902">
        <w:t xml:space="preserve">the requesting </w:t>
      </w:r>
      <w:r w:rsidRPr="001A65A4" w:rsidR="00485F19">
        <w:t xml:space="preserve">carriers to add together </w:t>
      </w:r>
      <w:r w:rsidRPr="001A65A4" w:rsidR="00052AF4">
        <w:t>certain intrastate switched access revenues and net reciprocal compensation revenues received by March 31, 2012, for services provided during FY 2011, and the projected revenue requirement</w:t>
      </w:r>
      <w:r w:rsidR="00E90069">
        <w:t>s</w:t>
      </w:r>
      <w:r w:rsidRPr="001A65A4" w:rsidR="00052AF4">
        <w:t xml:space="preserve"> for interstate switched access services for the 2011-2012 tariff period</w:t>
      </w:r>
      <w:r w:rsidRPr="00A3437D">
        <w:t>.</w:t>
      </w:r>
      <w:r>
        <w:rPr>
          <w:rStyle w:val="FootnoteReference"/>
        </w:rPr>
        <w:footnoteReference w:id="30"/>
      </w:r>
      <w:r w:rsidRPr="00A3437D">
        <w:t xml:space="preserve">  Th</w:t>
      </w:r>
      <w:r w:rsidR="00E47D13">
        <w:t xml:space="preserve">ese </w:t>
      </w:r>
      <w:r w:rsidR="0045059B">
        <w:t xml:space="preserve">rule </w:t>
      </w:r>
      <w:r w:rsidR="00E47D13">
        <w:t xml:space="preserve">waivers allow the </w:t>
      </w:r>
      <w:r w:rsidR="00684B7D">
        <w:t xml:space="preserve">merging </w:t>
      </w:r>
      <w:r w:rsidR="00E47D13">
        <w:t>entity to</w:t>
      </w:r>
      <w:r w:rsidRPr="00A3437D">
        <w:t xml:space="preserve"> calculat</w:t>
      </w:r>
      <w:r w:rsidR="00E47D13">
        <w:t xml:space="preserve">e </w:t>
      </w:r>
      <w:r w:rsidRPr="00A3437D">
        <w:t>a combined Base Period Revenue which serves as the baseline for calculating the Eligible Recovery of the company serving the combined study area</w:t>
      </w:r>
      <w:r w:rsidR="004D57F5">
        <w:t xml:space="preserve"> going forward</w:t>
      </w:r>
      <w:r w:rsidRPr="00A3437D">
        <w:t>.</w:t>
      </w:r>
    </w:p>
    <w:p w:rsidR="00EE12BE" w:rsidRPr="0035752D" w:rsidP="00FD4263" w14:paraId="73E12F60" w14:textId="57A779B5">
      <w:pPr>
        <w:pStyle w:val="ParaNum"/>
      </w:pPr>
      <w:r w:rsidRPr="00A3437D">
        <w:t xml:space="preserve">The </w:t>
      </w:r>
      <w:r w:rsidR="00BD6F4A">
        <w:t xml:space="preserve">Bureau </w:t>
      </w:r>
      <w:r w:rsidRPr="00A3437D">
        <w:t xml:space="preserve">has also used the waiver process to adjust the interstate switched access rate element(s) that the company </w:t>
      </w:r>
      <w:r w:rsidR="00FB3016">
        <w:t xml:space="preserve">seeking </w:t>
      </w:r>
      <w:r w:rsidRPr="00A3437D">
        <w:t xml:space="preserve">to </w:t>
      </w:r>
      <w:r w:rsidR="0042353B">
        <w:t>consolidate</w:t>
      </w:r>
      <w:r w:rsidRPr="00A3437D">
        <w:t xml:space="preserve"> study areas may assess. </w:t>
      </w:r>
      <w:r w:rsidR="00BF5238">
        <w:t xml:space="preserve"> </w:t>
      </w:r>
      <w:r w:rsidRPr="00A3437D">
        <w:t xml:space="preserve">To facilitate </w:t>
      </w:r>
      <w:r w:rsidR="00AE1599">
        <w:t xml:space="preserve">study area </w:t>
      </w:r>
      <w:r w:rsidR="00BD6D9F">
        <w:t>consolidations</w:t>
      </w:r>
      <w:r w:rsidRPr="00A3437D">
        <w:t xml:space="preserve"> for entities that participate in the NECA traffic-sensitive tariff, the Bureau has granted waivers of section 51.909(a) of the</w:t>
      </w:r>
      <w:r w:rsidR="00E47D13">
        <w:t xml:space="preserve"> Commission’s </w:t>
      </w:r>
      <w:r w:rsidRPr="00A3437D">
        <w:t>rules to allow NECA to place the consolidated study area in the rate band</w:t>
      </w:r>
      <w:r w:rsidR="00F21C65">
        <w:t>s</w:t>
      </w:r>
      <w:r w:rsidRPr="00A3437D">
        <w:t xml:space="preserve"> that most closely approximate the </w:t>
      </w:r>
      <w:r w:rsidR="001F02A8">
        <w:t xml:space="preserve">combined </w:t>
      </w:r>
      <w:r w:rsidRPr="00A3437D">
        <w:t>entities’ cost characteristics.</w:t>
      </w:r>
      <w:r>
        <w:rPr>
          <w:rStyle w:val="FootnoteReference"/>
        </w:rPr>
        <w:footnoteReference w:id="31"/>
      </w:r>
      <w:r w:rsidRPr="00A3437D">
        <w:t xml:space="preserve">  The rate</w:t>
      </w:r>
      <w:r w:rsidR="0074033D">
        <w:t>s</w:t>
      </w:r>
      <w:r w:rsidRPr="00A3437D">
        <w:t xml:space="preserve"> for th</w:t>
      </w:r>
      <w:r w:rsidR="00F21C65">
        <w:t>e</w:t>
      </w:r>
      <w:r w:rsidRPr="00A3437D">
        <w:t xml:space="preserve"> rate band</w:t>
      </w:r>
      <w:r w:rsidR="00F21C65">
        <w:t>s</w:t>
      </w:r>
      <w:r w:rsidRPr="00A3437D">
        <w:t xml:space="preserve"> then become the rate cap</w:t>
      </w:r>
      <w:r w:rsidR="009019CD">
        <w:t>s</w:t>
      </w:r>
      <w:r w:rsidRPr="00A3437D">
        <w:t xml:space="preserve"> for th</w:t>
      </w:r>
      <w:r w:rsidR="009019CD">
        <w:t>e</w:t>
      </w:r>
      <w:r w:rsidRPr="00A3437D">
        <w:t xml:space="preserve"> </w:t>
      </w:r>
      <w:r w:rsidR="009019CD">
        <w:t xml:space="preserve">relevant </w:t>
      </w:r>
      <w:r w:rsidR="00F95E82">
        <w:t xml:space="preserve">switched access </w:t>
      </w:r>
      <w:r w:rsidR="00215ACE">
        <w:t xml:space="preserve">services </w:t>
      </w:r>
      <w:r w:rsidRPr="00A3437D">
        <w:t xml:space="preserve">in the </w:t>
      </w:r>
      <w:r w:rsidR="00BD6D9F">
        <w:t>consolidated</w:t>
      </w:r>
      <w:r w:rsidRPr="00A3437D">
        <w:t xml:space="preserve"> study area</w:t>
      </w:r>
      <w:r w:rsidR="002A7D20">
        <w:t>.</w:t>
      </w:r>
      <w:r>
        <w:rPr>
          <w:rStyle w:val="FootnoteReference"/>
        </w:rPr>
        <w:footnoteReference w:id="32"/>
      </w:r>
    </w:p>
    <w:p w:rsidR="00EE12BE" w14:paraId="20E372DC" w14:textId="77777777">
      <w:pPr>
        <w:pStyle w:val="Heading1"/>
      </w:pPr>
      <w:r>
        <w:t>Discussion</w:t>
      </w:r>
    </w:p>
    <w:p w:rsidR="00DB170B" w:rsidP="00742482" w14:paraId="50BA147F" w14:textId="29ADBE23">
      <w:pPr>
        <w:pStyle w:val="ParaNum"/>
      </w:pPr>
      <w:r>
        <w:t>METC</w:t>
      </w:r>
      <w:r w:rsidR="00BD6F4A">
        <w:t xml:space="preserve"> </w:t>
      </w:r>
      <w:r>
        <w:t>a</w:t>
      </w:r>
      <w:r w:rsidR="00206E92">
        <w:t>sserts</w:t>
      </w:r>
      <w:r w:rsidR="00BD6F4A">
        <w:t xml:space="preserve"> </w:t>
      </w:r>
      <w:r>
        <w:t>that</w:t>
      </w:r>
      <w:r w:rsidR="00BD6F4A">
        <w:t xml:space="preserve"> </w:t>
      </w:r>
      <w:r w:rsidR="00EE09A9">
        <w:t xml:space="preserve">good cause exists to </w:t>
      </w:r>
      <w:r w:rsidRPr="00A3437D" w:rsidR="006254FD">
        <w:t xml:space="preserve">grant </w:t>
      </w:r>
      <w:r w:rsidR="00742482">
        <w:t>its</w:t>
      </w:r>
      <w:r w:rsidRPr="00A3437D" w:rsidR="006254FD">
        <w:t xml:space="preserve"> </w:t>
      </w:r>
      <w:r w:rsidR="00354017">
        <w:t>P</w:t>
      </w:r>
      <w:r w:rsidRPr="00A3437D" w:rsidR="006254FD">
        <w:t>etition</w:t>
      </w:r>
      <w:r w:rsidR="00E043CE">
        <w:t xml:space="preserve">.  METC argues that </w:t>
      </w:r>
      <w:r w:rsidR="00BD6F4A">
        <w:t xml:space="preserve">granting </w:t>
      </w:r>
      <w:r w:rsidR="00E47D13">
        <w:t xml:space="preserve">the requested waiver </w:t>
      </w:r>
      <w:r w:rsidR="00BD6F4A">
        <w:t xml:space="preserve">will </w:t>
      </w:r>
      <w:r w:rsidRPr="00A3437D" w:rsidR="006254FD">
        <w:t xml:space="preserve">serve the public interest by </w:t>
      </w:r>
      <w:r w:rsidR="1B694B1C">
        <w:t>increasing administrative and operational efficiencies</w:t>
      </w:r>
      <w:r w:rsidR="3D687FA2">
        <w:t>, permitting greater resources for network investment</w:t>
      </w:r>
      <w:r w:rsidR="00E90069">
        <w:t>,</w:t>
      </w:r>
      <w:r w:rsidR="3D687FA2">
        <w:t xml:space="preserve"> and ultimately benefitting METC’s customers</w:t>
      </w:r>
      <w:r w:rsidR="1B694B1C">
        <w:t>.</w:t>
      </w:r>
      <w:r>
        <w:rPr>
          <w:rStyle w:val="FootnoteReference"/>
        </w:rPr>
        <w:footnoteReference w:id="33"/>
      </w:r>
      <w:r w:rsidR="00742482">
        <w:t xml:space="preserve"> </w:t>
      </w:r>
      <w:r w:rsidR="002A7D20">
        <w:t xml:space="preserve"> </w:t>
      </w:r>
      <w:r w:rsidR="00E90069">
        <w:t xml:space="preserve">As previously noted, </w:t>
      </w:r>
      <w:r w:rsidRPr="00A3437D" w:rsidR="00F44139">
        <w:t xml:space="preserve">Commission precedent supports </w:t>
      </w:r>
      <w:r w:rsidR="00F44139">
        <w:t>granting the requested relief to allow for more efficient operation of consolidated rate-of-return study areas.</w:t>
      </w:r>
      <w:r>
        <w:rPr>
          <w:rStyle w:val="FootnoteReference"/>
        </w:rPr>
        <w:footnoteReference w:id="34"/>
      </w:r>
      <w:r w:rsidR="00F44139">
        <w:t xml:space="preserve">  </w:t>
      </w:r>
    </w:p>
    <w:p w:rsidR="00742482" w:rsidP="00742482" w14:paraId="0DB13D48" w14:textId="3D14007E">
      <w:pPr>
        <w:pStyle w:val="ParaNum"/>
      </w:pPr>
      <w:r>
        <w:t>First</w:t>
      </w:r>
      <w:r w:rsidR="000F4AE1">
        <w:t>,</w:t>
      </w:r>
      <w:r w:rsidR="0014612B">
        <w:t xml:space="preserve"> </w:t>
      </w:r>
      <w:r w:rsidR="00CE4E60">
        <w:t>w</w:t>
      </w:r>
      <w:r w:rsidRPr="00A3437D" w:rsidR="00CE4E60">
        <w:t>e</w:t>
      </w:r>
      <w:r w:rsidR="00CE4E60">
        <w:t xml:space="preserve"> </w:t>
      </w:r>
      <w:r w:rsidRPr="00A3437D" w:rsidR="00CE4E60">
        <w:t xml:space="preserve">find that the efficiencies that arise from </w:t>
      </w:r>
      <w:r w:rsidR="00BD6D9F">
        <w:t>consolidating</w:t>
      </w:r>
      <w:r w:rsidR="00CE4E60">
        <w:t xml:space="preserve"> the </w:t>
      </w:r>
      <w:r w:rsidR="19CF1A78">
        <w:t xml:space="preserve">two </w:t>
      </w:r>
      <w:r w:rsidR="00CE4E60">
        <w:t>study</w:t>
      </w:r>
      <w:r w:rsidRPr="00A3437D" w:rsidR="00CE4E60">
        <w:t xml:space="preserve"> areas constitute special circumstances that warrant </w:t>
      </w:r>
      <w:r w:rsidR="00CE4E60">
        <w:t xml:space="preserve">granting the requested waiver </w:t>
      </w:r>
      <w:r w:rsidRPr="00A3437D" w:rsidR="00CE4E60">
        <w:t xml:space="preserve">and </w:t>
      </w:r>
      <w:r w:rsidR="00C573FD">
        <w:t xml:space="preserve">that </w:t>
      </w:r>
      <w:r w:rsidRPr="00A3437D" w:rsidR="00CE4E60">
        <w:t xml:space="preserve">good cause exists to grant </w:t>
      </w:r>
      <w:r w:rsidR="4EA5F542">
        <w:t xml:space="preserve">METC’s </w:t>
      </w:r>
      <w:r w:rsidR="00354017">
        <w:t>P</w:t>
      </w:r>
      <w:r w:rsidRPr="00A3437D" w:rsidR="00CE4E60">
        <w:t>etition.</w:t>
      </w:r>
      <w:r>
        <w:rPr>
          <w:rStyle w:val="FootnoteReference"/>
        </w:rPr>
        <w:footnoteReference w:id="35"/>
      </w:r>
      <w:r w:rsidRPr="00A3437D" w:rsidR="00CE4E60">
        <w:t xml:space="preserve"> </w:t>
      </w:r>
      <w:r w:rsidRPr="00A00577" w:rsidR="00CE4E60">
        <w:t xml:space="preserve"> </w:t>
      </w:r>
      <w:r w:rsidR="00BD6F4A">
        <w:t xml:space="preserve">To effectuate the consolidation of the </w:t>
      </w:r>
      <w:r w:rsidR="0AF6D588">
        <w:t>two</w:t>
      </w:r>
      <w:r w:rsidR="00CA5B7F">
        <w:t xml:space="preserve"> </w:t>
      </w:r>
      <w:r w:rsidR="00BD6F4A">
        <w:t>study area</w:t>
      </w:r>
      <w:r w:rsidR="00CA5B7F">
        <w:t>s</w:t>
      </w:r>
      <w:r w:rsidR="00BD6F4A">
        <w:t>, we find that</w:t>
      </w:r>
      <w:r w:rsidRPr="00A3437D" w:rsidR="00A00577">
        <w:t xml:space="preserve"> combining </w:t>
      </w:r>
      <w:r w:rsidRPr="00A3437D" w:rsidR="00A00577">
        <w:t xml:space="preserve">the </w:t>
      </w:r>
      <w:r w:rsidR="00CE4E60">
        <w:t>consolidating</w:t>
      </w:r>
      <w:r w:rsidRPr="00A3437D" w:rsidR="00A00577">
        <w:t xml:space="preserve"> </w:t>
      </w:r>
      <w:r w:rsidR="00C83130">
        <w:t>study areas</w:t>
      </w:r>
      <w:r w:rsidR="005658B3">
        <w:t>’</w:t>
      </w:r>
      <w:r w:rsidR="00C83130">
        <w:t xml:space="preserve"> </w:t>
      </w:r>
      <w:r w:rsidRPr="00A3437D" w:rsidR="00A00577">
        <w:t>Base Period Revenues and interstate revenue requirements</w:t>
      </w:r>
      <w:r w:rsidR="00035FC6">
        <w:t xml:space="preserve">, as </w:t>
      </w:r>
      <w:r w:rsidR="003F5CAD">
        <w:t xml:space="preserve">METC </w:t>
      </w:r>
      <w:r w:rsidR="00CE4E60">
        <w:t>proposes</w:t>
      </w:r>
      <w:r w:rsidR="00035FC6">
        <w:t>,</w:t>
      </w:r>
      <w:r w:rsidRPr="00A3437D" w:rsidR="00A00577">
        <w:t xml:space="preserve"> </w:t>
      </w:r>
      <w:r w:rsidR="009F7D63">
        <w:t xml:space="preserve">creates </w:t>
      </w:r>
      <w:r w:rsidRPr="00A3437D" w:rsidR="00A00577">
        <w:t xml:space="preserve">the appropriate base </w:t>
      </w:r>
      <w:r w:rsidR="009F7D63">
        <w:t xml:space="preserve">for the </w:t>
      </w:r>
      <w:r w:rsidR="004E6BB0">
        <w:t>combined study area</w:t>
      </w:r>
      <w:r w:rsidR="009F7D63">
        <w:t xml:space="preserve"> </w:t>
      </w:r>
      <w:r w:rsidRPr="00A3437D" w:rsidR="00A00577">
        <w:t xml:space="preserve">to </w:t>
      </w:r>
      <w:r w:rsidR="009F7D63">
        <w:t xml:space="preserve">use to calculate </w:t>
      </w:r>
      <w:r w:rsidRPr="00A3437D" w:rsidR="00A00577">
        <w:t xml:space="preserve">Eligible Recovery.  </w:t>
      </w:r>
      <w:r w:rsidR="00C57332">
        <w:t>U</w:t>
      </w:r>
      <w:r w:rsidRPr="00A3437D" w:rsidR="00C57332">
        <w:t>s</w:t>
      </w:r>
      <w:r w:rsidR="00C57332">
        <w:t>ing</w:t>
      </w:r>
      <w:r w:rsidRPr="00A3437D" w:rsidR="00C57332">
        <w:t xml:space="preserve"> the combined </w:t>
      </w:r>
      <w:r w:rsidR="00C57332">
        <w:t xml:space="preserve">Base Period Revenue of </w:t>
      </w:r>
      <w:r w:rsidRPr="00A3437D" w:rsidR="00C57332">
        <w:t xml:space="preserve">the </w:t>
      </w:r>
      <w:r w:rsidR="00BD6D9F">
        <w:t>consolidating</w:t>
      </w:r>
      <w:r w:rsidRPr="00A3437D" w:rsidR="00C57332">
        <w:t xml:space="preserve"> study areas and </w:t>
      </w:r>
      <w:r w:rsidR="00C57332">
        <w:t>subtracting the</w:t>
      </w:r>
      <w:r w:rsidRPr="00A3437D" w:rsidR="00C57332">
        <w:t xml:space="preserve"> </w:t>
      </w:r>
      <w:r w:rsidR="00C57332">
        <w:t xml:space="preserve">requisite </w:t>
      </w:r>
      <w:r w:rsidRPr="00A3437D" w:rsidR="00C57332">
        <w:t xml:space="preserve">projected switched access revenues </w:t>
      </w:r>
      <w:r w:rsidR="00C57332">
        <w:t xml:space="preserve">and net reciprocal compensation revenues </w:t>
      </w:r>
      <w:r w:rsidRPr="00A3437D" w:rsidR="00C57332">
        <w:t xml:space="preserve">of </w:t>
      </w:r>
      <w:r w:rsidR="00C57332">
        <w:t>those study areas</w:t>
      </w:r>
      <w:r w:rsidRPr="00A3437D" w:rsidR="00C57332">
        <w:t xml:space="preserve"> from th</w:t>
      </w:r>
      <w:r w:rsidR="00C57332">
        <w:t xml:space="preserve">is calculation for </w:t>
      </w:r>
      <w:r w:rsidRPr="00A3437D" w:rsidR="00C57332">
        <w:t xml:space="preserve">the </w:t>
      </w:r>
      <w:r w:rsidR="00BD6D9F">
        <w:t>consolidated</w:t>
      </w:r>
      <w:r w:rsidRPr="00A3437D" w:rsidR="00C57332">
        <w:t xml:space="preserve"> study area will maintain the appropriate relationship between the components (Base Period Revenue and projected revenues) used in calculating the Eligible Recovery of the </w:t>
      </w:r>
      <w:r w:rsidR="00BD6D9F">
        <w:t>consolidated</w:t>
      </w:r>
      <w:r w:rsidRPr="00A3437D" w:rsidR="00C57332">
        <w:t xml:space="preserve"> </w:t>
      </w:r>
      <w:r w:rsidR="00C57332">
        <w:t>study area</w:t>
      </w:r>
      <w:r w:rsidRPr="00A3437D" w:rsidR="00A00577">
        <w:t>.</w:t>
      </w:r>
      <w:r>
        <w:rPr>
          <w:rStyle w:val="FootnoteReference"/>
        </w:rPr>
        <w:footnoteReference w:id="36"/>
      </w:r>
      <w:r w:rsidRPr="00A3437D" w:rsidR="00A00577">
        <w:t xml:space="preserve">  </w:t>
      </w:r>
    </w:p>
    <w:p w:rsidR="00A00577" w:rsidRPr="00A3437D" w:rsidP="00A00577" w14:paraId="6388B145" w14:textId="44276AE7">
      <w:pPr>
        <w:pStyle w:val="ParaNum"/>
      </w:pPr>
      <w:r w:rsidRPr="00A3437D">
        <w:t>Second,</w:t>
      </w:r>
      <w:r w:rsidR="00BD6F4A">
        <w:t xml:space="preserve"> w</w:t>
      </w:r>
      <w:r w:rsidRPr="00A3437D" w:rsidR="00BD6F4A">
        <w:t>e find the proposed rate band assignments to be reasonable.</w:t>
      </w:r>
      <w:r>
        <w:rPr>
          <w:rStyle w:val="FootnoteReference"/>
        </w:rPr>
        <w:footnoteReference w:id="37"/>
      </w:r>
      <w:r w:rsidR="00BD6F4A">
        <w:t xml:space="preserve">  A</w:t>
      </w:r>
      <w:r w:rsidRPr="00A3437D">
        <w:t xml:space="preserve">s participants in the NECA traffic-sensitive tariff, </w:t>
      </w:r>
      <w:r w:rsidR="00FD0F7A">
        <w:t>Marne Elk Horn</w:t>
      </w:r>
      <w:r w:rsidR="000043B3">
        <w:t>’s</w:t>
      </w:r>
      <w:r w:rsidR="00543039">
        <w:t xml:space="preserve"> and Walnut’s</w:t>
      </w:r>
      <w:r w:rsidRPr="00A3437D" w:rsidR="00543039">
        <w:t xml:space="preserve"> </w:t>
      </w:r>
      <w:r w:rsidRPr="00A3437D">
        <w:t xml:space="preserve">local switching, dedicated transport and tandem switching rates in the </w:t>
      </w:r>
      <w:r w:rsidR="00BD6D9F">
        <w:t>consolidating</w:t>
      </w:r>
      <w:r w:rsidRPr="00A3437D">
        <w:t xml:space="preserve"> study areas will be included in rate bands reflecting comparable cost groupings, per section 51.909(a) of the </w:t>
      </w:r>
      <w:r w:rsidR="0068424E">
        <w:t xml:space="preserve">Commission’s </w:t>
      </w:r>
      <w:r w:rsidRPr="00A3437D">
        <w:t>rules.</w:t>
      </w:r>
      <w:r>
        <w:rPr>
          <w:rStyle w:val="FootnoteReference"/>
        </w:rPr>
        <w:footnoteReference w:id="38"/>
      </w:r>
      <w:r w:rsidRPr="00A3437D">
        <w:t xml:space="preserve">  </w:t>
      </w:r>
      <w:r w:rsidR="0068424E">
        <w:t>Post-</w:t>
      </w:r>
      <w:r w:rsidR="00AE1599">
        <w:t>consolidation</w:t>
      </w:r>
      <w:r w:rsidR="0068424E">
        <w:t xml:space="preserve">, the combined </w:t>
      </w:r>
      <w:r w:rsidR="004E6BB0">
        <w:t>study area</w:t>
      </w:r>
      <w:r w:rsidR="0068424E">
        <w:t xml:space="preserve"> </w:t>
      </w:r>
      <w:r w:rsidR="007C3F0F">
        <w:t xml:space="preserve">will </w:t>
      </w:r>
      <w:r w:rsidRPr="00A3437D">
        <w:t xml:space="preserve">charge a single rate for each rate element.  </w:t>
      </w:r>
      <w:r w:rsidR="009B13E4">
        <w:t xml:space="preserve">Combining </w:t>
      </w:r>
      <w:r w:rsidR="2F59FCDC">
        <w:t>the M</w:t>
      </w:r>
      <w:r w:rsidR="000F43DE">
        <w:t xml:space="preserve">arne Elk Horn </w:t>
      </w:r>
      <w:r w:rsidR="43D0CACE">
        <w:t>and Walnut study areas</w:t>
      </w:r>
      <w:r w:rsidR="009B13E4">
        <w:t xml:space="preserve"> in this way </w:t>
      </w:r>
      <w:r>
        <w:t xml:space="preserve">may </w:t>
      </w:r>
      <w:r w:rsidRPr="00A3437D">
        <w:t xml:space="preserve">warrant </w:t>
      </w:r>
      <w:r w:rsidR="00C85514">
        <w:t xml:space="preserve">rates for </w:t>
      </w:r>
      <w:r w:rsidRPr="00A3437D">
        <w:t xml:space="preserve">one or more </w:t>
      </w:r>
      <w:r w:rsidR="007F42AE">
        <w:t xml:space="preserve">services </w:t>
      </w:r>
      <w:r w:rsidRPr="00A3437D">
        <w:t xml:space="preserve">being included in different rate bands after the </w:t>
      </w:r>
      <w:r w:rsidR="004E6BB0">
        <w:t>consolidation</w:t>
      </w:r>
      <w:r w:rsidRPr="00A3437D">
        <w:t xml:space="preserve">.  </w:t>
      </w:r>
    </w:p>
    <w:p w:rsidR="00BD6F4A" w:rsidP="00F778E8" w14:paraId="0711B88C" w14:textId="2A48AEE1">
      <w:pPr>
        <w:pStyle w:val="ParaNum"/>
      </w:pPr>
      <w:r>
        <w:t>T</w:t>
      </w:r>
      <w:r w:rsidRPr="00A3437D" w:rsidR="0E775C06">
        <w:t xml:space="preserve">he changes </w:t>
      </w:r>
      <w:r>
        <w:t>caused by the</w:t>
      </w:r>
      <w:r w:rsidR="4F372B57">
        <w:t xml:space="preserve"> study area</w:t>
      </w:r>
      <w:r>
        <w:t xml:space="preserve"> </w:t>
      </w:r>
      <w:r w:rsidR="174BBFE7">
        <w:t>consolidation</w:t>
      </w:r>
      <w:r>
        <w:t xml:space="preserve"> </w:t>
      </w:r>
      <w:r w:rsidRPr="00A3437D" w:rsidR="0E775C06">
        <w:t xml:space="preserve">will result in some traffic being </w:t>
      </w:r>
      <w:r w:rsidR="1F5D72CA">
        <w:t xml:space="preserve">assigned to </w:t>
      </w:r>
      <w:r w:rsidRPr="00A3437D" w:rsidR="0E775C06">
        <w:t>a higher rate</w:t>
      </w:r>
      <w:r w:rsidR="70346A88">
        <w:t xml:space="preserve"> band</w:t>
      </w:r>
      <w:r w:rsidRPr="00A3437D" w:rsidR="0E775C06">
        <w:t xml:space="preserve">, </w:t>
      </w:r>
      <w:r w:rsidR="00284441">
        <w:t xml:space="preserve">some to the same rate band, </w:t>
      </w:r>
      <w:r w:rsidRPr="00A3437D" w:rsidR="0E775C06">
        <w:t xml:space="preserve">while other traffic </w:t>
      </w:r>
      <w:r w:rsidR="0E775C06">
        <w:t xml:space="preserve">will be </w:t>
      </w:r>
      <w:r w:rsidR="70346A88">
        <w:t xml:space="preserve">assigned to </w:t>
      </w:r>
      <w:r w:rsidRPr="00A3437D" w:rsidR="0E775C06">
        <w:t>a lower rate</w:t>
      </w:r>
      <w:r w:rsidR="70346A88">
        <w:t xml:space="preserve"> band</w:t>
      </w:r>
      <w:r>
        <w:t>,</w:t>
      </w:r>
      <w:r w:rsidRPr="00A3437D" w:rsidR="0E775C06">
        <w:t xml:space="preserve"> than it was prior to the </w:t>
      </w:r>
      <w:r w:rsidR="174BBFE7">
        <w:t>consolidation</w:t>
      </w:r>
      <w:r w:rsidRPr="00A3437D" w:rsidR="0E775C06">
        <w:t>.</w:t>
      </w:r>
      <w:r>
        <w:rPr>
          <w:rStyle w:val="FootnoteReference"/>
          <w:color w:val="000000"/>
        </w:rPr>
        <w:footnoteReference w:id="39"/>
      </w:r>
      <w:r w:rsidRPr="00A3437D" w:rsidR="0E775C06">
        <w:t xml:space="preserve">  This banding process is the pooling equivalent of composite rate development approved in the </w:t>
      </w:r>
      <w:r w:rsidRPr="1A74F8E7" w:rsidR="0E775C06">
        <w:rPr>
          <w:i/>
          <w:iCs/>
        </w:rPr>
        <w:t>2012 Average Schedule Conversion Order</w:t>
      </w:r>
      <w:r w:rsidRPr="00A3437D" w:rsidR="0E775C06">
        <w:t>.</w:t>
      </w:r>
      <w:r>
        <w:rPr>
          <w:rStyle w:val="FootnoteReference"/>
        </w:rPr>
        <w:footnoteReference w:id="40"/>
      </w:r>
      <w:r w:rsidRPr="00A3437D" w:rsidR="0E775C06">
        <w:t xml:space="preserve">  The new rates for </w:t>
      </w:r>
      <w:r w:rsidR="1926A474">
        <w:t xml:space="preserve">METC </w:t>
      </w:r>
      <w:r w:rsidRPr="00A3437D" w:rsidR="0E775C06">
        <w:t xml:space="preserve">become the rate caps for the affected rate elements.  </w:t>
      </w:r>
      <w:r w:rsidR="32263082">
        <w:t xml:space="preserve">METC </w:t>
      </w:r>
      <w:r w:rsidR="27D7A292">
        <w:t xml:space="preserve">states that combining the study areas </w:t>
      </w:r>
      <w:r w:rsidR="2ACC4870">
        <w:t xml:space="preserve">will </w:t>
      </w:r>
      <w:r w:rsidR="2FAA5DA2">
        <w:t xml:space="preserve">have </w:t>
      </w:r>
      <w:r w:rsidR="2ACC4870">
        <w:t xml:space="preserve">no impact on </w:t>
      </w:r>
      <w:r w:rsidR="4FE1BB09">
        <w:t xml:space="preserve">the merged </w:t>
      </w:r>
      <w:r w:rsidR="2B3EEF0B">
        <w:t xml:space="preserve">carrier’s </w:t>
      </w:r>
      <w:r w:rsidR="2ACC4870">
        <w:t>switched access revenue</w:t>
      </w:r>
      <w:r w:rsidR="2B3EEF0B">
        <w:t>s</w:t>
      </w:r>
      <w:r w:rsidR="295D623F">
        <w:t xml:space="preserve"> </w:t>
      </w:r>
      <w:r w:rsidR="4FE1BB09">
        <w:t xml:space="preserve">or </w:t>
      </w:r>
      <w:r w:rsidR="295D623F">
        <w:t>CAF/ICC support.</w:t>
      </w:r>
      <w:r>
        <w:rPr>
          <w:rStyle w:val="FootnoteReference"/>
        </w:rPr>
        <w:footnoteReference w:id="41"/>
      </w:r>
      <w:r w:rsidR="295D623F">
        <w:t xml:space="preserve">  </w:t>
      </w:r>
      <w:r w:rsidR="00275C98">
        <w:t>We agree with this conclusion, and w</w:t>
      </w:r>
      <w:r w:rsidRPr="00A3437D" w:rsidR="0E775C06">
        <w:t xml:space="preserve">e </w:t>
      </w:r>
      <w:r w:rsidR="1F8FA75E">
        <w:t xml:space="preserve">therefore </w:t>
      </w:r>
      <w:r w:rsidRPr="00A3437D" w:rsidR="0E775C06">
        <w:t xml:space="preserve">agree with </w:t>
      </w:r>
      <w:r w:rsidR="00543039">
        <w:t>METC</w:t>
      </w:r>
      <w:r w:rsidRPr="00A3437D" w:rsidR="00543039">
        <w:t xml:space="preserve"> </w:t>
      </w:r>
      <w:r w:rsidRPr="00A3437D" w:rsidR="0E775C06">
        <w:t xml:space="preserve">that the </w:t>
      </w:r>
      <w:r w:rsidR="76CA613A">
        <w:t>study area consolidation</w:t>
      </w:r>
      <w:r w:rsidRPr="00A3437D" w:rsidR="0E775C06">
        <w:t xml:space="preserve"> will</w:t>
      </w:r>
      <w:r w:rsidR="028FD03E">
        <w:t xml:space="preserve"> </w:t>
      </w:r>
      <w:r w:rsidRPr="00A3437D" w:rsidR="0E775C06">
        <w:t>serve the public interest</w:t>
      </w:r>
      <w:r w:rsidR="003F5CAD">
        <w:t>.</w:t>
      </w:r>
      <w:r>
        <w:rPr>
          <w:rStyle w:val="FootnoteReference"/>
        </w:rPr>
        <w:footnoteReference w:id="42"/>
      </w:r>
      <w:r w:rsidRPr="00A3437D" w:rsidR="0E775C06">
        <w:t xml:space="preserve"> </w:t>
      </w:r>
      <w:r w:rsidR="003F5CAD">
        <w:t xml:space="preserve"> It will produce</w:t>
      </w:r>
      <w:r w:rsidRPr="00A3437D" w:rsidR="0E775C06">
        <w:t xml:space="preserve"> administrative cost savings and </w:t>
      </w:r>
      <w:r w:rsidR="0D3E2613">
        <w:t>advanc</w:t>
      </w:r>
      <w:r w:rsidR="003F5CAD">
        <w:t>e</w:t>
      </w:r>
      <w:r w:rsidRPr="00A3437D" w:rsidR="0D3E2613">
        <w:t xml:space="preserve"> </w:t>
      </w:r>
      <w:r w:rsidRPr="00A3437D" w:rsidR="0E775C06">
        <w:t>the Commission’s goal of encouraging carriers to become more efficient and to increase productivity</w:t>
      </w:r>
      <w:r w:rsidR="003F5CAD">
        <w:t>.</w:t>
      </w:r>
      <w:r>
        <w:rPr>
          <w:rStyle w:val="FootnoteReference"/>
          <w:color w:val="000000"/>
        </w:rPr>
        <w:footnoteReference w:id="43"/>
      </w:r>
      <w:r w:rsidR="003F5CAD">
        <w:t xml:space="preserve">  </w:t>
      </w:r>
      <w:r w:rsidR="000043B3">
        <w:t>This</w:t>
      </w:r>
      <w:r w:rsidR="113FB002">
        <w:t>, over time,</w:t>
      </w:r>
      <w:r w:rsidR="003F5CAD">
        <w:t xml:space="preserve"> will</w:t>
      </w:r>
      <w:r w:rsidR="113FB002">
        <w:t xml:space="preserve"> </w:t>
      </w:r>
      <w:r w:rsidR="002EAE06">
        <w:t xml:space="preserve">tend to </w:t>
      </w:r>
      <w:r w:rsidR="00FD0F7A">
        <w:t xml:space="preserve">result in improved service, including </w:t>
      </w:r>
      <w:r w:rsidRPr="00A3437D" w:rsidR="00FD0F7A">
        <w:t>increased investment in broadband deployment</w:t>
      </w:r>
      <w:r w:rsidR="00FD0F7A">
        <w:t xml:space="preserve">, while ensuring no increase in </w:t>
      </w:r>
      <w:r w:rsidR="113FB002">
        <w:t>demand on the high</w:t>
      </w:r>
      <w:r w:rsidR="00794161">
        <w:t>-</w:t>
      </w:r>
      <w:r w:rsidR="113FB002">
        <w:t>cost program</w:t>
      </w:r>
      <w:r w:rsidRPr="00A3437D" w:rsidR="0E775C06">
        <w:t xml:space="preserve">.  </w:t>
      </w:r>
    </w:p>
    <w:p w:rsidR="00E53636" w:rsidP="00F778E8" w14:paraId="5864D275" w14:textId="049E5274">
      <w:pPr>
        <w:pStyle w:val="ParaNum"/>
      </w:pPr>
      <w:bookmarkStart w:id="1" w:name="_Hlk82616901"/>
      <w:r>
        <w:t>Our g</w:t>
      </w:r>
      <w:r w:rsidRPr="00A3437D">
        <w:t xml:space="preserve">rant of the </w:t>
      </w:r>
      <w:r>
        <w:t>METC</w:t>
      </w:r>
      <w:r w:rsidRPr="00A3437D">
        <w:t xml:space="preserve"> Petition will be effective</w:t>
      </w:r>
      <w:r w:rsidRPr="00EC1A9D" w:rsidR="00EC1A9D">
        <w:t xml:space="preserve"> </w:t>
      </w:r>
      <w:r w:rsidR="00EC1A9D">
        <w:t>upon the date of the merger between Marne Elk Horn and Walnut</w:t>
      </w:r>
      <w:r w:rsidRPr="00A3437D">
        <w:t>.</w:t>
      </w:r>
      <w:r>
        <w:rPr>
          <w:rStyle w:val="FootnoteReference"/>
        </w:rPr>
        <w:footnoteReference w:id="44"/>
      </w:r>
      <w:r w:rsidRPr="00A3437D">
        <w:t xml:space="preserve">  </w:t>
      </w:r>
    </w:p>
    <w:bookmarkEnd w:id="1"/>
    <w:p w:rsidR="00A00577" w14:paraId="4DE1898E" w14:textId="77777777">
      <w:pPr>
        <w:pStyle w:val="Heading1"/>
      </w:pPr>
      <w:r>
        <w:t>Ordering Clauses</w:t>
      </w:r>
    </w:p>
    <w:p w:rsidR="00D963C5" w:rsidRPr="00A3437D" w:rsidP="004C01E1" w14:paraId="22689E3E" w14:textId="222D436E">
      <w:pPr>
        <w:pStyle w:val="ParaNum"/>
        <w:widowControl/>
      </w:pPr>
      <w:r w:rsidRPr="00A3437D">
        <w:t>Accordingly, IT IS ORDERED, pursuant to sections 4(i), 5, 201-203</w:t>
      </w:r>
      <w:r>
        <w:t xml:space="preserve"> and 254(g)</w:t>
      </w:r>
      <w:r w:rsidRPr="00A3437D">
        <w:t xml:space="preserve"> of the Communications Act of 1934, as amended, 47 U.S.C. §§ 154(i), 155, 201-203, 254(g), and sections 0.91, 0.29</w:t>
      </w:r>
      <w:r>
        <w:t>1 and</w:t>
      </w:r>
      <w:r w:rsidRPr="00A3437D">
        <w:t xml:space="preserve"> 1.3 of the Commission’s rules, 47 CFR §§ 0.91, 0.291, 1.3, that the Petition for Waiver filed by </w:t>
      </w:r>
      <w:r w:rsidR="7CA5686B">
        <w:t>Marne Elk Horn Telephone</w:t>
      </w:r>
      <w:r w:rsidR="00315F5A">
        <w:t xml:space="preserve"> </w:t>
      </w:r>
      <w:r w:rsidR="7CA5686B">
        <w:t>Company</w:t>
      </w:r>
      <w:r w:rsidRPr="00A3437D">
        <w:t xml:space="preserve"> on </w:t>
      </w:r>
      <w:r w:rsidR="5E37C182">
        <w:t xml:space="preserve">June </w:t>
      </w:r>
      <w:r w:rsidR="3368321D">
        <w:t>9</w:t>
      </w:r>
      <w:r w:rsidR="00315F5A">
        <w:t>, 202</w:t>
      </w:r>
      <w:r w:rsidR="77DD405F">
        <w:t>1</w:t>
      </w:r>
      <w:r w:rsidRPr="00A3437D">
        <w:t xml:space="preserve"> IS GRANTED AS PROVIDED HEREIN.</w:t>
      </w:r>
    </w:p>
    <w:p w:rsidR="00A00577" w:rsidP="00D963C5" w14:paraId="6A124DB2" w14:textId="77777777">
      <w:pPr>
        <w:pStyle w:val="ParaNum"/>
        <w:widowControl/>
      </w:pPr>
      <w:r w:rsidRPr="00A3437D">
        <w:t>IT IS FURTHER ORDERED that pursuant to section 1.102(b)(1) of the Commission’s rules, 47 CFR § 1.102(b)(1), this Order SHALL BE EFFECTIVE upon release</w:t>
      </w:r>
      <w:r>
        <w:t>.</w:t>
      </w:r>
    </w:p>
    <w:p w:rsidR="00806C05" w:rsidP="00D963C5" w14:paraId="5B3B83FF" w14:textId="77777777">
      <w:pPr>
        <w:pStyle w:val="ParaNum"/>
        <w:numPr>
          <w:ilvl w:val="0"/>
          <w:numId w:val="0"/>
        </w:numPr>
      </w:pPr>
    </w:p>
    <w:p w:rsidR="00F83B13" w:rsidP="00F83B13" w14:paraId="1543C1C7" w14:textId="77777777">
      <w:pPr>
        <w:pStyle w:val="ParaNum"/>
        <w:numPr>
          <w:ilvl w:val="0"/>
          <w:numId w:val="0"/>
        </w:numPr>
        <w:ind w:left="4320"/>
        <w:rPr>
          <w:color w:val="000000"/>
          <w:szCs w:val="22"/>
        </w:rPr>
      </w:pPr>
      <w:r>
        <w:rPr>
          <w:color w:val="000000"/>
          <w:szCs w:val="22"/>
        </w:rPr>
        <w:t>FEDERAL COMMUNICATIONS COMMISSION</w:t>
      </w:r>
    </w:p>
    <w:p w:rsidR="00F83B13" w:rsidP="00F83B13" w14:paraId="636DB799" w14:textId="77777777">
      <w:pPr>
        <w:pStyle w:val="ParaNum"/>
        <w:numPr>
          <w:ilvl w:val="0"/>
          <w:numId w:val="0"/>
        </w:numPr>
        <w:rPr>
          <w:color w:val="000000"/>
          <w:szCs w:val="22"/>
        </w:rPr>
      </w:pPr>
    </w:p>
    <w:p w:rsidR="00F83B13" w:rsidP="00F83B13" w14:paraId="03294D4A" w14:textId="77777777">
      <w:pPr>
        <w:pStyle w:val="ParaNum"/>
        <w:numPr>
          <w:ilvl w:val="0"/>
          <w:numId w:val="0"/>
        </w:numPr>
        <w:rPr>
          <w:color w:val="000000"/>
          <w:szCs w:val="22"/>
        </w:rPr>
      </w:pPr>
    </w:p>
    <w:p w:rsidR="00F83B13" w:rsidP="00F83B13" w14:paraId="6286C827" w14:textId="77777777">
      <w:pPr>
        <w:pStyle w:val="ParaNum"/>
        <w:numPr>
          <w:ilvl w:val="0"/>
          <w:numId w:val="0"/>
        </w:numPr>
        <w:spacing w:after="0"/>
        <w:ind w:left="3600" w:firstLine="720"/>
        <w:rPr>
          <w:color w:val="000000"/>
          <w:szCs w:val="22"/>
        </w:rPr>
      </w:pPr>
      <w:r>
        <w:rPr>
          <w:color w:val="000000"/>
          <w:szCs w:val="22"/>
        </w:rPr>
        <w:t>Kris Anne Monteith</w:t>
      </w:r>
    </w:p>
    <w:p w:rsidR="00F83B13" w:rsidP="00F83B13" w14:paraId="67B969D1" w14:textId="77777777">
      <w:pPr>
        <w:pStyle w:val="ParaNum"/>
        <w:numPr>
          <w:ilvl w:val="0"/>
          <w:numId w:val="0"/>
        </w:numPr>
        <w:spacing w:after="0"/>
        <w:ind w:left="3600" w:firstLine="720"/>
        <w:rPr>
          <w:color w:val="000000"/>
          <w:szCs w:val="22"/>
        </w:rPr>
      </w:pPr>
      <w:r>
        <w:rPr>
          <w:color w:val="000000"/>
          <w:szCs w:val="22"/>
        </w:rPr>
        <w:t>Chief</w:t>
      </w:r>
    </w:p>
    <w:p w:rsidR="00F83B13" w:rsidP="00F83B13" w14:paraId="4F1D6C1D" w14:textId="77777777">
      <w:pPr>
        <w:pStyle w:val="ParaNum"/>
        <w:numPr>
          <w:ilvl w:val="0"/>
          <w:numId w:val="0"/>
        </w:numPr>
        <w:spacing w:after="0"/>
        <w:ind w:left="3600" w:firstLine="720"/>
        <w:rPr>
          <w:color w:val="000000"/>
          <w:szCs w:val="22"/>
        </w:rPr>
      </w:pPr>
      <w:r>
        <w:rPr>
          <w:color w:val="000000"/>
          <w:szCs w:val="22"/>
        </w:rPr>
        <w:t>Wireline Competition Bureau</w:t>
      </w:r>
    </w:p>
    <w:p w:rsidR="00F83B13" w:rsidRPr="00A00577" w:rsidP="00F83B13" w14:paraId="36C971AC" w14:textId="77777777">
      <w:pPr>
        <w:pStyle w:val="ParaNum"/>
        <w:numPr>
          <w:ilvl w:val="0"/>
          <w:numId w:val="0"/>
        </w:numPr>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39F7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E7AC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963C5" w14:paraId="46125E08" w14:textId="337A375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EBBF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6BD2" w14:paraId="1B6FFE63" w14:textId="77777777">
      <w:r>
        <w:separator/>
      </w:r>
    </w:p>
  </w:footnote>
  <w:footnote w:type="continuationSeparator" w:id="1">
    <w:p w:rsidR="00956BD2" w:rsidP="00C721AC" w14:paraId="4A66BFFE" w14:textId="77777777">
      <w:pPr>
        <w:spacing w:before="120"/>
        <w:rPr>
          <w:sz w:val="20"/>
        </w:rPr>
      </w:pPr>
      <w:r>
        <w:rPr>
          <w:sz w:val="20"/>
        </w:rPr>
        <w:t xml:space="preserve">(Continued from previous page)  </w:t>
      </w:r>
      <w:r>
        <w:rPr>
          <w:sz w:val="20"/>
        </w:rPr>
        <w:separator/>
      </w:r>
    </w:p>
  </w:footnote>
  <w:footnote w:type="continuationNotice" w:id="2">
    <w:p w:rsidR="00956BD2" w:rsidP="00C721AC" w14:paraId="5217E1EA" w14:textId="77777777">
      <w:pPr>
        <w:jc w:val="right"/>
        <w:rPr>
          <w:sz w:val="20"/>
        </w:rPr>
      </w:pPr>
      <w:r>
        <w:rPr>
          <w:sz w:val="20"/>
        </w:rPr>
        <w:t>(continued….)</w:t>
      </w:r>
    </w:p>
  </w:footnote>
  <w:footnote w:id="3">
    <w:p w:rsidR="004F08BD" w:rsidRPr="006C0E3F" w:rsidP="00EF3410" w14:paraId="3DEEBF46" w14:textId="4A718292">
      <w:pPr>
        <w:widowControl/>
        <w:autoSpaceDE w:val="0"/>
        <w:autoSpaceDN w:val="0"/>
        <w:adjustRightInd w:val="0"/>
        <w:spacing w:after="120"/>
        <w:rPr>
          <w:snapToGrid/>
          <w:kern w:val="0"/>
          <w:sz w:val="20"/>
        </w:rPr>
      </w:pPr>
      <w:r>
        <w:rPr>
          <w:rStyle w:val="FootnoteReference"/>
        </w:rPr>
        <w:footnoteRef/>
      </w:r>
      <w:r w:rsidR="3E7EDDE8">
        <w:t xml:space="preserve"> </w:t>
      </w:r>
      <w:r w:rsidRPr="3E7EDDE8" w:rsidR="3E7EDDE8">
        <w:rPr>
          <w:i/>
          <w:iCs/>
          <w:sz w:val="20"/>
        </w:rPr>
        <w:t xml:space="preserve">See </w:t>
      </w:r>
      <w:r w:rsidRPr="3E7EDDE8" w:rsidR="3E7EDDE8">
        <w:rPr>
          <w:sz w:val="20"/>
        </w:rPr>
        <w:t xml:space="preserve">Marne Elk Horn Telephone Company Petition for Waiver of Sections </w:t>
      </w:r>
      <w:r w:rsidRPr="3E7EDDE8" w:rsidR="3E7EDDE8">
        <w:rPr>
          <w:snapToGrid/>
          <w:kern w:val="0"/>
          <w:sz w:val="20"/>
        </w:rPr>
        <w:t>51.909(a), 51.917(b)(1) and 51.917(b)(7) of the Commission’s Rules to modify access rate bands and charges, and 2011 Switched Access Revenue Requirement and 2011 Base Period Revenue in connection with the merger of affiliated study areas in Iowa, WC Docket No. 21-28</w:t>
      </w:r>
      <w:r w:rsidR="001A482B">
        <w:rPr>
          <w:snapToGrid/>
          <w:kern w:val="0"/>
          <w:sz w:val="20"/>
        </w:rPr>
        <w:t>1</w:t>
      </w:r>
      <w:r w:rsidRPr="3E7EDDE8" w:rsidR="3E7EDDE8">
        <w:rPr>
          <w:snapToGrid/>
          <w:kern w:val="0"/>
          <w:sz w:val="20"/>
        </w:rPr>
        <w:t xml:space="preserve"> (filed </w:t>
      </w:r>
      <w:r w:rsidR="00CC1B0C">
        <w:rPr>
          <w:sz w:val="20"/>
        </w:rPr>
        <w:t xml:space="preserve">June 9, </w:t>
      </w:r>
      <w:r w:rsidR="00FE35E5">
        <w:rPr>
          <w:sz w:val="20"/>
        </w:rPr>
        <w:t>2021</w:t>
      </w:r>
      <w:r w:rsidRPr="3E7EDDE8" w:rsidR="3E7EDDE8">
        <w:rPr>
          <w:snapToGrid/>
          <w:kern w:val="0"/>
          <w:sz w:val="20"/>
        </w:rPr>
        <w:t>)</w:t>
      </w:r>
      <w:r w:rsidR="00EF3410">
        <w:rPr>
          <w:snapToGrid/>
          <w:kern w:val="0"/>
          <w:sz w:val="20"/>
        </w:rPr>
        <w:t xml:space="preserve">, </w:t>
      </w:r>
      <w:r w:rsidRPr="00EF3410" w:rsidR="00EF3410">
        <w:rPr>
          <w:snapToGrid/>
          <w:kern w:val="0"/>
          <w:sz w:val="20"/>
        </w:rPr>
        <w:t>https://ecfsapi.fcc.gov/file/10630870303109/Marne%20Elk%20Horn%20Petition.pdf</w:t>
      </w:r>
      <w:r w:rsidR="00805C4F">
        <w:rPr>
          <w:snapToGrid/>
          <w:kern w:val="0"/>
          <w:sz w:val="20"/>
        </w:rPr>
        <w:t xml:space="preserve">; </w:t>
      </w:r>
      <w:r w:rsidR="00F20567">
        <w:rPr>
          <w:snapToGrid/>
          <w:kern w:val="0"/>
          <w:sz w:val="20"/>
        </w:rPr>
        <w:t xml:space="preserve">Letter from Dan Davis, </w:t>
      </w:r>
      <w:r w:rsidR="00C077F5">
        <w:rPr>
          <w:snapToGrid/>
          <w:kern w:val="0"/>
          <w:sz w:val="20"/>
        </w:rPr>
        <w:t xml:space="preserve">consultant to Marne Elk Horn Telephone Company, to Marlene H. Dortch, Secretary, FCC, WC </w:t>
      </w:r>
      <w:r w:rsidR="00862834">
        <w:rPr>
          <w:snapToGrid/>
          <w:kern w:val="0"/>
          <w:sz w:val="20"/>
        </w:rPr>
        <w:t xml:space="preserve">Docket No. </w:t>
      </w:r>
      <w:r w:rsidR="00C077F5">
        <w:rPr>
          <w:snapToGrid/>
          <w:kern w:val="0"/>
          <w:sz w:val="20"/>
        </w:rPr>
        <w:t>21-281</w:t>
      </w:r>
      <w:r w:rsidR="00C60C4D">
        <w:rPr>
          <w:snapToGrid/>
          <w:kern w:val="0"/>
          <w:sz w:val="20"/>
        </w:rPr>
        <w:t xml:space="preserve"> (filed July 22, 2021)</w:t>
      </w:r>
      <w:r w:rsidR="00BA25DA">
        <w:rPr>
          <w:snapToGrid/>
          <w:kern w:val="0"/>
          <w:sz w:val="20"/>
        </w:rPr>
        <w:t xml:space="preserve"> (</w:t>
      </w:r>
      <w:r w:rsidR="000158E7">
        <w:rPr>
          <w:snapToGrid/>
          <w:kern w:val="0"/>
          <w:sz w:val="20"/>
        </w:rPr>
        <w:t xml:space="preserve">Revised </w:t>
      </w:r>
      <w:r w:rsidR="00BA25DA">
        <w:rPr>
          <w:snapToGrid/>
          <w:kern w:val="0"/>
          <w:sz w:val="20"/>
        </w:rPr>
        <w:t>Exhibit A</w:t>
      </w:r>
      <w:r w:rsidR="00AB31AC">
        <w:rPr>
          <w:snapToGrid/>
          <w:kern w:val="0"/>
          <w:sz w:val="20"/>
        </w:rPr>
        <w:t xml:space="preserve"> of the Petition)</w:t>
      </w:r>
      <w:r w:rsidR="00EF3410">
        <w:rPr>
          <w:snapToGrid/>
          <w:kern w:val="0"/>
          <w:sz w:val="20"/>
        </w:rPr>
        <w:t>; Letter from Dan Davis, consultant to Marne Elk Horn Telephone Company, to Marlene H. Dortch, Secretary, FCC, WC Docket No. 21</w:t>
      </w:r>
      <w:r w:rsidR="009D51E1">
        <w:rPr>
          <w:snapToGrid/>
          <w:kern w:val="0"/>
          <w:sz w:val="20"/>
        </w:rPr>
        <w:t>-</w:t>
      </w:r>
      <w:r w:rsidR="00EF3410">
        <w:rPr>
          <w:snapToGrid/>
          <w:kern w:val="0"/>
          <w:sz w:val="20"/>
        </w:rPr>
        <w:t xml:space="preserve">281 (filed Aug. 11, 2021) (filing the correct study area code </w:t>
      </w:r>
      <w:r w:rsidRPr="00EF3410" w:rsidR="00EF3410">
        <w:rPr>
          <w:snapToGrid/>
          <w:kern w:val="0"/>
          <w:sz w:val="20"/>
        </w:rPr>
        <w:t>for Marne Elk Horn Telephone Company</w:t>
      </w:r>
      <w:r w:rsidR="00EF3410">
        <w:rPr>
          <w:snapToGrid/>
          <w:kern w:val="0"/>
          <w:sz w:val="20"/>
        </w:rPr>
        <w:t>)</w:t>
      </w:r>
      <w:r w:rsidRPr="3E7EDDE8" w:rsidR="3E7EDDE8">
        <w:rPr>
          <w:snapToGrid/>
          <w:kern w:val="0"/>
          <w:sz w:val="20"/>
        </w:rPr>
        <w:t xml:space="preserve"> (</w:t>
      </w:r>
      <w:r w:rsidR="00BB524E">
        <w:rPr>
          <w:snapToGrid/>
          <w:kern w:val="0"/>
          <w:sz w:val="20"/>
        </w:rPr>
        <w:t xml:space="preserve">collectively </w:t>
      </w:r>
      <w:r w:rsidRPr="3E7EDDE8" w:rsidR="3E7EDDE8">
        <w:rPr>
          <w:snapToGrid/>
          <w:kern w:val="0"/>
          <w:sz w:val="20"/>
        </w:rPr>
        <w:t>METC Petition or Petition).</w:t>
      </w:r>
    </w:p>
  </w:footnote>
  <w:footnote w:id="4">
    <w:p w:rsidR="00566FB6" w:rsidRPr="00566FB6" w:rsidP="00566FB6" w14:paraId="0B2CA9A4" w14:textId="0CCF4FF0">
      <w:pPr>
        <w:pStyle w:val="FootnoteText"/>
      </w:pPr>
      <w:r>
        <w:rPr>
          <w:rStyle w:val="FootnoteReference"/>
        </w:rPr>
        <w:footnoteRef/>
      </w:r>
      <w:r>
        <w:t xml:space="preserve"> A study area is the geographic territory of an incumbent local exchange carrier</w:t>
      </w:r>
      <w:r w:rsidR="00ED2249">
        <w:t>’</w:t>
      </w:r>
      <w:r>
        <w:t>s telephone operations.</w:t>
      </w:r>
      <w:r w:rsidR="000A35AF">
        <w:t xml:space="preserve"> </w:t>
      </w:r>
      <w:r>
        <w:t xml:space="preserve"> </w:t>
      </w:r>
      <w:r w:rsidR="00F3613F">
        <w:rPr>
          <w:i/>
          <w:iCs/>
        </w:rPr>
        <w:t xml:space="preserve">See </w:t>
      </w:r>
      <w:r w:rsidR="00F3613F">
        <w:t>47</w:t>
      </w:r>
      <w:r>
        <w:t xml:space="preserve"> CFR Part 36 App</w:t>
      </w:r>
      <w:r w:rsidR="00252AC0">
        <w:t>.</w:t>
      </w:r>
      <w:r>
        <w:t xml:space="preserve">; </w:t>
      </w:r>
      <w:r>
        <w:rPr>
          <w:i/>
          <w:iCs/>
        </w:rPr>
        <w:t>US West Communications, Inc. &amp; Eagle Telecommunications, Inc. Joint Petition for Waiver of the Definition of “Study Area” Contained in Part 36, Appendix</w:t>
      </w:r>
      <w:r w:rsidR="00ED2249">
        <w:rPr>
          <w:i/>
          <w:iCs/>
        </w:rPr>
        <w:t>—</w:t>
      </w:r>
      <w:r w:rsidR="00F3613F">
        <w:rPr>
          <w:i/>
          <w:iCs/>
        </w:rPr>
        <w:t>Glossary of</w:t>
      </w:r>
      <w:r>
        <w:rPr>
          <w:i/>
          <w:iCs/>
        </w:rPr>
        <w:t xml:space="preserve"> the Commission’s Rules</w:t>
      </w:r>
      <w:r w:rsidRPr="00D963C5">
        <w:t>,</w:t>
      </w:r>
      <w:r>
        <w:rPr>
          <w:i/>
          <w:iCs/>
        </w:rPr>
        <w:t xml:space="preserve"> </w:t>
      </w:r>
      <w:r>
        <w:t xml:space="preserve">Memorandum Opinion and Order, 10 FCC </w:t>
      </w:r>
      <w:r>
        <w:t>Rcd</w:t>
      </w:r>
      <w:r>
        <w:t xml:space="preserve"> 1771, 1772, para. 5 (1995).</w:t>
      </w:r>
    </w:p>
  </w:footnote>
  <w:footnote w:id="5">
    <w:p w:rsidR="00566FB6" w:rsidRPr="00566FB6" w:rsidP="00566FB6" w14:paraId="4B74AE74" w14:textId="77777777">
      <w:pPr>
        <w:pStyle w:val="FootnoteText"/>
        <w:rPr>
          <w:i/>
          <w:color w:val="000000"/>
        </w:rPr>
      </w:pPr>
      <w:r>
        <w:rPr>
          <w:rStyle w:val="FootnoteReference"/>
        </w:rPr>
        <w:footnoteRef/>
      </w:r>
      <w:r>
        <w:t xml:space="preserve"> </w:t>
      </w:r>
      <w:r w:rsidRPr="00822619">
        <w:rPr>
          <w:i/>
          <w:color w:val="000000"/>
        </w:rPr>
        <w:t>Connect America Fund et al.</w:t>
      </w:r>
      <w:r w:rsidRPr="00822619">
        <w:rPr>
          <w:color w:val="000000"/>
        </w:rPr>
        <w:t xml:space="preserve">, WC Docket No. 10-90 et al., Report and Order and Further Notice of Proposed Rulemaking, 26 FCC </w:t>
      </w:r>
      <w:r w:rsidRPr="00822619">
        <w:rPr>
          <w:color w:val="000000"/>
        </w:rPr>
        <w:t>Rcd</w:t>
      </w:r>
      <w:r w:rsidRPr="00822619">
        <w:rPr>
          <w:color w:val="000000"/>
        </w:rPr>
        <w:t xml:space="preserve"> 17663 (2011) (</w:t>
      </w:r>
      <w:r w:rsidRPr="00822619">
        <w:rPr>
          <w:i/>
          <w:color w:val="000000"/>
        </w:rPr>
        <w:t xml:space="preserve">USF/ICC Transformation </w:t>
      </w:r>
      <w:bookmarkStart w:id="0" w:name="_Hlk523848279"/>
      <w:r w:rsidRPr="00822619">
        <w:rPr>
          <w:i/>
          <w:color w:val="000000"/>
        </w:rPr>
        <w:t>Order</w:t>
      </w:r>
      <w:bookmarkEnd w:id="0"/>
      <w:r w:rsidRPr="00822619">
        <w:rPr>
          <w:color w:val="000000"/>
        </w:rPr>
        <w:t xml:space="preserve">) </w:t>
      </w:r>
      <w:r w:rsidRPr="00822619">
        <w:rPr>
          <w:i/>
          <w:color w:val="000000"/>
        </w:rPr>
        <w:t>aff’d, In re</w:t>
      </w:r>
      <w:r w:rsidRPr="00822619">
        <w:rPr>
          <w:color w:val="000000"/>
        </w:rPr>
        <w:t xml:space="preserve"> </w:t>
      </w:r>
      <w:r w:rsidRPr="00822619">
        <w:rPr>
          <w:i/>
          <w:color w:val="000000"/>
        </w:rPr>
        <w:t>FCC 11-161</w:t>
      </w:r>
      <w:r w:rsidRPr="00822619">
        <w:rPr>
          <w:color w:val="000000"/>
        </w:rPr>
        <w:t>, 753 F.3d 1015 (10th Cir. 2014).</w:t>
      </w:r>
      <w:r w:rsidRPr="00822619">
        <w:rPr>
          <w:i/>
          <w:color w:val="000000"/>
        </w:rPr>
        <w:t xml:space="preserve">  </w:t>
      </w:r>
    </w:p>
  </w:footnote>
  <w:footnote w:id="6">
    <w:p w:rsidR="00566FB6" w14:paraId="5655629E" w14:textId="5BA3F992">
      <w:pPr>
        <w:pStyle w:val="FootnoteText"/>
      </w:pPr>
      <w:r>
        <w:rPr>
          <w:rStyle w:val="FootnoteReference"/>
        </w:rPr>
        <w:footnoteRef/>
      </w:r>
      <w:r>
        <w:t xml:space="preserve"> </w:t>
      </w:r>
      <w:r w:rsidRPr="00822619">
        <w:rPr>
          <w:i/>
          <w:color w:val="000000"/>
        </w:rPr>
        <w:t xml:space="preserve">See </w:t>
      </w:r>
      <w:r w:rsidRPr="00822619">
        <w:rPr>
          <w:color w:val="000000"/>
        </w:rPr>
        <w:t>47 CFR § 51.909(a).  Originating intrastate switched access rates for rate-of-return carriers were exempt</w:t>
      </w:r>
      <w:r w:rsidR="009B12C3">
        <w:rPr>
          <w:color w:val="000000"/>
        </w:rPr>
        <w:t>ed</w:t>
      </w:r>
      <w:r w:rsidRPr="00822619">
        <w:rPr>
          <w:color w:val="000000"/>
        </w:rPr>
        <w:t xml:space="preserve"> from the rate cap.  </w:t>
      </w:r>
    </w:p>
  </w:footnote>
  <w:footnote w:id="7">
    <w:p w:rsidR="000A5F6A" w:rsidRPr="0012386D" w:rsidP="006C0E3F" w14:paraId="24B5365F" w14:textId="7FAAF7CD">
      <w:pPr>
        <w:pStyle w:val="FootnoteText"/>
        <w:rPr>
          <w:b/>
          <w:bCs/>
        </w:rPr>
      </w:pPr>
      <w:r>
        <w:rPr>
          <w:rStyle w:val="FootnoteReference"/>
        </w:rPr>
        <w:footnoteRef/>
      </w:r>
      <w:r>
        <w:t xml:space="preserve"> </w:t>
      </w:r>
      <w:r w:rsidRPr="00822619">
        <w:rPr>
          <w:i/>
          <w:color w:val="000000"/>
        </w:rPr>
        <w:t>USF/ICC Transformation Order</w:t>
      </w:r>
      <w:r w:rsidRPr="00822619">
        <w:rPr>
          <w:color w:val="000000"/>
        </w:rPr>
        <w:t xml:space="preserve">, 26 FCC </w:t>
      </w:r>
      <w:r w:rsidRPr="00822619">
        <w:rPr>
          <w:color w:val="000000"/>
        </w:rPr>
        <w:t>Rcd</w:t>
      </w:r>
      <w:r w:rsidRPr="00822619">
        <w:rPr>
          <w:color w:val="000000"/>
        </w:rPr>
        <w:t xml:space="preserve"> at 17934-</w:t>
      </w:r>
      <w:r w:rsidRPr="001B2721">
        <w:rPr>
          <w:color w:val="000000"/>
        </w:rPr>
        <w:t xml:space="preserve">36, </w:t>
      </w:r>
      <w:r w:rsidRPr="0060141A">
        <w:rPr>
          <w:color w:val="000000"/>
        </w:rPr>
        <w:t>para. 801</w:t>
      </w:r>
      <w:r w:rsidR="00A22FBE">
        <w:rPr>
          <w:color w:val="000000"/>
        </w:rPr>
        <w:t>,</w:t>
      </w:r>
      <w:r w:rsidRPr="0060141A">
        <w:rPr>
          <w:color w:val="000000"/>
        </w:rPr>
        <w:t xml:space="preserve"> fig. 9.</w:t>
      </w:r>
      <w:r w:rsidR="00A37BFF">
        <w:rPr>
          <w:color w:val="000000"/>
        </w:rPr>
        <w:t xml:space="preserve"> </w:t>
      </w:r>
      <w:r w:rsidR="0012386D">
        <w:rPr>
          <w:color w:val="000000"/>
        </w:rPr>
        <w:t xml:space="preserve"> “Under bill-and-keep, carriers look first to their subscribers to cover the costs of the network, then to explicit universal service support where necessary.”  </w:t>
      </w:r>
      <w:r w:rsidR="0012386D">
        <w:rPr>
          <w:i/>
          <w:iCs/>
          <w:color w:val="000000"/>
        </w:rPr>
        <w:t>Id</w:t>
      </w:r>
      <w:r w:rsidR="0012386D">
        <w:rPr>
          <w:color w:val="000000"/>
        </w:rPr>
        <w:t>. at 17676, para. 34</w:t>
      </w:r>
      <w:r w:rsidR="00823A9F">
        <w:rPr>
          <w:color w:val="000000"/>
        </w:rPr>
        <w:t>.</w:t>
      </w:r>
      <w:r w:rsidR="0012386D">
        <w:rPr>
          <w:color w:val="000000"/>
        </w:rPr>
        <w:t xml:space="preserve"> </w:t>
      </w:r>
    </w:p>
  </w:footnote>
  <w:footnote w:id="8">
    <w:p w:rsidR="00AC465B" w:rsidRPr="00AC465B" w14:paraId="751762D4" w14:textId="6F842B79">
      <w:pPr>
        <w:pStyle w:val="FootnoteText"/>
      </w:pPr>
      <w:r>
        <w:rPr>
          <w:rStyle w:val="FootnoteReference"/>
        </w:rPr>
        <w:footnoteRef/>
      </w:r>
      <w:r>
        <w:t xml:space="preserve"> </w:t>
      </w:r>
      <w:r>
        <w:rPr>
          <w:i/>
          <w:iCs/>
        </w:rPr>
        <w:t>See id.</w:t>
      </w:r>
      <w:r>
        <w:t xml:space="preserve"> at 17956, para. 847.</w:t>
      </w:r>
    </w:p>
  </w:footnote>
  <w:footnote w:id="9">
    <w:p w:rsidR="000A5F6A" w:rsidP="000A5F6A" w14:paraId="56F38E5C" w14:textId="59952312">
      <w:pPr>
        <w:pStyle w:val="FootnoteText"/>
      </w:pPr>
      <w:r>
        <w:rPr>
          <w:rStyle w:val="FootnoteReference"/>
        </w:rPr>
        <w:footnoteRef/>
      </w:r>
      <w:r>
        <w:t xml:space="preserve"> </w:t>
      </w:r>
      <w:r w:rsidRPr="00822619">
        <w:rPr>
          <w:i/>
          <w:color w:val="000000"/>
        </w:rPr>
        <w:t>See id</w:t>
      </w:r>
      <w:r w:rsidRPr="00822619">
        <w:rPr>
          <w:color w:val="000000"/>
        </w:rPr>
        <w:t>. at 1795</w:t>
      </w:r>
      <w:r w:rsidR="002B632F">
        <w:rPr>
          <w:color w:val="000000"/>
        </w:rPr>
        <w:t>7</w:t>
      </w:r>
      <w:r>
        <w:rPr>
          <w:color w:val="000000"/>
        </w:rPr>
        <w:t>-5</w:t>
      </w:r>
      <w:r w:rsidR="002B632F">
        <w:rPr>
          <w:color w:val="000000"/>
        </w:rPr>
        <w:t>8</w:t>
      </w:r>
      <w:r w:rsidRPr="00822619">
        <w:rPr>
          <w:color w:val="000000"/>
        </w:rPr>
        <w:t>, para</w:t>
      </w:r>
      <w:r w:rsidR="00AC465B">
        <w:rPr>
          <w:color w:val="000000"/>
        </w:rPr>
        <w:t>s</w:t>
      </w:r>
      <w:r w:rsidRPr="00822619">
        <w:rPr>
          <w:color w:val="000000"/>
        </w:rPr>
        <w:t xml:space="preserve">. </w:t>
      </w:r>
      <w:r w:rsidR="00CF2A86">
        <w:rPr>
          <w:color w:val="000000"/>
        </w:rPr>
        <w:t>850-</w:t>
      </w:r>
      <w:r w:rsidR="002C474B">
        <w:rPr>
          <w:color w:val="000000"/>
        </w:rPr>
        <w:t>85</w:t>
      </w:r>
      <w:r w:rsidR="002B632F">
        <w:rPr>
          <w:color w:val="000000"/>
        </w:rPr>
        <w:t>1</w:t>
      </w:r>
      <w:r w:rsidRPr="00822619">
        <w:rPr>
          <w:color w:val="000000"/>
        </w:rPr>
        <w:t>.</w:t>
      </w:r>
      <w:r w:rsidR="007C671B">
        <w:rPr>
          <w:color w:val="000000"/>
        </w:rPr>
        <w:t xml:space="preserve">  </w:t>
      </w:r>
    </w:p>
  </w:footnote>
  <w:footnote w:id="10">
    <w:p w:rsidR="000A5F6A" w:rsidRPr="00822619" w:rsidP="000A5F6A" w14:paraId="7305E2F8"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Id</w:t>
      </w:r>
      <w:r w:rsidRPr="00822619">
        <w:rPr>
          <w:color w:val="000000"/>
        </w:rPr>
        <w:t>. at 17958-61, para. 852; 47 CFR §§ 51.917(d)-(e)</w:t>
      </w:r>
      <w:r>
        <w:rPr>
          <w:color w:val="000000"/>
        </w:rPr>
        <w:t>.</w:t>
      </w:r>
    </w:p>
  </w:footnote>
  <w:footnote w:id="11">
    <w:p w:rsidR="000A5F6A" w:rsidRPr="00822619" w:rsidP="000A5F6A" w14:paraId="43E13A8E" w14:textId="77777777">
      <w:pPr>
        <w:pStyle w:val="FootnoteText"/>
        <w:rPr>
          <w:color w:val="000000"/>
        </w:rPr>
      </w:pPr>
      <w:r w:rsidRPr="00822619">
        <w:rPr>
          <w:rStyle w:val="FootnoteReference"/>
          <w:color w:val="000000"/>
        </w:rPr>
        <w:footnoteRef/>
      </w:r>
      <w:r w:rsidRPr="00822619">
        <w:rPr>
          <w:i/>
          <w:color w:val="000000"/>
        </w:rPr>
        <w:t xml:space="preserve"> USF/ICC Transformation Order</w:t>
      </w:r>
      <w:r w:rsidRPr="00822619">
        <w:rPr>
          <w:color w:val="000000"/>
        </w:rPr>
        <w:t xml:space="preserve">, 26 FCC </w:t>
      </w:r>
      <w:r w:rsidRPr="00822619">
        <w:rPr>
          <w:color w:val="000000"/>
        </w:rPr>
        <w:t>Rcd</w:t>
      </w:r>
      <w:r w:rsidRPr="00822619">
        <w:rPr>
          <w:color w:val="000000"/>
        </w:rPr>
        <w:t xml:space="preserve"> at 17994-95, para. 918; 47 CFR § 51.917(f).</w:t>
      </w:r>
    </w:p>
  </w:footnote>
  <w:footnote w:id="12">
    <w:p w:rsidR="000A5F6A" w:rsidRPr="00822619" w:rsidP="000A5F6A" w14:paraId="32903A2B"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  </w:t>
      </w:r>
    </w:p>
  </w:footnote>
  <w:footnote w:id="13">
    <w:p w:rsidR="000A5F6A" w:rsidRPr="00822619" w:rsidP="000A5F6A" w14:paraId="621462A1" w14:textId="32E48891">
      <w:pPr>
        <w:pStyle w:val="FootnoteText"/>
        <w:rPr>
          <w:color w:val="000000"/>
        </w:rPr>
      </w:pPr>
      <w:r w:rsidRPr="00822619">
        <w:rPr>
          <w:rStyle w:val="FootnoteReference"/>
          <w:color w:val="000000"/>
        </w:rPr>
        <w:footnoteRef/>
      </w:r>
      <w:r w:rsidRPr="00822619">
        <w:rPr>
          <w:color w:val="000000"/>
        </w:rPr>
        <w:t xml:space="preserve"> For purposes of the recovery mechanism, FY 2011 is defined as Oct</w:t>
      </w:r>
      <w:r w:rsidR="00A22FBE">
        <w:rPr>
          <w:color w:val="000000"/>
        </w:rPr>
        <w:t>ober</w:t>
      </w:r>
      <w:r w:rsidRPr="00822619">
        <w:rPr>
          <w:color w:val="000000"/>
        </w:rPr>
        <w:t xml:space="preserve"> 1, 2010 through Sept</w:t>
      </w:r>
      <w:r w:rsidR="00A22FBE">
        <w:rPr>
          <w:color w:val="000000"/>
        </w:rPr>
        <w:t>ember</w:t>
      </w:r>
      <w:r w:rsidRPr="00822619">
        <w:rPr>
          <w:color w:val="000000"/>
        </w:rPr>
        <w:t xml:space="preserve"> 30, 2011.  </w:t>
      </w:r>
      <w:r w:rsidRPr="00822619">
        <w:rPr>
          <w:i/>
          <w:color w:val="000000"/>
        </w:rPr>
        <w:t xml:space="preserve">See </w:t>
      </w:r>
      <w:r w:rsidRPr="00822619">
        <w:rPr>
          <w:color w:val="000000"/>
        </w:rPr>
        <w:t>47 CFR § 51.903(e).</w:t>
      </w:r>
    </w:p>
  </w:footnote>
  <w:footnote w:id="14">
    <w:p w:rsidR="000A5F6A" w:rsidRPr="00822619" w:rsidP="000A5F6A" w14:paraId="4318A09E" w14:textId="63B8D058">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w:t>
      </w:r>
      <w:r w:rsidR="00761092">
        <w:rPr>
          <w:color w:val="000000"/>
        </w:rPr>
        <w:t xml:space="preserve"> (</w:t>
      </w:r>
      <w:r w:rsidR="00761092">
        <w:t>specifying the revenues to be used to determine B</w:t>
      </w:r>
      <w:r w:rsidR="00EF3410">
        <w:t xml:space="preserve">ase </w:t>
      </w:r>
      <w:r w:rsidR="00761092">
        <w:t>P</w:t>
      </w:r>
      <w:r w:rsidR="00EF3410">
        <w:t xml:space="preserve">eriod </w:t>
      </w:r>
      <w:r w:rsidR="00761092">
        <w:t>R</w:t>
      </w:r>
      <w:r w:rsidR="00EF3410">
        <w:t>evenue</w:t>
      </w:r>
      <w:r w:rsidR="00761092">
        <w:t>)</w:t>
      </w:r>
      <w:r w:rsidRPr="00822619">
        <w:rPr>
          <w:color w:val="000000"/>
        </w:rPr>
        <w:t>.  The 2011-2012 tariff period was July 1, 2011 through June 30, 2012.</w:t>
      </w:r>
    </w:p>
  </w:footnote>
  <w:footnote w:id="15">
    <w:p w:rsidR="000A5F6A" w:rsidRPr="00822619" w:rsidP="000A5F6A" w14:paraId="22D696FB"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51.917(b)(3).</w:t>
      </w:r>
    </w:p>
  </w:footnote>
  <w:footnote w:id="16">
    <w:p w:rsidR="000A5F6A" w:rsidRPr="00822619" w:rsidP="000A5F6A" w14:paraId="1D6ADCE6"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51.917(d).</w:t>
      </w:r>
    </w:p>
  </w:footnote>
  <w:footnote w:id="17">
    <w:p w:rsidR="001C6753" w:rsidRPr="00F53829" w14:paraId="27A9227F" w14:textId="3F11BF08">
      <w:pPr>
        <w:pStyle w:val="FootnoteText"/>
      </w:pPr>
      <w:r>
        <w:rPr>
          <w:rStyle w:val="FootnoteReference"/>
        </w:rPr>
        <w:footnoteRef/>
      </w:r>
      <w:r>
        <w:t xml:space="preserve"> </w:t>
      </w:r>
      <w:r w:rsidRPr="00822619" w:rsidR="003D43A7">
        <w:rPr>
          <w:color w:val="000000"/>
        </w:rPr>
        <w:t>47 CFR § 51.917(d)-(e)</w:t>
      </w:r>
      <w:r w:rsidR="001C1A0B">
        <w:rPr>
          <w:color w:val="000000"/>
        </w:rPr>
        <w:t xml:space="preserve">.  </w:t>
      </w:r>
      <w:r w:rsidR="001C1A0B">
        <w:rPr>
          <w:i/>
          <w:iCs/>
          <w:color w:val="000000"/>
        </w:rPr>
        <w:t>See e.g.</w:t>
      </w:r>
      <w:r w:rsidR="001C1A0B">
        <w:rPr>
          <w:color w:val="000000"/>
        </w:rPr>
        <w:t>,</w:t>
      </w:r>
      <w:r w:rsidR="00F53829">
        <w:rPr>
          <w:color w:val="000000"/>
        </w:rPr>
        <w:t xml:space="preserve"> </w:t>
      </w:r>
      <w:r w:rsidR="00F53829">
        <w:rPr>
          <w:i/>
          <w:iCs/>
          <w:color w:val="000000"/>
        </w:rPr>
        <w:t>Butler-</w:t>
      </w:r>
      <w:r w:rsidR="00F53829">
        <w:rPr>
          <w:i/>
          <w:iCs/>
          <w:color w:val="000000"/>
        </w:rPr>
        <w:t>Panora</w:t>
      </w:r>
      <w:r w:rsidR="00F53829">
        <w:rPr>
          <w:i/>
          <w:iCs/>
          <w:color w:val="000000"/>
        </w:rPr>
        <w:t xml:space="preserve"> Order</w:t>
      </w:r>
      <w:r w:rsidR="00F53829">
        <w:rPr>
          <w:color w:val="000000"/>
        </w:rPr>
        <w:t xml:space="preserve">, 33 FCC </w:t>
      </w:r>
      <w:r w:rsidR="00F53829">
        <w:rPr>
          <w:color w:val="000000"/>
        </w:rPr>
        <w:t>Rcd</w:t>
      </w:r>
      <w:r w:rsidR="00F53829">
        <w:rPr>
          <w:color w:val="000000"/>
        </w:rPr>
        <w:t xml:space="preserve"> at </w:t>
      </w:r>
      <w:r w:rsidR="001C1A0B">
        <w:rPr>
          <w:color w:val="000000"/>
        </w:rPr>
        <w:t xml:space="preserve">1155, </w:t>
      </w:r>
      <w:r w:rsidR="00F53829">
        <w:rPr>
          <w:color w:val="000000"/>
        </w:rPr>
        <w:t>1157, para</w:t>
      </w:r>
      <w:r w:rsidR="001C1A0B">
        <w:rPr>
          <w:color w:val="000000"/>
        </w:rPr>
        <w:t>s</w:t>
      </w:r>
      <w:r w:rsidR="00F53829">
        <w:rPr>
          <w:color w:val="000000"/>
        </w:rPr>
        <w:t>.</w:t>
      </w:r>
      <w:r w:rsidR="001C1A0B">
        <w:rPr>
          <w:color w:val="000000"/>
        </w:rPr>
        <w:t xml:space="preserve"> 10</w:t>
      </w:r>
      <w:r w:rsidR="00A22FBE">
        <w:rPr>
          <w:color w:val="000000"/>
        </w:rPr>
        <w:t>,</w:t>
      </w:r>
      <w:r w:rsidR="001C1A0B">
        <w:rPr>
          <w:color w:val="000000"/>
        </w:rPr>
        <w:t xml:space="preserve"> </w:t>
      </w:r>
      <w:r w:rsidR="00F53829">
        <w:rPr>
          <w:color w:val="000000"/>
        </w:rPr>
        <w:t>15 (</w:t>
      </w:r>
      <w:r w:rsidR="001C1A0B">
        <w:rPr>
          <w:color w:val="000000"/>
        </w:rPr>
        <w:t xml:space="preserve">discussing relevant precedent and describing approach to calculating Eligible Recovery when study areas </w:t>
      </w:r>
      <w:r w:rsidR="00BD6D9F">
        <w:rPr>
          <w:color w:val="000000"/>
        </w:rPr>
        <w:t>consolidate</w:t>
      </w:r>
      <w:r w:rsidR="001C1A0B">
        <w:rPr>
          <w:color w:val="000000"/>
        </w:rPr>
        <w:t xml:space="preserve">). </w:t>
      </w:r>
    </w:p>
  </w:footnote>
  <w:footnote w:id="18">
    <w:p w:rsidR="001C6753" w14:paraId="1E9D2BCB" w14:textId="26DA5CF1">
      <w:pPr>
        <w:pStyle w:val="FootnoteText"/>
      </w:pPr>
      <w:r>
        <w:rPr>
          <w:rStyle w:val="FootnoteReference"/>
        </w:rPr>
        <w:footnoteRef/>
      </w:r>
      <w:r>
        <w:t xml:space="preserve"> </w:t>
      </w:r>
      <w:r w:rsidR="001C1A0B">
        <w:t xml:space="preserve"> </w:t>
      </w:r>
      <w:r w:rsidR="000E3524">
        <w:rPr>
          <w:i/>
          <w:iCs/>
          <w:color w:val="000000"/>
        </w:rPr>
        <w:t>See e.g.</w:t>
      </w:r>
      <w:r w:rsidR="000E3524">
        <w:rPr>
          <w:color w:val="000000"/>
        </w:rPr>
        <w:t xml:space="preserve">, </w:t>
      </w:r>
      <w:r w:rsidR="000E3524">
        <w:rPr>
          <w:i/>
          <w:iCs/>
          <w:color w:val="000000"/>
        </w:rPr>
        <w:t>Butler-</w:t>
      </w:r>
      <w:r w:rsidR="000E3524">
        <w:rPr>
          <w:i/>
          <w:iCs/>
          <w:color w:val="000000"/>
        </w:rPr>
        <w:t>Panora</w:t>
      </w:r>
      <w:r w:rsidR="000E3524">
        <w:rPr>
          <w:i/>
          <w:iCs/>
          <w:color w:val="000000"/>
        </w:rPr>
        <w:t xml:space="preserve"> Order</w:t>
      </w:r>
      <w:r w:rsidR="000E3524">
        <w:rPr>
          <w:color w:val="000000"/>
        </w:rPr>
        <w:t xml:space="preserve">, 33 FCC </w:t>
      </w:r>
      <w:r w:rsidR="000E3524">
        <w:rPr>
          <w:color w:val="000000"/>
        </w:rPr>
        <w:t>Rcd</w:t>
      </w:r>
      <w:r w:rsidR="000E3524">
        <w:rPr>
          <w:color w:val="000000"/>
        </w:rPr>
        <w:t xml:space="preserve"> at 1155, 1157, paras. 10</w:t>
      </w:r>
      <w:r w:rsidR="00A22FBE">
        <w:rPr>
          <w:color w:val="000000"/>
        </w:rPr>
        <w:t>,</w:t>
      </w:r>
      <w:r w:rsidR="000E3524">
        <w:rPr>
          <w:color w:val="000000"/>
        </w:rPr>
        <w:t xml:space="preserve"> 15.</w:t>
      </w:r>
    </w:p>
  </w:footnote>
  <w:footnote w:id="19">
    <w:p w:rsidR="001C6753" w:rsidRPr="00E9260B" w14:paraId="0EA5D36E" w14:textId="77777777">
      <w:pPr>
        <w:pStyle w:val="FootnoteText"/>
      </w:pPr>
      <w:r>
        <w:rPr>
          <w:rStyle w:val="FootnoteReference"/>
        </w:rPr>
        <w:footnoteRef/>
      </w:r>
      <w:r>
        <w:t xml:space="preserve"> </w:t>
      </w:r>
      <w:r w:rsidR="001C1A0B">
        <w:t xml:space="preserve">47 CFR § </w:t>
      </w:r>
      <w:r w:rsidR="00E9260B">
        <w:t xml:space="preserve">51.917(b)(1); 47 CFR § 51.917(b)(7).  </w:t>
      </w:r>
      <w:r w:rsidR="00E9260B">
        <w:rPr>
          <w:i/>
          <w:iCs/>
        </w:rPr>
        <w:t>See e.g.</w:t>
      </w:r>
      <w:r w:rsidR="00E9260B">
        <w:t xml:space="preserve">, </w:t>
      </w:r>
      <w:r w:rsidR="00E9260B">
        <w:rPr>
          <w:i/>
          <w:iCs/>
          <w:color w:val="000000"/>
        </w:rPr>
        <w:t>Butler-</w:t>
      </w:r>
      <w:r w:rsidR="00E9260B">
        <w:rPr>
          <w:i/>
          <w:iCs/>
          <w:color w:val="000000"/>
        </w:rPr>
        <w:t>Panora</w:t>
      </w:r>
      <w:r w:rsidR="00E9260B">
        <w:rPr>
          <w:i/>
          <w:iCs/>
          <w:color w:val="000000"/>
        </w:rPr>
        <w:t xml:space="preserve"> Order</w:t>
      </w:r>
      <w:r w:rsidR="00E9260B">
        <w:rPr>
          <w:color w:val="000000"/>
        </w:rPr>
        <w:t xml:space="preserve">, 33 FCC </w:t>
      </w:r>
      <w:r w:rsidR="00E9260B">
        <w:rPr>
          <w:color w:val="000000"/>
        </w:rPr>
        <w:t>Rcd</w:t>
      </w:r>
      <w:r w:rsidR="00E9260B">
        <w:rPr>
          <w:color w:val="000000"/>
        </w:rPr>
        <w:t xml:space="preserve"> at 1157, para. 15.</w:t>
      </w:r>
    </w:p>
  </w:footnote>
  <w:footnote w:id="20">
    <w:p w:rsidR="008479A9" w14:paraId="0AACDDC9" w14:textId="7FD23061">
      <w:pPr>
        <w:pStyle w:val="FootnoteText"/>
      </w:pPr>
      <w:r>
        <w:rPr>
          <w:rStyle w:val="FootnoteReference"/>
        </w:rPr>
        <w:footnoteRef/>
      </w:r>
      <w:r w:rsidR="3E7EDDE8">
        <w:t xml:space="preserve"> </w:t>
      </w:r>
      <w:r w:rsidRPr="003926E7" w:rsidR="3E7EDDE8">
        <w:t xml:space="preserve">METC Petition at 1. </w:t>
      </w:r>
      <w:r w:rsidR="3E7EDDE8">
        <w:t xml:space="preserve"> </w:t>
      </w:r>
      <w:r w:rsidRPr="003926E7" w:rsidR="3E7EDDE8">
        <w:t xml:space="preserve">The rules </w:t>
      </w:r>
      <w:r w:rsidR="3E7EDDE8">
        <w:t xml:space="preserve">METC asks us to waive </w:t>
      </w:r>
      <w:r w:rsidRPr="003926E7" w:rsidR="3E7EDDE8">
        <w:t xml:space="preserve">can be found at 47 CFR </w:t>
      </w:r>
      <w:r w:rsidRPr="003926E7" w:rsidR="3E7EDDE8">
        <w:rPr>
          <w:color w:val="000000"/>
        </w:rPr>
        <w:t>§§ 51.909(a), 51.917(b)(1), and 51.917(b)(7).</w:t>
      </w:r>
    </w:p>
  </w:footnote>
  <w:footnote w:id="21">
    <w:p w:rsidR="00DB3E78" w14:paraId="24C50BB0" w14:textId="5C54610C">
      <w:pPr>
        <w:pStyle w:val="FootnoteText"/>
      </w:pPr>
      <w:r>
        <w:rPr>
          <w:rStyle w:val="FootnoteReference"/>
        </w:rPr>
        <w:footnoteRef/>
      </w:r>
      <w:r w:rsidR="00826C34">
        <w:t xml:space="preserve"> </w:t>
      </w:r>
      <w:r w:rsidR="00677073">
        <w:rPr>
          <w:i/>
          <w:iCs/>
        </w:rPr>
        <w:t>Id.</w:t>
      </w:r>
      <w:r w:rsidR="00A22FBE">
        <w:rPr>
          <w:i/>
          <w:iCs/>
        </w:rPr>
        <w:t xml:space="preserve"> </w:t>
      </w:r>
      <w:r w:rsidR="3E7EDDE8">
        <w:t>at 1-2.</w:t>
      </w:r>
    </w:p>
  </w:footnote>
  <w:footnote w:id="22">
    <w:p w:rsidR="00AD5FAB" w14:paraId="365E2419" w14:textId="6F22294C">
      <w:pPr>
        <w:pStyle w:val="FootnoteText"/>
      </w:pPr>
      <w:r>
        <w:rPr>
          <w:rStyle w:val="FootnoteReference"/>
        </w:rPr>
        <w:footnoteRef/>
      </w:r>
      <w:r w:rsidR="3E7EDDE8">
        <w:t xml:space="preserve"> </w:t>
      </w:r>
      <w:r w:rsidRPr="3E7EDDE8" w:rsidR="3E7EDDE8">
        <w:rPr>
          <w:i/>
          <w:iCs/>
        </w:rPr>
        <w:t>Id</w:t>
      </w:r>
      <w:r w:rsidR="3E7EDDE8">
        <w:t>. at 2.</w:t>
      </w:r>
    </w:p>
  </w:footnote>
  <w:footnote w:id="23">
    <w:p w:rsidR="00EF7040" w14:paraId="549B9FA8" w14:textId="3986FBE6">
      <w:pPr>
        <w:pStyle w:val="FootnoteText"/>
      </w:pPr>
      <w:r>
        <w:rPr>
          <w:rStyle w:val="FootnoteReference"/>
        </w:rPr>
        <w:footnoteRef/>
      </w:r>
      <w:r w:rsidR="3E7EDDE8">
        <w:t xml:space="preserve"> </w:t>
      </w:r>
      <w:r w:rsidR="00677073">
        <w:rPr>
          <w:i/>
          <w:iCs/>
        </w:rPr>
        <w:t>Id.</w:t>
      </w:r>
    </w:p>
  </w:footnote>
  <w:footnote w:id="24">
    <w:p w:rsidR="00702383" w14:paraId="6B108851" w14:textId="222C4486">
      <w:pPr>
        <w:pStyle w:val="FootnoteText"/>
      </w:pPr>
      <w:r>
        <w:rPr>
          <w:rStyle w:val="FootnoteReference"/>
        </w:rPr>
        <w:footnoteRef/>
      </w:r>
      <w:r>
        <w:t xml:space="preserve"> </w:t>
      </w:r>
      <w:r w:rsidR="000158E7">
        <w:t xml:space="preserve">Revised </w:t>
      </w:r>
      <w:r w:rsidR="00492609">
        <w:t>Exhibit A of the Petition at 2.</w:t>
      </w:r>
      <w:r w:rsidR="003F61ED">
        <w:t xml:space="preserve"> </w:t>
      </w:r>
      <w:r w:rsidR="00BC7009">
        <w:t xml:space="preserve"> </w:t>
      </w:r>
      <w:r w:rsidR="003F61ED">
        <w:t xml:space="preserve">The current </w:t>
      </w:r>
      <w:r w:rsidR="00EA3295">
        <w:t xml:space="preserve">NECA </w:t>
      </w:r>
      <w:r w:rsidR="003F61ED">
        <w:t xml:space="preserve">rate bands for </w:t>
      </w:r>
      <w:r w:rsidR="00FD0F7A">
        <w:t xml:space="preserve">Marne Elk Horn </w:t>
      </w:r>
      <w:r w:rsidR="003F61ED">
        <w:t xml:space="preserve">are Local Switching: Rate Band 8, Dedicated Transport: Rate Band 8, Tandem Switched Transport Rate Band 2.  The current </w:t>
      </w:r>
      <w:r w:rsidR="00EA3295">
        <w:t xml:space="preserve">NECA </w:t>
      </w:r>
      <w:r w:rsidR="003F61ED">
        <w:t>rate bands for Walnut are Local Switching: Rate Band 8, Dedicated Transport: Rate Band 10, and Tandem Switched Transport: Rate Band 1.</w:t>
      </w:r>
      <w:r w:rsidR="00C935B1">
        <w:t xml:space="preserve"> </w:t>
      </w:r>
      <w:r w:rsidR="003F61ED">
        <w:t xml:space="preserve"> </w:t>
      </w:r>
      <w:r w:rsidRPr="003926E7" w:rsidR="00B31EA8">
        <w:t xml:space="preserve">METC Petition at </w:t>
      </w:r>
      <w:r w:rsidR="00B31EA8">
        <w:t>3</w:t>
      </w:r>
      <w:r w:rsidRPr="003926E7" w:rsidR="00B31EA8">
        <w:t xml:space="preserve">. </w:t>
      </w:r>
      <w:r w:rsidR="00B31EA8">
        <w:t xml:space="preserve"> </w:t>
      </w:r>
    </w:p>
  </w:footnote>
  <w:footnote w:id="25">
    <w:p w:rsidR="002C28FA" w:rsidRPr="006658A8" w14:paraId="744A870E" w14:textId="6F163E3E">
      <w:pPr>
        <w:pStyle w:val="FootnoteText"/>
      </w:pPr>
      <w:r>
        <w:rPr>
          <w:rStyle w:val="FootnoteReference"/>
        </w:rPr>
        <w:footnoteRef/>
      </w:r>
      <w:r>
        <w:t xml:space="preserve"> </w:t>
      </w:r>
      <w:r w:rsidR="00112B25">
        <w:rPr>
          <w:i/>
          <w:iCs/>
        </w:rPr>
        <w:t>Id</w:t>
      </w:r>
      <w:r w:rsidR="00112B25">
        <w:t>.</w:t>
      </w:r>
      <w:r w:rsidR="00FB765F">
        <w:t xml:space="preserve"> at </w:t>
      </w:r>
      <w:r w:rsidR="006658A8">
        <w:t>3</w:t>
      </w:r>
      <w:r w:rsidR="00FB765F">
        <w:t>.</w:t>
      </w:r>
      <w:r w:rsidR="00707D18">
        <w:t xml:space="preserve"> </w:t>
      </w:r>
      <w:r w:rsidR="00FB765F">
        <w:t xml:space="preserve"> </w:t>
      </w:r>
    </w:p>
  </w:footnote>
  <w:footnote w:id="26">
    <w:p w:rsidR="006C5D31" w14:paraId="6A2C1932" w14:textId="1686A8A5">
      <w:pPr>
        <w:pStyle w:val="FootnoteText"/>
      </w:pPr>
      <w:r>
        <w:rPr>
          <w:rStyle w:val="FootnoteReference"/>
        </w:rPr>
        <w:footnoteRef/>
      </w:r>
      <w:r w:rsidR="3E7EDDE8">
        <w:t xml:space="preserve"> </w:t>
      </w:r>
      <w:r w:rsidRPr="3E7EDDE8" w:rsidR="3E7EDDE8">
        <w:rPr>
          <w:i/>
          <w:iCs/>
        </w:rPr>
        <w:t>See</w:t>
      </w:r>
      <w:r w:rsidRPr="00BD6960" w:rsidR="3E7EDDE8">
        <w:t xml:space="preserve"> </w:t>
      </w:r>
      <w:r w:rsidRPr="3E7EDDE8" w:rsidR="3E7EDDE8">
        <w:rPr>
          <w:i/>
          <w:iCs/>
        </w:rPr>
        <w:t>Wireline Competition Bureau Seeks Comment on Marne Elk Horn Telephone Company Petition for Waiver of Commission Rules in Order to Merge Study Areas and Modify Access Rate Bands and Charges and 2011 Interstate Switched Access Revenue Requirement and Base Period Revenue</w:t>
      </w:r>
      <w:r w:rsidRPr="00BD6960" w:rsidR="3E7EDDE8">
        <w:t xml:space="preserve">, Public Notice, WC </w:t>
      </w:r>
      <w:r w:rsidR="3E7EDDE8">
        <w:t>Docket</w:t>
      </w:r>
      <w:r w:rsidRPr="00BD6960" w:rsidR="3E7EDDE8">
        <w:t xml:space="preserve"> No. </w:t>
      </w:r>
      <w:r w:rsidR="3E7EDDE8">
        <w:t>21</w:t>
      </w:r>
      <w:r w:rsidRPr="00BD6960" w:rsidR="3E7EDDE8">
        <w:t>-281</w:t>
      </w:r>
      <w:r w:rsidR="3E7EDDE8">
        <w:t>, DA</w:t>
      </w:r>
      <w:r w:rsidRPr="00BD6960" w:rsidR="3E7EDDE8">
        <w:t xml:space="preserve"> </w:t>
      </w:r>
      <w:r w:rsidR="3E7EDDE8">
        <w:t>21</w:t>
      </w:r>
      <w:r w:rsidRPr="00BD6960" w:rsidR="3E7EDDE8">
        <w:t xml:space="preserve">-777 (WCB </w:t>
      </w:r>
      <w:r w:rsidR="3E7EDDE8">
        <w:t>June</w:t>
      </w:r>
      <w:r w:rsidRPr="00BD6960" w:rsidR="3E7EDDE8">
        <w:t xml:space="preserve"> </w:t>
      </w:r>
      <w:r w:rsidR="3E7EDDE8">
        <w:t>30</w:t>
      </w:r>
      <w:r w:rsidRPr="00BD6960" w:rsidR="3E7EDDE8">
        <w:t>, 20</w:t>
      </w:r>
      <w:r w:rsidR="3E7EDDE8">
        <w:t>21</w:t>
      </w:r>
      <w:r w:rsidRPr="00BD6960" w:rsidR="3E7EDDE8">
        <w:t>).</w:t>
      </w:r>
    </w:p>
  </w:footnote>
  <w:footnote w:id="27">
    <w:p w:rsidR="0035752D" w14:paraId="38CF8FC5" w14:textId="77777777">
      <w:pPr>
        <w:pStyle w:val="FootnoteText"/>
      </w:pPr>
      <w:r>
        <w:rPr>
          <w:rStyle w:val="FootnoteReference"/>
        </w:rPr>
        <w:footnoteRef/>
      </w:r>
      <w:r>
        <w:t xml:space="preserve"> 47 CFR </w:t>
      </w:r>
      <w:r w:rsidRPr="00822619">
        <w:rPr>
          <w:color w:val="000000"/>
        </w:rPr>
        <w:t>§</w:t>
      </w:r>
      <w:r>
        <w:rPr>
          <w:color w:val="000000"/>
        </w:rPr>
        <w:t xml:space="preserve"> 1.3.</w:t>
      </w:r>
    </w:p>
  </w:footnote>
  <w:footnote w:id="28">
    <w:p w:rsidR="0035752D" w14:paraId="0DCB5508" w14:textId="77777777">
      <w:pPr>
        <w:pStyle w:val="FootnoteText"/>
      </w:pPr>
      <w:r>
        <w:rPr>
          <w:rStyle w:val="FootnoteReference"/>
        </w:rPr>
        <w:footnoteRef/>
      </w:r>
      <w:r>
        <w:t xml:space="preserve"> </w:t>
      </w:r>
      <w:r w:rsidRPr="00822619">
        <w:rPr>
          <w:i/>
          <w:color w:val="000000"/>
        </w:rPr>
        <w:t>Northeast Cellular Telephone Co. L.P. v. FCC</w:t>
      </w:r>
      <w:r w:rsidRPr="00822619">
        <w:rPr>
          <w:color w:val="000000"/>
        </w:rPr>
        <w:t>, 897 F.2d 1164, 1166 (D.C. Cir. 1990) (</w:t>
      </w:r>
      <w:r w:rsidRPr="00822619">
        <w:rPr>
          <w:i/>
          <w:color w:val="000000"/>
        </w:rPr>
        <w:t>Northeast Cellular</w:t>
      </w:r>
      <w:r w:rsidRPr="00822619">
        <w:rPr>
          <w:color w:val="000000"/>
        </w:rPr>
        <w:t xml:space="preserve">).  </w:t>
      </w:r>
    </w:p>
  </w:footnote>
  <w:footnote w:id="29">
    <w:p w:rsidR="0035752D" w14:paraId="4C89CCED" w14:textId="77777777">
      <w:pPr>
        <w:pStyle w:val="FootnoteText"/>
      </w:pPr>
      <w:r>
        <w:rPr>
          <w:rStyle w:val="FootnoteReference"/>
        </w:rPr>
        <w:footnoteRef/>
      </w:r>
      <w:r>
        <w:t xml:space="preserve"> </w:t>
      </w:r>
      <w:r w:rsidRPr="00822619">
        <w:rPr>
          <w:color w:val="000000"/>
          <w:szCs w:val="22"/>
        </w:rPr>
        <w:t>The Commission may, on an individual basis, take into account considerations of hardship, equity, or more effective implementation of overall policy.</w:t>
      </w:r>
      <w:r w:rsidR="002A7D20">
        <w:rPr>
          <w:color w:val="000000"/>
          <w:szCs w:val="22"/>
        </w:rPr>
        <w:t xml:space="preserve"> </w:t>
      </w:r>
      <w:r w:rsidRPr="00822619">
        <w:rPr>
          <w:color w:val="000000"/>
          <w:szCs w:val="22"/>
        </w:rPr>
        <w:t xml:space="preserve"> </w:t>
      </w:r>
      <w:r w:rsidRPr="00822619">
        <w:rPr>
          <w:i/>
          <w:color w:val="000000"/>
        </w:rPr>
        <w:t>See WAIT Radio v. FCC</w:t>
      </w:r>
      <w:r w:rsidRPr="00822619">
        <w:rPr>
          <w:color w:val="000000"/>
        </w:rPr>
        <w:t xml:space="preserve">, 418 F.2d 1153, 1159 (D.C. Cir. 1969); </w:t>
      </w:r>
      <w:r w:rsidRPr="00822619">
        <w:rPr>
          <w:i/>
          <w:color w:val="000000"/>
        </w:rPr>
        <w:t>Northeast Cellular</w:t>
      </w:r>
      <w:r w:rsidRPr="00822619">
        <w:rPr>
          <w:color w:val="000000"/>
        </w:rPr>
        <w:t>, 897 F.2d at 1166.</w:t>
      </w:r>
    </w:p>
  </w:footnote>
  <w:footnote w:id="30">
    <w:p w:rsidR="00E160B0" w:rsidRPr="000100C2" w:rsidP="00E160B0" w14:paraId="5D8782B4" w14:textId="25A20E6C">
      <w:pPr>
        <w:pStyle w:val="FootnoteText"/>
        <w:rPr>
          <w:iCs/>
        </w:rPr>
      </w:pPr>
      <w:r w:rsidRPr="00B1510B">
        <w:rPr>
          <w:rStyle w:val="FootnoteReference"/>
        </w:rPr>
        <w:footnoteRef/>
      </w:r>
      <w:r w:rsidRPr="00B1510B">
        <w:rPr>
          <w:i/>
        </w:rPr>
        <w:t xml:space="preserve"> See</w:t>
      </w:r>
      <w:r w:rsidR="003A0D35">
        <w:rPr>
          <w:i/>
        </w:rPr>
        <w:t>,</w:t>
      </w:r>
      <w:r w:rsidRPr="00B1510B">
        <w:rPr>
          <w:i/>
        </w:rPr>
        <w:t xml:space="preserve"> </w:t>
      </w:r>
      <w:r>
        <w:rPr>
          <w:i/>
        </w:rPr>
        <w:t>e.g.</w:t>
      </w:r>
      <w:r w:rsidRPr="00D963C5">
        <w:rPr>
          <w:iCs/>
        </w:rPr>
        <w:t>,</w:t>
      </w:r>
      <w:r>
        <w:rPr>
          <w:i/>
        </w:rPr>
        <w:t xml:space="preserve"> </w:t>
      </w:r>
      <w:r w:rsidR="00C73B6D">
        <w:rPr>
          <w:i/>
        </w:rPr>
        <w:t xml:space="preserve">Ace Telephone Company of Michigan, Inc. Petition for Waiver of Sections 51.909(a), </w:t>
      </w:r>
      <w:r w:rsidR="00120AF9">
        <w:rPr>
          <w:i/>
        </w:rPr>
        <w:t>51.917(b)(1) and 51.917(b)(7) of the Commission’s Rules to modify access rate bands and charges, and 2011 Base Period Revenue in connection with merger of affiliated study areas in Michigan</w:t>
      </w:r>
      <w:r w:rsidR="007D07FD">
        <w:rPr>
          <w:iCs/>
        </w:rPr>
        <w:t xml:space="preserve">, WC Docket No. </w:t>
      </w:r>
      <w:r w:rsidR="003F1061">
        <w:rPr>
          <w:iCs/>
        </w:rPr>
        <w:t>20-358, Order, DA 21-325</w:t>
      </w:r>
      <w:r w:rsidR="00EC68BD">
        <w:rPr>
          <w:iCs/>
        </w:rPr>
        <w:t xml:space="preserve"> (WCB Mar. 17, 2021) (</w:t>
      </w:r>
      <w:r w:rsidRPr="00D84677" w:rsidR="00EC68BD">
        <w:rPr>
          <w:i/>
        </w:rPr>
        <w:t>Ace</w:t>
      </w:r>
      <w:r w:rsidRPr="00D84677" w:rsidR="006A4879">
        <w:rPr>
          <w:i/>
        </w:rPr>
        <w:t xml:space="preserve"> Order</w:t>
      </w:r>
      <w:r w:rsidRPr="00D963C5" w:rsidR="006A4879">
        <w:rPr>
          <w:iCs/>
        </w:rPr>
        <w:t>)</w:t>
      </w:r>
      <w:r w:rsidR="006A4879">
        <w:rPr>
          <w:iCs/>
        </w:rPr>
        <w:t>;</w:t>
      </w:r>
      <w:r w:rsidR="007D07FD">
        <w:rPr>
          <w:i/>
        </w:rPr>
        <w:t xml:space="preserve"> </w:t>
      </w:r>
      <w:r w:rsidR="009717A7">
        <w:rPr>
          <w:i/>
        </w:rPr>
        <w:t>Connect America Fund et al</w:t>
      </w:r>
      <w:r w:rsidR="009717A7">
        <w:rPr>
          <w:iCs/>
        </w:rPr>
        <w:t>.,</w:t>
      </w:r>
      <w:r w:rsidRPr="00F16ABD" w:rsidR="00232370">
        <w:rPr>
          <w:i/>
        </w:rPr>
        <w:t xml:space="preserve"> </w:t>
      </w:r>
      <w:r w:rsidR="00CB4AE8">
        <w:rPr>
          <w:iCs/>
        </w:rPr>
        <w:t>WC Docket No. 10-90</w:t>
      </w:r>
      <w:r w:rsidR="009717A7">
        <w:rPr>
          <w:iCs/>
        </w:rPr>
        <w:t xml:space="preserve"> et al.,</w:t>
      </w:r>
      <w:r w:rsidR="00CB4AE8">
        <w:rPr>
          <w:iCs/>
        </w:rPr>
        <w:t xml:space="preserve"> </w:t>
      </w:r>
      <w:r w:rsidRPr="00F16ABD" w:rsidR="004E047E">
        <w:rPr>
          <w:iCs/>
        </w:rPr>
        <w:t xml:space="preserve">Order, </w:t>
      </w:r>
      <w:r w:rsidR="00010427">
        <w:rPr>
          <w:iCs/>
        </w:rPr>
        <w:t xml:space="preserve">35 FCC </w:t>
      </w:r>
      <w:r w:rsidR="00010427">
        <w:rPr>
          <w:iCs/>
        </w:rPr>
        <w:t>Rcd</w:t>
      </w:r>
      <w:r w:rsidR="00010427">
        <w:rPr>
          <w:iCs/>
        </w:rPr>
        <w:t xml:space="preserve"> 1869 </w:t>
      </w:r>
      <w:r w:rsidRPr="00F16ABD" w:rsidR="00F16ABD">
        <w:rPr>
          <w:iCs/>
          <w:shd w:val="clear" w:color="auto" w:fill="FFFFFF"/>
        </w:rPr>
        <w:t>(WCB 2020)</w:t>
      </w:r>
      <w:r w:rsidR="001F6563">
        <w:rPr>
          <w:iCs/>
          <w:shd w:val="clear" w:color="auto" w:fill="FFFFFF"/>
        </w:rPr>
        <w:t xml:space="preserve"> (</w:t>
      </w:r>
      <w:r w:rsidRPr="001F6563" w:rsidR="001F6563">
        <w:rPr>
          <w:i/>
          <w:shd w:val="clear" w:color="auto" w:fill="FFFFFF"/>
        </w:rPr>
        <w:t>TrioTel</w:t>
      </w:r>
      <w:r w:rsidRPr="001F6563" w:rsidR="001F6563">
        <w:rPr>
          <w:i/>
          <w:shd w:val="clear" w:color="auto" w:fill="FFFFFF"/>
        </w:rPr>
        <w:t>-Farmers-ICTC Order</w:t>
      </w:r>
      <w:r w:rsidR="001F6563">
        <w:rPr>
          <w:iCs/>
          <w:shd w:val="clear" w:color="auto" w:fill="FFFFFF"/>
        </w:rPr>
        <w:t>)</w:t>
      </w:r>
      <w:r w:rsidR="00CE4E60">
        <w:rPr>
          <w:iCs/>
          <w:shd w:val="clear" w:color="auto" w:fill="FFFFFF"/>
        </w:rPr>
        <w:t xml:space="preserve">; </w:t>
      </w:r>
      <w:r w:rsidRPr="0094215C" w:rsidR="00CE4E60">
        <w:rPr>
          <w:rFonts w:ascii="TimesNewRomanPS-ItalicMT" w:hAnsi="TimesNewRomanPS-ItalicMT" w:cs="TimesNewRomanPS-ItalicMT"/>
          <w:i/>
          <w:iCs/>
        </w:rPr>
        <w:t>Connect</w:t>
      </w:r>
      <w:r w:rsidR="00CE4E60">
        <w:rPr>
          <w:rFonts w:ascii="TimesNewRomanPS-ItalicMT" w:hAnsi="TimesNewRomanPS-ItalicMT" w:cs="TimesNewRomanPS-ItalicMT"/>
          <w:i/>
          <w:iCs/>
        </w:rPr>
        <w:t xml:space="preserve"> America Fund et al</w:t>
      </w:r>
      <w:r w:rsidRPr="0094215C" w:rsidR="00CE4E60">
        <w:rPr>
          <w:rFonts w:ascii="TimesNewRomanPS-ItalicMT" w:hAnsi="TimesNewRomanPS-ItalicMT" w:cs="TimesNewRomanPS-ItalicMT"/>
          <w:i/>
          <w:iCs/>
        </w:rPr>
        <w:t xml:space="preserve">., </w:t>
      </w:r>
      <w:r w:rsidRPr="0094215C" w:rsidR="00CE4E60">
        <w:rPr>
          <w:rFonts w:ascii="TimesNewRomanPS-ItalicMT" w:hAnsi="TimesNewRomanPS-ItalicMT" w:cs="TimesNewRomanPS-ItalicMT"/>
        </w:rPr>
        <w:t xml:space="preserve">WC Docket No. 10-90 et al., Order, 34 FCC </w:t>
      </w:r>
      <w:r w:rsidRPr="0094215C" w:rsidR="00CE4E60">
        <w:rPr>
          <w:rFonts w:ascii="TimesNewRomanPS-ItalicMT" w:hAnsi="TimesNewRomanPS-ItalicMT" w:cs="TimesNewRomanPS-ItalicMT"/>
        </w:rPr>
        <w:t>Rcd</w:t>
      </w:r>
      <w:r w:rsidRPr="0094215C" w:rsidR="00CE4E60">
        <w:rPr>
          <w:rFonts w:ascii="TimesNewRomanPS-ItalicMT" w:hAnsi="TimesNewRomanPS-ItalicMT" w:cs="TimesNewRomanPS-ItalicMT"/>
        </w:rPr>
        <w:t xml:space="preserve"> 9617</w:t>
      </w:r>
      <w:r w:rsidR="0069789F">
        <w:rPr>
          <w:rFonts w:ascii="TimesNewRomanPS-ItalicMT" w:hAnsi="TimesNewRomanPS-ItalicMT" w:cs="TimesNewRomanPS-ItalicMT"/>
        </w:rPr>
        <w:t xml:space="preserve"> </w:t>
      </w:r>
      <w:r w:rsidRPr="0094215C" w:rsidR="00CE4E60">
        <w:rPr>
          <w:rFonts w:ascii="TimesNewRomanPS-ItalicMT" w:hAnsi="TimesNewRomanPS-ItalicMT" w:cs="TimesNewRomanPS-ItalicMT"/>
        </w:rPr>
        <w:t>(WCB 2019)</w:t>
      </w:r>
      <w:r w:rsidR="00CE4E60">
        <w:rPr>
          <w:rFonts w:ascii="TimesNewRomanPS-ItalicMT" w:hAnsi="TimesNewRomanPS-ItalicMT" w:cs="TimesNewRomanPS-ItalicMT"/>
          <w:i/>
          <w:iCs/>
        </w:rPr>
        <w:t xml:space="preserve"> </w:t>
      </w:r>
      <w:r w:rsidRPr="0094215C" w:rsidR="00CE4E60">
        <w:rPr>
          <w:rFonts w:ascii="TimesNewRomanPS-ItalicMT" w:hAnsi="TimesNewRomanPS-ItalicMT" w:cs="TimesNewRomanPS-ItalicMT"/>
        </w:rPr>
        <w:t>(</w:t>
      </w:r>
      <w:r w:rsidR="00CE4E60">
        <w:rPr>
          <w:rFonts w:ascii="TimesNewRomanPS-ItalicMT" w:hAnsi="TimesNewRomanPS-ItalicMT" w:cs="TimesNewRomanPS-ItalicMT"/>
          <w:i/>
          <w:iCs/>
        </w:rPr>
        <w:t>Sunflower-Lakeland Order</w:t>
      </w:r>
      <w:r w:rsidRPr="0094215C" w:rsidR="00CE4E60">
        <w:rPr>
          <w:rFonts w:ascii="TimesNewRomanPS-ItalicMT" w:hAnsi="TimesNewRomanPS-ItalicMT" w:cs="TimesNewRomanPS-ItalicMT"/>
        </w:rPr>
        <w:t>)</w:t>
      </w:r>
      <w:r w:rsidR="0069789F">
        <w:rPr>
          <w:iCs/>
          <w:shd w:val="clear" w:color="auto" w:fill="FFFFFF"/>
        </w:rPr>
        <w:t xml:space="preserve">; </w:t>
      </w:r>
      <w:r w:rsidR="0069789F">
        <w:rPr>
          <w:rFonts w:ascii="TimesNewRomanPS-ItalicMT" w:hAnsi="TimesNewRomanPS-ItalicMT" w:cs="TimesNewRomanPS-ItalicMT"/>
          <w:i/>
          <w:iCs/>
        </w:rPr>
        <w:t>Connect America Fund et al.</w:t>
      </w:r>
      <w:r w:rsidR="0069789F">
        <w:rPr>
          <w:rFonts w:ascii="TimesNewRomanPSMT" w:hAnsi="TimesNewRomanPSMT" w:cs="TimesNewRomanPSMT"/>
        </w:rPr>
        <w:t>, WC Docket No. 10-90 et al., Order</w:t>
      </w:r>
      <w:r w:rsidR="0069789F">
        <w:t xml:space="preserve">, 34 FCC </w:t>
      </w:r>
      <w:r w:rsidR="0069789F">
        <w:t>Rcd</w:t>
      </w:r>
      <w:r w:rsidR="0069789F">
        <w:t xml:space="preserve"> at 4777</w:t>
      </w:r>
      <w:r w:rsidR="0069789F">
        <w:rPr>
          <w:rFonts w:ascii="TimesNewRomanPSMT" w:hAnsi="TimesNewRomanPSMT" w:cs="TimesNewRomanPSMT"/>
        </w:rPr>
        <w:t xml:space="preserve"> (WCB 2019) (</w:t>
      </w:r>
      <w:r w:rsidR="0069789F">
        <w:rPr>
          <w:rFonts w:ascii="TimesNewRomanPS-ItalicMT" w:hAnsi="TimesNewRomanPS-ItalicMT" w:cs="TimesNewRomanPS-ItalicMT"/>
          <w:i/>
          <w:iCs/>
        </w:rPr>
        <w:t>Titonka-ITC-Northeast Order</w:t>
      </w:r>
      <w:r w:rsidR="0069789F">
        <w:rPr>
          <w:rFonts w:ascii="TimesNewRomanPSMT" w:hAnsi="TimesNewRomanPSMT" w:cs="TimesNewRomanPSMT"/>
        </w:rPr>
        <w:t>)</w:t>
      </w:r>
      <w:r w:rsidR="00F44139">
        <w:rPr>
          <w:rFonts w:ascii="TimesNewRomanPSMT" w:hAnsi="TimesNewRomanPSMT" w:cs="TimesNewRomanPSMT"/>
        </w:rPr>
        <w:t xml:space="preserve">; </w:t>
      </w:r>
      <w:r w:rsidRPr="00F44139" w:rsidR="00F44139">
        <w:rPr>
          <w:rFonts w:ascii="TimesNewRomanPSMT" w:hAnsi="TimesNewRomanPSMT" w:cs="TimesNewRomanPSMT"/>
          <w:i/>
        </w:rPr>
        <w:t>Connect America Fund et al</w:t>
      </w:r>
      <w:r w:rsidRPr="00F44139" w:rsidR="00F44139">
        <w:rPr>
          <w:rFonts w:ascii="TimesNewRomanPSMT" w:hAnsi="TimesNewRomanPSMT" w:cs="TimesNewRomanPSMT"/>
          <w:iCs/>
        </w:rPr>
        <w:t>.</w:t>
      </w:r>
      <w:r w:rsidRPr="00F44139" w:rsidR="00F44139">
        <w:rPr>
          <w:rFonts w:ascii="TimesNewRomanPSMT" w:hAnsi="TimesNewRomanPSMT" w:cs="TimesNewRomanPSMT"/>
        </w:rPr>
        <w:t xml:space="preserve">, WC Docket No. 10-90 et al., 33 FCC </w:t>
      </w:r>
      <w:r w:rsidRPr="00F44139" w:rsidR="00F44139">
        <w:rPr>
          <w:rFonts w:ascii="TimesNewRomanPSMT" w:hAnsi="TimesNewRomanPSMT" w:cs="TimesNewRomanPSMT"/>
        </w:rPr>
        <w:t>Rcd</w:t>
      </w:r>
      <w:r w:rsidRPr="00F44139" w:rsidR="00F44139">
        <w:rPr>
          <w:rFonts w:ascii="TimesNewRomanPSMT" w:hAnsi="TimesNewRomanPSMT" w:cs="TimesNewRomanPSMT"/>
        </w:rPr>
        <w:t xml:space="preserve"> 1152 (WCB 2018) (</w:t>
      </w:r>
      <w:r w:rsidRPr="00F44139" w:rsidR="00F44139">
        <w:rPr>
          <w:rFonts w:ascii="TimesNewRomanPSMT" w:hAnsi="TimesNewRomanPSMT" w:cs="TimesNewRomanPSMT"/>
          <w:i/>
        </w:rPr>
        <w:t>Butler-</w:t>
      </w:r>
      <w:r w:rsidRPr="00F44139" w:rsidR="00F44139">
        <w:rPr>
          <w:rFonts w:ascii="TimesNewRomanPSMT" w:hAnsi="TimesNewRomanPSMT" w:cs="TimesNewRomanPSMT"/>
          <w:i/>
        </w:rPr>
        <w:t>Panora</w:t>
      </w:r>
      <w:r w:rsidRPr="00F44139" w:rsidR="00F44139">
        <w:rPr>
          <w:rFonts w:ascii="TimesNewRomanPSMT" w:hAnsi="TimesNewRomanPSMT" w:cs="TimesNewRomanPSMT"/>
          <w:i/>
        </w:rPr>
        <w:t xml:space="preserve"> Order</w:t>
      </w:r>
      <w:r w:rsidRPr="00F44139" w:rsidR="00F44139">
        <w:rPr>
          <w:rFonts w:ascii="TimesNewRomanPSMT" w:hAnsi="TimesNewRomanPSMT" w:cs="TimesNewRomanPSMT"/>
        </w:rPr>
        <w:t>) (granting two rate-of-return study area waiver petitions</w:t>
      </w:r>
      <w:r w:rsidRPr="00F44139" w:rsidR="00F44139">
        <w:rPr>
          <w:rFonts w:ascii="TimesNewRomanPSMT" w:hAnsi="TimesNewRomanPSMT" w:cs="TimesNewRomanPSMT"/>
          <w:iCs/>
        </w:rPr>
        <w:t>);</w:t>
      </w:r>
      <w:r w:rsidR="00F44139">
        <w:rPr>
          <w:rFonts w:ascii="TimesNewRomanPSMT" w:hAnsi="TimesNewRomanPSMT" w:cs="TimesNewRomanPSMT"/>
          <w:iCs/>
        </w:rPr>
        <w:t xml:space="preserve"> </w:t>
      </w:r>
      <w:r w:rsidRPr="00F44139" w:rsidR="00F44139">
        <w:rPr>
          <w:rFonts w:ascii="TimesNewRomanPSMT" w:hAnsi="TimesNewRomanPSMT" w:cs="TimesNewRomanPSMT"/>
          <w:i/>
          <w:iCs/>
        </w:rPr>
        <w:t>CenturyLink Petition for Conversion of Average Schedule Affiliates to Price Cap Regulation and for Limited Waiver Relief</w:t>
      </w:r>
      <w:r w:rsidRPr="00F44139" w:rsidR="00F44139">
        <w:rPr>
          <w:rFonts w:ascii="TimesNewRomanPSMT" w:hAnsi="TimesNewRomanPSMT" w:cs="TimesNewRomanPSMT"/>
          <w:iCs/>
        </w:rPr>
        <w:t>,</w:t>
      </w:r>
      <w:r w:rsidRPr="00F44139" w:rsidR="00F44139">
        <w:rPr>
          <w:rFonts w:ascii="TimesNewRomanPSMT" w:hAnsi="TimesNewRomanPSMT" w:cs="TimesNewRomanPSMT"/>
          <w:i/>
          <w:iCs/>
        </w:rPr>
        <w:t xml:space="preserve"> </w:t>
      </w:r>
      <w:r w:rsidRPr="00F44139" w:rsidR="00F44139">
        <w:rPr>
          <w:rFonts w:ascii="TimesNewRomanPSMT" w:hAnsi="TimesNewRomanPSMT" w:cs="TimesNewRomanPSMT"/>
          <w:iCs/>
        </w:rPr>
        <w:t xml:space="preserve">WC Docket No. 14-23, Order, 29 FCC </w:t>
      </w:r>
      <w:r w:rsidRPr="00F44139" w:rsidR="00F44139">
        <w:rPr>
          <w:rFonts w:ascii="TimesNewRomanPSMT" w:hAnsi="TimesNewRomanPSMT" w:cs="TimesNewRomanPSMT"/>
          <w:iCs/>
        </w:rPr>
        <w:t>Rcd</w:t>
      </w:r>
      <w:r w:rsidRPr="00F44139" w:rsidR="00F44139">
        <w:rPr>
          <w:rFonts w:ascii="TimesNewRomanPSMT" w:hAnsi="TimesNewRomanPSMT" w:cs="TimesNewRomanPSMT"/>
          <w:iCs/>
        </w:rPr>
        <w:t xml:space="preserve"> 5140 (WCB 2014) (allowing CenturyLink to establish a single interstate access tariff with blended switched and special access rates for three consolidating study areas and simultaneously allowing the three affiliates requesting the waiver to withdraw from the NECA pool)</w:t>
      </w:r>
      <w:r w:rsidR="0069789F">
        <w:rPr>
          <w:rFonts w:ascii="TimesNewRomanPSMT" w:hAnsi="TimesNewRomanPSMT" w:cs="TimesNewRomanPSMT"/>
        </w:rPr>
        <w:t>.</w:t>
      </w:r>
    </w:p>
  </w:footnote>
  <w:footnote w:id="31">
    <w:p w:rsidR="00FD4263" w:rsidRPr="0094215C" w:rsidP="0094215C" w14:paraId="5930AC3F" w14:textId="3D7C45E5">
      <w:pPr>
        <w:pStyle w:val="FootnoteText"/>
        <w:rPr>
          <w:rFonts w:ascii="TimesNewRomanPSMT" w:hAnsi="TimesNewRomanPSMT" w:cs="TimesNewRomanPSMT"/>
        </w:rPr>
      </w:pPr>
      <w:r>
        <w:rPr>
          <w:rStyle w:val="FootnoteReference"/>
        </w:rPr>
        <w:footnoteRef/>
      </w:r>
      <w:r>
        <w:t xml:space="preserve"> </w:t>
      </w:r>
      <w:r>
        <w:rPr>
          <w:i/>
        </w:rPr>
        <w:t>See</w:t>
      </w:r>
      <w:r w:rsidRPr="00620614">
        <w:t>,</w:t>
      </w:r>
      <w:r>
        <w:rPr>
          <w:i/>
        </w:rPr>
        <w:t xml:space="preserve"> e</w:t>
      </w:r>
      <w:r w:rsidRPr="00620614">
        <w:t>.</w:t>
      </w:r>
      <w:r>
        <w:rPr>
          <w:i/>
        </w:rPr>
        <w:t>g</w:t>
      </w:r>
      <w:r w:rsidRPr="00620614">
        <w:t>.</w:t>
      </w:r>
      <w:r>
        <w:t xml:space="preserve">, </w:t>
      </w:r>
      <w:r w:rsidR="0069789F">
        <w:rPr>
          <w:rFonts w:ascii="TimesNewRomanPS-ItalicMT" w:hAnsi="TimesNewRomanPS-ItalicMT" w:cs="TimesNewRomanPS-ItalicMT"/>
          <w:i/>
          <w:iCs/>
        </w:rPr>
        <w:t>Titonka-ITC-Northeast Order</w:t>
      </w:r>
      <w:r w:rsidR="0069789F">
        <w:rPr>
          <w:rFonts w:ascii="TimesNewRomanPS-ItalicMT" w:hAnsi="TimesNewRomanPS-ItalicMT" w:cs="TimesNewRomanPS-ItalicMT"/>
        </w:rPr>
        <w:t>,</w:t>
      </w:r>
      <w:r w:rsidR="0069789F">
        <w:t xml:space="preserve"> </w:t>
      </w:r>
      <w:r w:rsidR="00664581">
        <w:t xml:space="preserve">34 FCC </w:t>
      </w:r>
      <w:r w:rsidR="00664581">
        <w:t>Rcd</w:t>
      </w:r>
      <w:r w:rsidR="00664581">
        <w:t xml:space="preserve"> at 4781-</w:t>
      </w:r>
      <w:r w:rsidR="00E02E50">
        <w:t>82, para</w:t>
      </w:r>
      <w:r>
        <w:t>. 10</w:t>
      </w:r>
      <w:r w:rsidR="0069789F">
        <w:rPr>
          <w:rFonts w:ascii="TimesNewRomanPSMT" w:hAnsi="TimesNewRomanPSMT" w:cs="TimesNewRomanPSMT"/>
        </w:rPr>
        <w:t>.</w:t>
      </w:r>
      <w:r w:rsidR="002271D7">
        <w:rPr>
          <w:rFonts w:ascii="TimesNewRomanPSMT" w:hAnsi="TimesNewRomanPSMT" w:cs="TimesNewRomanPSMT"/>
        </w:rPr>
        <w:t xml:space="preserve">  </w:t>
      </w:r>
    </w:p>
  </w:footnote>
  <w:footnote w:id="32">
    <w:p w:rsidR="00BD6F4A" w:rsidRPr="0094215C" w:rsidP="0094215C" w14:paraId="3B4CC2C1" w14:textId="77777777">
      <w:pPr>
        <w:pStyle w:val="FootnoteText"/>
        <w:rPr>
          <w:rFonts w:ascii="TimesNewRomanPS-ItalicMT" w:hAnsi="TimesNewRomanPS-ItalicMT" w:cs="TimesNewRomanPS-ItalicMT"/>
          <w:i/>
          <w:iCs/>
        </w:rPr>
      </w:pPr>
      <w:r>
        <w:rPr>
          <w:rStyle w:val="FootnoteReference"/>
        </w:rPr>
        <w:footnoteRef/>
      </w:r>
      <w:r>
        <w:t xml:space="preserve"> </w:t>
      </w:r>
      <w:r w:rsidRPr="0094215C" w:rsidR="0094215C">
        <w:rPr>
          <w:i/>
          <w:iCs/>
        </w:rPr>
        <w:t>See</w:t>
      </w:r>
      <w:r w:rsidR="0094215C">
        <w:t xml:space="preserve">, </w:t>
      </w:r>
      <w:r w:rsidRPr="0094215C" w:rsidR="0094215C">
        <w:rPr>
          <w:i/>
          <w:iCs/>
        </w:rPr>
        <w:t>e.g</w:t>
      </w:r>
      <w:r w:rsidR="0094215C">
        <w:t xml:space="preserve">., </w:t>
      </w:r>
      <w:r w:rsidR="0069789F">
        <w:rPr>
          <w:rFonts w:ascii="TimesNewRomanPS-ItalicMT" w:hAnsi="TimesNewRomanPS-ItalicMT" w:cs="TimesNewRomanPS-ItalicMT"/>
          <w:i/>
          <w:iCs/>
        </w:rPr>
        <w:t>Sunflower-Lakeland Order</w:t>
      </w:r>
      <w:r w:rsidR="0069789F">
        <w:rPr>
          <w:rFonts w:ascii="TimesNewRomanPS-ItalicMT" w:hAnsi="TimesNewRomanPS-ItalicMT" w:cs="TimesNewRomanPS-ItalicMT"/>
        </w:rPr>
        <w:t>,</w:t>
      </w:r>
      <w:r w:rsidRPr="0094215C" w:rsidR="0069789F">
        <w:rPr>
          <w:rFonts w:ascii="TimesNewRomanPS-ItalicMT" w:hAnsi="TimesNewRomanPS-ItalicMT" w:cs="TimesNewRomanPS-ItalicMT"/>
        </w:rPr>
        <w:t xml:space="preserve"> </w:t>
      </w:r>
      <w:r w:rsidRPr="0094215C" w:rsidR="0094215C">
        <w:rPr>
          <w:rFonts w:ascii="TimesNewRomanPS-ItalicMT" w:hAnsi="TimesNewRomanPS-ItalicMT" w:cs="TimesNewRomanPS-ItalicMT"/>
        </w:rPr>
        <w:t xml:space="preserve">34 FCC </w:t>
      </w:r>
      <w:r w:rsidRPr="0094215C" w:rsidR="0094215C">
        <w:rPr>
          <w:rFonts w:ascii="TimesNewRomanPS-ItalicMT" w:hAnsi="TimesNewRomanPS-ItalicMT" w:cs="TimesNewRomanPS-ItalicMT"/>
        </w:rPr>
        <w:t>Rcd</w:t>
      </w:r>
      <w:r w:rsidRPr="0094215C" w:rsidR="0094215C">
        <w:rPr>
          <w:rFonts w:ascii="TimesNewRomanPS-ItalicMT" w:hAnsi="TimesNewRomanPS-ItalicMT" w:cs="TimesNewRomanPS-ItalicMT"/>
        </w:rPr>
        <w:t xml:space="preserve"> </w:t>
      </w:r>
      <w:r w:rsidR="0069789F">
        <w:rPr>
          <w:rFonts w:ascii="TimesNewRomanPS-ItalicMT" w:hAnsi="TimesNewRomanPS-ItalicMT" w:cs="TimesNewRomanPS-ItalicMT"/>
        </w:rPr>
        <w:t>at</w:t>
      </w:r>
      <w:r w:rsidRPr="0094215C" w:rsidR="0094215C">
        <w:rPr>
          <w:rFonts w:ascii="TimesNewRomanPS-ItalicMT" w:hAnsi="TimesNewRomanPS-ItalicMT" w:cs="TimesNewRomanPS-ItalicMT"/>
        </w:rPr>
        <w:t xml:space="preserve"> 9621, para. 10</w:t>
      </w:r>
      <w:r w:rsidR="0069789F">
        <w:rPr>
          <w:rFonts w:ascii="TimesNewRomanPS-ItalicMT" w:hAnsi="TimesNewRomanPS-ItalicMT" w:cs="TimesNewRomanPS-ItalicMT"/>
        </w:rPr>
        <w:t>.</w:t>
      </w:r>
    </w:p>
  </w:footnote>
  <w:footnote w:id="33">
    <w:p w:rsidR="00EE12BE" w:rsidP="00EE12BE" w14:paraId="4E6FD27C" w14:textId="002618AF">
      <w:pPr>
        <w:pStyle w:val="FootnoteText"/>
        <w:rPr>
          <w:i/>
        </w:rPr>
      </w:pPr>
      <w:r w:rsidRPr="004C362E">
        <w:rPr>
          <w:rStyle w:val="FootnoteReference"/>
        </w:rPr>
        <w:footnoteRef/>
      </w:r>
      <w:r w:rsidR="004350CD">
        <w:rPr>
          <w:i/>
          <w:iCs/>
        </w:rPr>
        <w:t xml:space="preserve"> </w:t>
      </w:r>
      <w:r w:rsidRPr="1151600E" w:rsidR="1151600E">
        <w:rPr>
          <w:i/>
          <w:iCs/>
        </w:rPr>
        <w:t xml:space="preserve">See </w:t>
      </w:r>
      <w:r w:rsidRPr="1151600E" w:rsidR="1151600E">
        <w:t>METC Petition at 4-5.</w:t>
      </w:r>
    </w:p>
  </w:footnote>
  <w:footnote w:id="34">
    <w:p w:rsidR="00F44139" w:rsidRPr="003A0D35" w:rsidP="00F44139" w14:paraId="400A6997" w14:textId="77777777">
      <w:pPr>
        <w:pStyle w:val="FootnoteText"/>
      </w:pPr>
      <w:r>
        <w:rPr>
          <w:rStyle w:val="FootnoteReference"/>
        </w:rPr>
        <w:footnoteRef/>
      </w:r>
      <w:r>
        <w:t xml:space="preserve"> </w:t>
      </w:r>
      <w:r>
        <w:rPr>
          <w:i/>
          <w:iCs/>
        </w:rPr>
        <w:t xml:space="preserve">See supra </w:t>
      </w:r>
      <w:r>
        <w:t>paras. 9-10.</w:t>
      </w:r>
    </w:p>
  </w:footnote>
  <w:footnote w:id="35">
    <w:p w:rsidR="00B76D7D" w:rsidRPr="00B76D7D" w14:paraId="2053D1D8" w14:textId="22D27BAE">
      <w:pPr>
        <w:pStyle w:val="FootnoteText"/>
      </w:pPr>
      <w:r>
        <w:rPr>
          <w:rStyle w:val="FootnoteReference"/>
        </w:rPr>
        <w:footnoteRef/>
      </w:r>
      <w:r>
        <w:t xml:space="preserve"> </w:t>
      </w:r>
      <w:r>
        <w:rPr>
          <w:i/>
          <w:iCs/>
        </w:rPr>
        <w:t>See</w:t>
      </w:r>
      <w:r w:rsidR="00C935B1">
        <w:rPr>
          <w:i/>
          <w:iCs/>
        </w:rPr>
        <w:t>, e.g.</w:t>
      </w:r>
      <w:r w:rsidRPr="00D963C5" w:rsidR="00C935B1">
        <w:t>,</w:t>
      </w:r>
      <w:r>
        <w:t xml:space="preserve"> </w:t>
      </w:r>
      <w:r w:rsidRPr="00734E80">
        <w:rPr>
          <w:i/>
          <w:iCs/>
        </w:rPr>
        <w:t>Ace Order</w:t>
      </w:r>
      <w:r w:rsidR="003B42AF">
        <w:t xml:space="preserve"> at 5</w:t>
      </w:r>
      <w:r w:rsidR="005F2D30">
        <w:t>,</w:t>
      </w:r>
      <w:r>
        <w:t xml:space="preserve"> </w:t>
      </w:r>
      <w:r w:rsidR="005F2D30">
        <w:rPr>
          <w:iCs/>
        </w:rPr>
        <w:t>para</w:t>
      </w:r>
      <w:r w:rsidR="00895839">
        <w:rPr>
          <w:iCs/>
        </w:rPr>
        <w:t>.</w:t>
      </w:r>
      <w:r w:rsidR="005F2D30">
        <w:rPr>
          <w:iCs/>
        </w:rPr>
        <w:t xml:space="preserve"> </w:t>
      </w:r>
      <w:r w:rsidR="00895839">
        <w:rPr>
          <w:iCs/>
        </w:rPr>
        <w:t>12</w:t>
      </w:r>
      <w:r>
        <w:t xml:space="preserve">; </w:t>
      </w:r>
      <w:r w:rsidRPr="005C3C6F" w:rsidR="00895839">
        <w:rPr>
          <w:i/>
          <w:iCs/>
        </w:rPr>
        <w:t>Butler</w:t>
      </w:r>
      <w:r w:rsidRPr="007709A4" w:rsidR="00895839">
        <w:rPr>
          <w:i/>
          <w:iCs/>
        </w:rPr>
        <w:t>-</w:t>
      </w:r>
      <w:r w:rsidRPr="007709A4" w:rsidR="00895839">
        <w:rPr>
          <w:i/>
          <w:iCs/>
        </w:rPr>
        <w:t>Panora</w:t>
      </w:r>
      <w:r w:rsidRPr="007709A4" w:rsidR="00895839">
        <w:rPr>
          <w:i/>
          <w:iCs/>
        </w:rPr>
        <w:t xml:space="preserve"> Order</w:t>
      </w:r>
      <w:r w:rsidRPr="007709A4" w:rsidR="00895839">
        <w:t>, 33 FCC</w:t>
      </w:r>
      <w:r w:rsidR="00895839">
        <w:t xml:space="preserve"> </w:t>
      </w:r>
      <w:r w:rsidR="00895839">
        <w:t>Rcd</w:t>
      </w:r>
      <w:r w:rsidR="00895839">
        <w:t xml:space="preserve"> at 1157, para. 15.</w:t>
      </w:r>
    </w:p>
  </w:footnote>
  <w:footnote w:id="36">
    <w:p w:rsidR="00B76D7D" w:rsidRPr="00B76D7D" w14:paraId="695DE525" w14:textId="489B2EEC">
      <w:pPr>
        <w:pStyle w:val="FootnoteText"/>
      </w:pPr>
      <w:r>
        <w:rPr>
          <w:rStyle w:val="FootnoteReference"/>
        </w:rPr>
        <w:footnoteRef/>
      </w:r>
      <w:r>
        <w:t xml:space="preserve"> </w:t>
      </w:r>
      <w:r w:rsidR="00895839">
        <w:rPr>
          <w:i/>
          <w:iCs/>
        </w:rPr>
        <w:t>See</w:t>
      </w:r>
      <w:r w:rsidR="00C935B1">
        <w:rPr>
          <w:i/>
          <w:iCs/>
        </w:rPr>
        <w:t>, e.g.</w:t>
      </w:r>
      <w:r w:rsidRPr="00D963C5" w:rsidR="00C935B1">
        <w:t>,</w:t>
      </w:r>
      <w:r w:rsidR="00895839">
        <w:t xml:space="preserve"> </w:t>
      </w:r>
      <w:r w:rsidRPr="001B4532" w:rsidR="00895839">
        <w:rPr>
          <w:i/>
          <w:iCs/>
        </w:rPr>
        <w:t>Ace Order</w:t>
      </w:r>
      <w:r w:rsidR="003B42AF">
        <w:t xml:space="preserve"> at 5</w:t>
      </w:r>
      <w:r w:rsidR="00895839">
        <w:t>,</w:t>
      </w:r>
      <w:r w:rsidR="00D93CAA">
        <w:t xml:space="preserve"> </w:t>
      </w:r>
      <w:r w:rsidR="00895839">
        <w:rPr>
          <w:iCs/>
        </w:rPr>
        <w:t>para. 12</w:t>
      </w:r>
      <w:r>
        <w:t>;</w:t>
      </w:r>
      <w:r w:rsidR="00895839">
        <w:t xml:space="preserve"> </w:t>
      </w:r>
      <w:r w:rsidRPr="005C3C6F" w:rsidR="00895839">
        <w:rPr>
          <w:i/>
          <w:iCs/>
        </w:rPr>
        <w:t>Butler</w:t>
      </w:r>
      <w:r w:rsidRPr="007709A4" w:rsidR="00895839">
        <w:rPr>
          <w:i/>
          <w:iCs/>
        </w:rPr>
        <w:t>-</w:t>
      </w:r>
      <w:r w:rsidRPr="007709A4" w:rsidR="00895839">
        <w:rPr>
          <w:i/>
          <w:iCs/>
        </w:rPr>
        <w:t>Panora</w:t>
      </w:r>
      <w:r w:rsidRPr="007709A4" w:rsidR="00895839">
        <w:rPr>
          <w:i/>
          <w:iCs/>
        </w:rPr>
        <w:t xml:space="preserve"> Order</w:t>
      </w:r>
      <w:r w:rsidRPr="007709A4" w:rsidR="00895839">
        <w:t>, 33 FCC</w:t>
      </w:r>
      <w:r w:rsidR="00895839">
        <w:t xml:space="preserve"> </w:t>
      </w:r>
      <w:r w:rsidR="00895839">
        <w:t>Rcd</w:t>
      </w:r>
      <w:r w:rsidR="00895839">
        <w:t xml:space="preserve"> at 1157, para. </w:t>
      </w:r>
      <w:r w:rsidR="00495EEA">
        <w:t>15</w:t>
      </w:r>
      <w:r w:rsidR="001936A0">
        <w:t>.</w:t>
      </w:r>
    </w:p>
  </w:footnote>
  <w:footnote w:id="37">
    <w:p w:rsidR="00BD6F4A" w:rsidRPr="007709A4" w:rsidP="00BD6F4A" w14:paraId="32EACBFE" w14:textId="7CB907FE">
      <w:pPr>
        <w:pStyle w:val="FootnoteText"/>
      </w:pPr>
      <w:r w:rsidRPr="007709A4">
        <w:rPr>
          <w:rStyle w:val="FootnoteReference"/>
        </w:rPr>
        <w:footnoteRef/>
      </w:r>
      <w:r w:rsidRPr="007709A4">
        <w:t xml:space="preserve"> </w:t>
      </w:r>
      <w:r w:rsidRPr="007709A4">
        <w:rPr>
          <w:i/>
        </w:rPr>
        <w:t xml:space="preserve">See </w:t>
      </w:r>
      <w:r w:rsidR="00495EEA">
        <w:t>METC Petition</w:t>
      </w:r>
      <w:r w:rsidRPr="1151600E" w:rsidR="1151600E">
        <w:rPr>
          <w:i/>
          <w:iCs/>
        </w:rPr>
        <w:t xml:space="preserve"> </w:t>
      </w:r>
      <w:r w:rsidRPr="007709A4" w:rsidR="1151600E">
        <w:t>at 2-3</w:t>
      </w:r>
      <w:r w:rsidR="00D84677">
        <w:t>.</w:t>
      </w:r>
    </w:p>
  </w:footnote>
  <w:footnote w:id="38">
    <w:p w:rsidR="009E6386" w:rsidP="009E6386" w14:paraId="66A86FFF" w14:textId="77777777">
      <w:pPr>
        <w:pStyle w:val="CommentText"/>
      </w:pPr>
      <w:r>
        <w:rPr>
          <w:rStyle w:val="FootnoteReference"/>
        </w:rPr>
        <w:footnoteRef/>
      </w:r>
      <w:r>
        <w:t xml:space="preserve"> </w:t>
      </w:r>
      <w:r w:rsidRPr="00D84677" w:rsidR="00F77108">
        <w:rPr>
          <w:i/>
          <w:iCs/>
        </w:rPr>
        <w:t xml:space="preserve">Joint Petition of Price Cap Holding Companies </w:t>
      </w:r>
      <w:r w:rsidRPr="00D84677" w:rsidR="000D520A">
        <w:rPr>
          <w:i/>
          <w:iCs/>
        </w:rPr>
        <w:t xml:space="preserve">for Conversion of Average Schedule Affiliates to Price Cap </w:t>
      </w:r>
    </w:p>
    <w:p w:rsidR="00A00577" w:rsidP="00A00577" w14:paraId="74A0AD28" w14:textId="66DD8737">
      <w:pPr>
        <w:pStyle w:val="FootnoteText"/>
        <w:rPr>
          <w:color w:val="FF0000"/>
        </w:rPr>
      </w:pPr>
      <w:r w:rsidRPr="00D84677">
        <w:rPr>
          <w:i/>
          <w:iCs/>
        </w:rPr>
        <w:t xml:space="preserve">Regulation and for </w:t>
      </w:r>
      <w:r w:rsidRPr="00D84677" w:rsidR="009129C2">
        <w:rPr>
          <w:i/>
          <w:iCs/>
        </w:rPr>
        <w:t>Limited Waiver Relief et al.</w:t>
      </w:r>
      <w:r w:rsidR="009129C2">
        <w:t>,</w:t>
      </w:r>
      <w:r w:rsidR="00F2351C">
        <w:t xml:space="preserve"> WC Docket No. 12-63, et al., </w:t>
      </w:r>
      <w:r w:rsidR="00BB4091">
        <w:t xml:space="preserve">27 FCC </w:t>
      </w:r>
      <w:r w:rsidR="00BB4091">
        <w:t>Rcd</w:t>
      </w:r>
      <w:r w:rsidR="00BB4091">
        <w:t xml:space="preserve"> 15753</w:t>
      </w:r>
      <w:r w:rsidR="000C276A">
        <w:t>,</w:t>
      </w:r>
      <w:r w:rsidR="00BB4091">
        <w:t xml:space="preserve"> </w:t>
      </w:r>
      <w:r w:rsidR="000C276A">
        <w:rPr>
          <w:color w:val="000000"/>
        </w:rPr>
        <w:t>15765, para. 33</w:t>
      </w:r>
      <w:r w:rsidRPr="00822619" w:rsidR="000C276A">
        <w:rPr>
          <w:color w:val="000000"/>
        </w:rPr>
        <w:t xml:space="preserve"> </w:t>
      </w:r>
      <w:r w:rsidR="00BB4091">
        <w:t>(2012) (</w:t>
      </w:r>
      <w:r w:rsidRPr="00822619" w:rsidR="00C05341">
        <w:rPr>
          <w:i/>
          <w:color w:val="000000"/>
        </w:rPr>
        <w:t>2012 Average Schedule Conversion Order</w:t>
      </w:r>
      <w:r w:rsidR="000C276A">
        <w:rPr>
          <w:iCs/>
          <w:color w:val="000000"/>
        </w:rPr>
        <w:t>)</w:t>
      </w:r>
      <w:r w:rsidR="003C2B0A">
        <w:rPr>
          <w:color w:val="000000"/>
        </w:rPr>
        <w:t xml:space="preserve"> </w:t>
      </w:r>
      <w:r w:rsidRPr="00822619" w:rsidR="003C2B0A">
        <w:rPr>
          <w:color w:val="000000"/>
        </w:rPr>
        <w:t>(</w:t>
      </w:r>
      <w:r w:rsidRPr="00822619" w:rsidR="003C2B0A">
        <w:rPr>
          <w:color w:val="000000"/>
          <w:szCs w:val="22"/>
        </w:rPr>
        <w:t>approving a methodology for establishing initial interstate switched and special access rates for the study areas in new tariff filings in order to allow the requesting carriers to operate more efficiently post waiver</w:t>
      </w:r>
      <w:r w:rsidRPr="00822619" w:rsidR="003C2B0A">
        <w:rPr>
          <w:color w:val="000000"/>
        </w:rPr>
        <w:t>)</w:t>
      </w:r>
      <w:r w:rsidRPr="00822619" w:rsidR="006254FD">
        <w:rPr>
          <w:color w:val="000000"/>
        </w:rPr>
        <w:t xml:space="preserve">; </w:t>
      </w:r>
      <w:r w:rsidR="006254FD">
        <w:t>47 CFR § </w:t>
      </w:r>
      <w:r w:rsidRPr="00822619" w:rsidR="006254FD">
        <w:rPr>
          <w:color w:val="000000"/>
        </w:rPr>
        <w:t>51.909(a).</w:t>
      </w:r>
    </w:p>
  </w:footnote>
  <w:footnote w:id="39">
    <w:p w:rsidR="00FD4263" w:rsidRPr="00822619" w:rsidP="00FD4263" w14:paraId="531FC839" w14:textId="23F0C9FB">
      <w:pPr>
        <w:pStyle w:val="FootnoteText"/>
        <w:rPr>
          <w:color w:val="000000"/>
        </w:rPr>
      </w:pPr>
      <w:r w:rsidRPr="00822619">
        <w:rPr>
          <w:rStyle w:val="FootnoteReference"/>
          <w:color w:val="000000"/>
        </w:rPr>
        <w:footnoteRef/>
      </w:r>
      <w:r w:rsidRPr="00822619">
        <w:rPr>
          <w:color w:val="000000"/>
        </w:rPr>
        <w:t xml:space="preserve"> </w:t>
      </w:r>
      <w:r w:rsidRPr="00B76455" w:rsidR="00C765BB">
        <w:rPr>
          <w:i/>
          <w:iCs/>
          <w:color w:val="000000"/>
        </w:rPr>
        <w:t>See</w:t>
      </w:r>
      <w:r w:rsidR="00C765BB">
        <w:rPr>
          <w:color w:val="000000"/>
        </w:rPr>
        <w:t xml:space="preserve"> </w:t>
      </w:r>
      <w:r w:rsidRPr="00E90069" w:rsidR="00E90069">
        <w:rPr>
          <w:color w:val="000000"/>
        </w:rPr>
        <w:t>Letter from Dan Davis, consultant to Marne Elk Horn Telephone Company, to Marlene H. Dortch, Secretary, FCC, WC Docket No. 21-281 (filed July 22, 2021) (Revised Exhibit A of the Petition)</w:t>
      </w:r>
      <w:r w:rsidR="00E90069">
        <w:rPr>
          <w:color w:val="000000"/>
        </w:rPr>
        <w:t>.</w:t>
      </w:r>
    </w:p>
  </w:footnote>
  <w:footnote w:id="40">
    <w:p w:rsidR="00FD4263" w:rsidRPr="00A3437D" w:rsidP="00FD4263" w14:paraId="055113BE" w14:textId="77777777">
      <w:pPr>
        <w:pStyle w:val="FootnoteText"/>
        <w:rPr>
          <w:i/>
        </w:rPr>
      </w:pPr>
      <w:r w:rsidRPr="007709A4">
        <w:rPr>
          <w:rStyle w:val="FootnoteReference"/>
        </w:rPr>
        <w:footnoteRef/>
      </w:r>
      <w:r w:rsidRPr="007709A4">
        <w:t xml:space="preserve"> </w:t>
      </w:r>
      <w:r w:rsidR="005C3C6F">
        <w:rPr>
          <w:i/>
          <w:iCs/>
        </w:rPr>
        <w:t>See generally 2012 Average Schedule Conversion Order</w:t>
      </w:r>
      <w:r w:rsidR="005C3C6F">
        <w:t xml:space="preserve">; </w:t>
      </w:r>
      <w:r w:rsidR="005C3C6F">
        <w:rPr>
          <w:i/>
          <w:iCs/>
        </w:rPr>
        <w:t xml:space="preserve">see also </w:t>
      </w:r>
      <w:r w:rsidRPr="005C3C6F">
        <w:rPr>
          <w:i/>
          <w:iCs/>
        </w:rPr>
        <w:t>Butler</w:t>
      </w:r>
      <w:r w:rsidRPr="007709A4">
        <w:rPr>
          <w:i/>
          <w:iCs/>
        </w:rPr>
        <w:t>-</w:t>
      </w:r>
      <w:r w:rsidRPr="007709A4">
        <w:rPr>
          <w:i/>
          <w:iCs/>
        </w:rPr>
        <w:t>Panora</w:t>
      </w:r>
      <w:r w:rsidRPr="007709A4">
        <w:rPr>
          <w:i/>
          <w:iCs/>
        </w:rPr>
        <w:t xml:space="preserve"> Order</w:t>
      </w:r>
      <w:r w:rsidRPr="007709A4">
        <w:t>, 33 FCC</w:t>
      </w:r>
      <w:r>
        <w:t xml:space="preserve"> </w:t>
      </w:r>
      <w:r>
        <w:t>Rcd</w:t>
      </w:r>
      <w:r>
        <w:t xml:space="preserve"> at 1157-58, para. 16; </w:t>
      </w:r>
      <w:r>
        <w:rPr>
          <w:i/>
        </w:rPr>
        <w:t>Titonka-ITC-</w:t>
      </w:r>
      <w:r w:rsidRPr="00620614">
        <w:rPr>
          <w:i/>
        </w:rPr>
        <w:t>Northeast Order</w:t>
      </w:r>
      <w:r>
        <w:t xml:space="preserve">, </w:t>
      </w:r>
      <w:r w:rsidR="00664581">
        <w:t xml:space="preserve">34 FCC </w:t>
      </w:r>
      <w:r w:rsidR="00664581">
        <w:t>Rcd</w:t>
      </w:r>
      <w:r w:rsidR="00664581">
        <w:t xml:space="preserve"> </w:t>
      </w:r>
      <w:r>
        <w:rPr>
          <w:rStyle w:val="item-value"/>
        </w:rPr>
        <w:t xml:space="preserve">at </w:t>
      </w:r>
      <w:r w:rsidR="00664581">
        <w:rPr>
          <w:rStyle w:val="item-value"/>
        </w:rPr>
        <w:t>4783</w:t>
      </w:r>
      <w:r>
        <w:t xml:space="preserve">, para. 13.  </w:t>
      </w:r>
    </w:p>
  </w:footnote>
  <w:footnote w:id="41">
    <w:p w:rsidR="00A80501" w14:paraId="689ECDC5" w14:textId="7395E05C">
      <w:pPr>
        <w:pStyle w:val="FootnoteText"/>
      </w:pPr>
      <w:r>
        <w:rPr>
          <w:rStyle w:val="FootnoteReference"/>
        </w:rPr>
        <w:footnoteRef/>
      </w:r>
      <w:r>
        <w:t xml:space="preserve"> METC Petition at 5.  </w:t>
      </w:r>
    </w:p>
  </w:footnote>
  <w:footnote w:id="42">
    <w:p w:rsidR="00FD4263" w:rsidP="00FD4263" w14:paraId="4B96784D" w14:textId="0FFCE1D8">
      <w:pPr>
        <w:pStyle w:val="FootnoteText"/>
      </w:pPr>
      <w:r w:rsidRPr="007709A4">
        <w:rPr>
          <w:rStyle w:val="FootnoteReference"/>
        </w:rPr>
        <w:footnoteRef/>
      </w:r>
      <w:r w:rsidRPr="007709A4">
        <w:t xml:space="preserve"> </w:t>
      </w:r>
      <w:r w:rsidRPr="00DA1163">
        <w:rPr>
          <w:i/>
        </w:rPr>
        <w:t xml:space="preserve">See </w:t>
      </w:r>
      <w:r w:rsidRPr="00141FD9" w:rsidR="00112B25">
        <w:rPr>
          <w:i/>
          <w:iCs/>
        </w:rPr>
        <w:t>id</w:t>
      </w:r>
      <w:r>
        <w:t>.</w:t>
      </w:r>
      <w:r w:rsidRPr="00DA1163">
        <w:t xml:space="preserve"> at 4-5.</w:t>
      </w:r>
    </w:p>
  </w:footnote>
  <w:footnote w:id="43">
    <w:p w:rsidR="00FD4263" w:rsidRPr="00822619" w:rsidP="00FD4263" w14:paraId="6691EDCC"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w:t>
      </w:r>
      <w:r w:rsidRPr="00822619">
        <w:rPr>
          <w:i/>
          <w:color w:val="000000"/>
        </w:rPr>
        <w:t xml:space="preserve"> e</w:t>
      </w:r>
      <w:r w:rsidRPr="00822619">
        <w:rPr>
          <w:color w:val="000000"/>
        </w:rPr>
        <w:t>.</w:t>
      </w:r>
      <w:r w:rsidRPr="00822619">
        <w:rPr>
          <w:i/>
          <w:color w:val="000000"/>
        </w:rPr>
        <w:t>g</w:t>
      </w:r>
      <w:r w:rsidRPr="00822619">
        <w:rPr>
          <w:color w:val="000000"/>
        </w:rPr>
        <w:t>.</w:t>
      </w:r>
      <w:r w:rsidRPr="00D963C5">
        <w:rPr>
          <w:iCs/>
          <w:color w:val="000000"/>
        </w:rPr>
        <w:t>,</w:t>
      </w:r>
      <w:r w:rsidRPr="00822619">
        <w:rPr>
          <w:i/>
          <w:color w:val="000000"/>
        </w:rPr>
        <w:t xml:space="preserve"> USF/ICC Transformation Order</w:t>
      </w:r>
      <w:r w:rsidRPr="00822619">
        <w:rPr>
          <w:color w:val="000000"/>
        </w:rPr>
        <w:t xml:space="preserve">, 26 FCC </w:t>
      </w:r>
      <w:r w:rsidRPr="00822619">
        <w:rPr>
          <w:color w:val="000000"/>
        </w:rPr>
        <w:t>Rcd</w:t>
      </w:r>
      <w:r w:rsidRPr="00822619">
        <w:rPr>
          <w:color w:val="000000"/>
        </w:rPr>
        <w:t xml:space="preserve"> at 17984-85, para. 902.</w:t>
      </w:r>
    </w:p>
  </w:footnote>
  <w:footnote w:id="44">
    <w:p w:rsidR="00E53636" w:rsidP="00E53636" w14:paraId="39BE12F0" w14:textId="6C7FEF5C">
      <w:pPr>
        <w:pStyle w:val="FootnoteText"/>
      </w:pPr>
      <w:r>
        <w:rPr>
          <w:rStyle w:val="FootnoteReference"/>
        </w:rPr>
        <w:footnoteRef/>
      </w:r>
      <w:r>
        <w:t xml:space="preserve"> </w:t>
      </w:r>
      <w:r w:rsidRPr="002202ED" w:rsidR="006F6B04">
        <w:rPr>
          <w:i/>
          <w:iCs/>
        </w:rPr>
        <w:t>See</w:t>
      </w:r>
      <w:r w:rsidR="006F6B04">
        <w:t xml:space="preserve"> METC Petition at 2 (</w:t>
      </w:r>
      <w:r>
        <w:t xml:space="preserve">“To allow the Petitioner the efficiency of managing switched access, special access, and CAF-ICC compliance for a single study area, the Petitioner will merge the METC study area </w:t>
      </w:r>
      <w:r w:rsidR="00990E6F">
        <w:t>[351237]</w:t>
      </w:r>
      <w:r>
        <w:t xml:space="preserve"> and the Walnut study area 351326 effective January 1, 2022.”</w:t>
      </w:r>
      <w:r w:rsidR="006F6B04">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FE4B14" w14:textId="303567B7">
    <w:pPr>
      <w:pStyle w:val="Header"/>
      <w:rPr>
        <w:b w:val="0"/>
      </w:rPr>
    </w:pPr>
    <w:r>
      <w:tab/>
      <w:t>Federal Communications Commission</w:t>
    </w:r>
    <w:r>
      <w:tab/>
    </w:r>
    <w:r w:rsidR="00765D6B">
      <w:t>DA 21-</w:t>
    </w:r>
    <w:r w:rsidR="006C1864">
      <w:t>1246</w:t>
    </w:r>
  </w:p>
  <w:p w:rsidR="00D25FB5" w:rsidP="00D963C5" w14:paraId="722AF6D8" w14:textId="79D67603">
    <w:pPr>
      <w:tabs>
        <w:tab w:val="left" w:pos="-720"/>
      </w:tabs>
      <w:suppressAutoHyphens/>
      <w:spacing w:line="19" w:lineRule="exact"/>
      <w:rPr>
        <w:sz w:val="1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A11244" w14:textId="21A623D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00505E">
      <w:t xml:space="preserve"> </w:t>
    </w:r>
    <w:r>
      <w:tab/>
      <w:t>Federal Communications Commission</w:t>
    </w:r>
    <w:r>
      <w:tab/>
    </w:r>
    <w:r w:rsidR="005A6473">
      <w:rPr>
        <w:spacing w:val="-2"/>
      </w:rPr>
      <w:t xml:space="preserve">DA </w:t>
    </w:r>
    <w:r w:rsidR="00765D6B">
      <w:rPr>
        <w:spacing w:val="-2"/>
      </w:rPr>
      <w:t>21</w:t>
    </w:r>
    <w:r w:rsidR="005A6473">
      <w:rPr>
        <w:spacing w:val="-2"/>
      </w:rPr>
      <w:t>-</w:t>
    </w:r>
    <w:r w:rsidR="006C1864">
      <w:rPr>
        <w:spacing w:val="-2"/>
      </w:rPr>
      <w:t>1246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73"/>
    <w:rsid w:val="000015A9"/>
    <w:rsid w:val="00001D64"/>
    <w:rsid w:val="0000245B"/>
    <w:rsid w:val="000043B3"/>
    <w:rsid w:val="0000505E"/>
    <w:rsid w:val="00007831"/>
    <w:rsid w:val="000100C2"/>
    <w:rsid w:val="00010427"/>
    <w:rsid w:val="000117CF"/>
    <w:rsid w:val="000158E7"/>
    <w:rsid w:val="000234CC"/>
    <w:rsid w:val="00023D7D"/>
    <w:rsid w:val="00033785"/>
    <w:rsid w:val="00035FC6"/>
    <w:rsid w:val="00036039"/>
    <w:rsid w:val="00036EA9"/>
    <w:rsid w:val="00037F90"/>
    <w:rsid w:val="0004116A"/>
    <w:rsid w:val="00045FDF"/>
    <w:rsid w:val="0005039E"/>
    <w:rsid w:val="0005193C"/>
    <w:rsid w:val="0005286F"/>
    <w:rsid w:val="00052AF4"/>
    <w:rsid w:val="0005382F"/>
    <w:rsid w:val="00056CBE"/>
    <w:rsid w:val="00060A4A"/>
    <w:rsid w:val="000633D4"/>
    <w:rsid w:val="00066FE2"/>
    <w:rsid w:val="000672EF"/>
    <w:rsid w:val="000715F4"/>
    <w:rsid w:val="00071644"/>
    <w:rsid w:val="000732F1"/>
    <w:rsid w:val="000802B1"/>
    <w:rsid w:val="000875BF"/>
    <w:rsid w:val="00090D25"/>
    <w:rsid w:val="0009420B"/>
    <w:rsid w:val="00096D8C"/>
    <w:rsid w:val="000A35AF"/>
    <w:rsid w:val="000A3D10"/>
    <w:rsid w:val="000A3EFD"/>
    <w:rsid w:val="000A5A80"/>
    <w:rsid w:val="000A5C6F"/>
    <w:rsid w:val="000A5F6A"/>
    <w:rsid w:val="000A6BDF"/>
    <w:rsid w:val="000B118F"/>
    <w:rsid w:val="000B2EB2"/>
    <w:rsid w:val="000B7D30"/>
    <w:rsid w:val="000C0B65"/>
    <w:rsid w:val="000C276A"/>
    <w:rsid w:val="000C3D6E"/>
    <w:rsid w:val="000C5A2B"/>
    <w:rsid w:val="000D12DC"/>
    <w:rsid w:val="000D2ABD"/>
    <w:rsid w:val="000D2CA1"/>
    <w:rsid w:val="000D520A"/>
    <w:rsid w:val="000D615D"/>
    <w:rsid w:val="000E05FE"/>
    <w:rsid w:val="000E3331"/>
    <w:rsid w:val="000E3524"/>
    <w:rsid w:val="000E3D42"/>
    <w:rsid w:val="000F43DE"/>
    <w:rsid w:val="000F4AE1"/>
    <w:rsid w:val="00100764"/>
    <w:rsid w:val="001012B9"/>
    <w:rsid w:val="001022A0"/>
    <w:rsid w:val="001032AA"/>
    <w:rsid w:val="00112B25"/>
    <w:rsid w:val="00115E8B"/>
    <w:rsid w:val="00120AF9"/>
    <w:rsid w:val="00122BD5"/>
    <w:rsid w:val="0012386D"/>
    <w:rsid w:val="0012710E"/>
    <w:rsid w:val="00133D7E"/>
    <w:rsid w:val="00133F79"/>
    <w:rsid w:val="00136208"/>
    <w:rsid w:val="00140495"/>
    <w:rsid w:val="00141FD9"/>
    <w:rsid w:val="0014612B"/>
    <w:rsid w:val="00151F66"/>
    <w:rsid w:val="00153608"/>
    <w:rsid w:val="00154C45"/>
    <w:rsid w:val="001644C9"/>
    <w:rsid w:val="00165718"/>
    <w:rsid w:val="00174DF1"/>
    <w:rsid w:val="00176048"/>
    <w:rsid w:val="0018022C"/>
    <w:rsid w:val="001821CC"/>
    <w:rsid w:val="001848F1"/>
    <w:rsid w:val="001936A0"/>
    <w:rsid w:val="00194A66"/>
    <w:rsid w:val="00196635"/>
    <w:rsid w:val="001A482B"/>
    <w:rsid w:val="001A65A4"/>
    <w:rsid w:val="001B09A7"/>
    <w:rsid w:val="001B2721"/>
    <w:rsid w:val="001B4406"/>
    <w:rsid w:val="001B4532"/>
    <w:rsid w:val="001B799C"/>
    <w:rsid w:val="001C1A0B"/>
    <w:rsid w:val="001C2548"/>
    <w:rsid w:val="001C6753"/>
    <w:rsid w:val="001D6BCF"/>
    <w:rsid w:val="001D7F6F"/>
    <w:rsid w:val="001E01CA"/>
    <w:rsid w:val="001E3473"/>
    <w:rsid w:val="001E35AA"/>
    <w:rsid w:val="001E73DC"/>
    <w:rsid w:val="001E7C2F"/>
    <w:rsid w:val="001F02A8"/>
    <w:rsid w:val="001F461C"/>
    <w:rsid w:val="001F6563"/>
    <w:rsid w:val="001F7389"/>
    <w:rsid w:val="00202B8C"/>
    <w:rsid w:val="00206E8C"/>
    <w:rsid w:val="00206E92"/>
    <w:rsid w:val="00207987"/>
    <w:rsid w:val="00211A2B"/>
    <w:rsid w:val="00215ACE"/>
    <w:rsid w:val="00220279"/>
    <w:rsid w:val="002202ED"/>
    <w:rsid w:val="0022054B"/>
    <w:rsid w:val="00221BBC"/>
    <w:rsid w:val="00226456"/>
    <w:rsid w:val="00226D9D"/>
    <w:rsid w:val="002271D7"/>
    <w:rsid w:val="00232370"/>
    <w:rsid w:val="00241E5C"/>
    <w:rsid w:val="00242400"/>
    <w:rsid w:val="0024291C"/>
    <w:rsid w:val="00242ECC"/>
    <w:rsid w:val="00245A40"/>
    <w:rsid w:val="002500FC"/>
    <w:rsid w:val="00251AB7"/>
    <w:rsid w:val="00251B29"/>
    <w:rsid w:val="00252AC0"/>
    <w:rsid w:val="00257369"/>
    <w:rsid w:val="00263E3D"/>
    <w:rsid w:val="0026678E"/>
    <w:rsid w:val="00266824"/>
    <w:rsid w:val="0027378D"/>
    <w:rsid w:val="0027404D"/>
    <w:rsid w:val="00275C98"/>
    <w:rsid w:val="00275CF5"/>
    <w:rsid w:val="00282C01"/>
    <w:rsid w:val="0028301F"/>
    <w:rsid w:val="00284441"/>
    <w:rsid w:val="00285017"/>
    <w:rsid w:val="0028752A"/>
    <w:rsid w:val="00296313"/>
    <w:rsid w:val="002A0FC3"/>
    <w:rsid w:val="002A1E3F"/>
    <w:rsid w:val="002A2D2E"/>
    <w:rsid w:val="002A7D20"/>
    <w:rsid w:val="002B3027"/>
    <w:rsid w:val="002B4704"/>
    <w:rsid w:val="002B632F"/>
    <w:rsid w:val="002B6BA4"/>
    <w:rsid w:val="002B71D8"/>
    <w:rsid w:val="002C00E8"/>
    <w:rsid w:val="002C28FA"/>
    <w:rsid w:val="002C474B"/>
    <w:rsid w:val="002E5692"/>
    <w:rsid w:val="002E5E93"/>
    <w:rsid w:val="002E7E0D"/>
    <w:rsid w:val="002EAE06"/>
    <w:rsid w:val="002F67EE"/>
    <w:rsid w:val="00300440"/>
    <w:rsid w:val="003064D6"/>
    <w:rsid w:val="00310156"/>
    <w:rsid w:val="00315F5A"/>
    <w:rsid w:val="00317BEA"/>
    <w:rsid w:val="003247B0"/>
    <w:rsid w:val="00324B43"/>
    <w:rsid w:val="00325E64"/>
    <w:rsid w:val="003261EE"/>
    <w:rsid w:val="00326A9A"/>
    <w:rsid w:val="003277FC"/>
    <w:rsid w:val="003314B5"/>
    <w:rsid w:val="003335BB"/>
    <w:rsid w:val="0033661A"/>
    <w:rsid w:val="00342189"/>
    <w:rsid w:val="00343749"/>
    <w:rsid w:val="00344DCB"/>
    <w:rsid w:val="003450D9"/>
    <w:rsid w:val="00346E5A"/>
    <w:rsid w:val="00354017"/>
    <w:rsid w:val="00354B8A"/>
    <w:rsid w:val="0035629D"/>
    <w:rsid w:val="0035752D"/>
    <w:rsid w:val="0036010E"/>
    <w:rsid w:val="003654CE"/>
    <w:rsid w:val="003660ED"/>
    <w:rsid w:val="0036651C"/>
    <w:rsid w:val="00367410"/>
    <w:rsid w:val="00373115"/>
    <w:rsid w:val="00375432"/>
    <w:rsid w:val="0038124C"/>
    <w:rsid w:val="0038314F"/>
    <w:rsid w:val="0038492E"/>
    <w:rsid w:val="003870A1"/>
    <w:rsid w:val="0038C907"/>
    <w:rsid w:val="003912CB"/>
    <w:rsid w:val="003926E7"/>
    <w:rsid w:val="003A0D35"/>
    <w:rsid w:val="003B0550"/>
    <w:rsid w:val="003B42AF"/>
    <w:rsid w:val="003B694F"/>
    <w:rsid w:val="003C086B"/>
    <w:rsid w:val="003C2B0A"/>
    <w:rsid w:val="003C5361"/>
    <w:rsid w:val="003D1A7B"/>
    <w:rsid w:val="003D2699"/>
    <w:rsid w:val="003D28EA"/>
    <w:rsid w:val="003D411D"/>
    <w:rsid w:val="003D43A7"/>
    <w:rsid w:val="003D58C4"/>
    <w:rsid w:val="003D5A18"/>
    <w:rsid w:val="003D6A7C"/>
    <w:rsid w:val="003D6A8E"/>
    <w:rsid w:val="003D6A90"/>
    <w:rsid w:val="003D6EC5"/>
    <w:rsid w:val="003E0EED"/>
    <w:rsid w:val="003F1061"/>
    <w:rsid w:val="003F171C"/>
    <w:rsid w:val="003F5CAD"/>
    <w:rsid w:val="003F61ED"/>
    <w:rsid w:val="00410BD6"/>
    <w:rsid w:val="00412CDD"/>
    <w:rsid w:val="00412FC5"/>
    <w:rsid w:val="004175D7"/>
    <w:rsid w:val="00420D8E"/>
    <w:rsid w:val="00422276"/>
    <w:rsid w:val="0042353B"/>
    <w:rsid w:val="004242F1"/>
    <w:rsid w:val="00424FAB"/>
    <w:rsid w:val="00432CFC"/>
    <w:rsid w:val="00433595"/>
    <w:rsid w:val="004350CD"/>
    <w:rsid w:val="00436FA8"/>
    <w:rsid w:val="004451B7"/>
    <w:rsid w:val="00445A00"/>
    <w:rsid w:val="0045059B"/>
    <w:rsid w:val="00450FC7"/>
    <w:rsid w:val="00451B0F"/>
    <w:rsid w:val="004543D0"/>
    <w:rsid w:val="00456D73"/>
    <w:rsid w:val="00485F19"/>
    <w:rsid w:val="004912BB"/>
    <w:rsid w:val="00492609"/>
    <w:rsid w:val="00493A74"/>
    <w:rsid w:val="00494D92"/>
    <w:rsid w:val="004954CF"/>
    <w:rsid w:val="004956C1"/>
    <w:rsid w:val="00495E55"/>
    <w:rsid w:val="00495EEA"/>
    <w:rsid w:val="00495F12"/>
    <w:rsid w:val="00497566"/>
    <w:rsid w:val="004A755B"/>
    <w:rsid w:val="004B1935"/>
    <w:rsid w:val="004B4B64"/>
    <w:rsid w:val="004B4C59"/>
    <w:rsid w:val="004C01E1"/>
    <w:rsid w:val="004C1665"/>
    <w:rsid w:val="004C2EE3"/>
    <w:rsid w:val="004C362E"/>
    <w:rsid w:val="004C64E2"/>
    <w:rsid w:val="004D0B2E"/>
    <w:rsid w:val="004D10A2"/>
    <w:rsid w:val="004D45F5"/>
    <w:rsid w:val="004D57F5"/>
    <w:rsid w:val="004D6527"/>
    <w:rsid w:val="004D713A"/>
    <w:rsid w:val="004D7D45"/>
    <w:rsid w:val="004E047E"/>
    <w:rsid w:val="004E0BFE"/>
    <w:rsid w:val="004E25D7"/>
    <w:rsid w:val="004E4A22"/>
    <w:rsid w:val="004E6BB0"/>
    <w:rsid w:val="004E6DE0"/>
    <w:rsid w:val="004F08BD"/>
    <w:rsid w:val="004F0F31"/>
    <w:rsid w:val="004F50AF"/>
    <w:rsid w:val="005000B4"/>
    <w:rsid w:val="0050619E"/>
    <w:rsid w:val="00506BA0"/>
    <w:rsid w:val="00511968"/>
    <w:rsid w:val="005166BB"/>
    <w:rsid w:val="00516D75"/>
    <w:rsid w:val="0052158D"/>
    <w:rsid w:val="00524F42"/>
    <w:rsid w:val="0053465A"/>
    <w:rsid w:val="00535A35"/>
    <w:rsid w:val="0053624C"/>
    <w:rsid w:val="00541F37"/>
    <w:rsid w:val="00543039"/>
    <w:rsid w:val="00552364"/>
    <w:rsid w:val="0055614C"/>
    <w:rsid w:val="00562BEC"/>
    <w:rsid w:val="005658B3"/>
    <w:rsid w:val="00566D06"/>
    <w:rsid w:val="00566FB6"/>
    <w:rsid w:val="0057141B"/>
    <w:rsid w:val="00573BBC"/>
    <w:rsid w:val="00575113"/>
    <w:rsid w:val="00575B39"/>
    <w:rsid w:val="0059009A"/>
    <w:rsid w:val="005918A1"/>
    <w:rsid w:val="005A58A6"/>
    <w:rsid w:val="005A6473"/>
    <w:rsid w:val="005A6B35"/>
    <w:rsid w:val="005A6F5D"/>
    <w:rsid w:val="005A8429"/>
    <w:rsid w:val="005B404E"/>
    <w:rsid w:val="005B565A"/>
    <w:rsid w:val="005C3285"/>
    <w:rsid w:val="005C3C6F"/>
    <w:rsid w:val="005C3D13"/>
    <w:rsid w:val="005C4C52"/>
    <w:rsid w:val="005D0397"/>
    <w:rsid w:val="005D2BCA"/>
    <w:rsid w:val="005E07A5"/>
    <w:rsid w:val="005E14C2"/>
    <w:rsid w:val="005E20AF"/>
    <w:rsid w:val="005E2655"/>
    <w:rsid w:val="005E3A8B"/>
    <w:rsid w:val="005F2D30"/>
    <w:rsid w:val="005F6E8F"/>
    <w:rsid w:val="005F766A"/>
    <w:rsid w:val="00600E1F"/>
    <w:rsid w:val="0060141A"/>
    <w:rsid w:val="00605BC0"/>
    <w:rsid w:val="00605DBF"/>
    <w:rsid w:val="006068FF"/>
    <w:rsid w:val="00606C0F"/>
    <w:rsid w:val="00607BA5"/>
    <w:rsid w:val="006113DA"/>
    <w:rsid w:val="0061180A"/>
    <w:rsid w:val="00612364"/>
    <w:rsid w:val="00620614"/>
    <w:rsid w:val="00624A26"/>
    <w:rsid w:val="006254FD"/>
    <w:rsid w:val="00626EB6"/>
    <w:rsid w:val="0063091D"/>
    <w:rsid w:val="00630E86"/>
    <w:rsid w:val="0063595B"/>
    <w:rsid w:val="006415C3"/>
    <w:rsid w:val="00641D9D"/>
    <w:rsid w:val="006425A0"/>
    <w:rsid w:val="00644904"/>
    <w:rsid w:val="00647A49"/>
    <w:rsid w:val="00653125"/>
    <w:rsid w:val="00655397"/>
    <w:rsid w:val="00655D03"/>
    <w:rsid w:val="006560B1"/>
    <w:rsid w:val="00664581"/>
    <w:rsid w:val="006658A8"/>
    <w:rsid w:val="00666532"/>
    <w:rsid w:val="0066677B"/>
    <w:rsid w:val="00673B2D"/>
    <w:rsid w:val="00673B65"/>
    <w:rsid w:val="00674F5E"/>
    <w:rsid w:val="00677073"/>
    <w:rsid w:val="00683388"/>
    <w:rsid w:val="00683F84"/>
    <w:rsid w:val="0068424E"/>
    <w:rsid w:val="00684B7D"/>
    <w:rsid w:val="00687E81"/>
    <w:rsid w:val="00694925"/>
    <w:rsid w:val="0069789F"/>
    <w:rsid w:val="00697F0F"/>
    <w:rsid w:val="006A207F"/>
    <w:rsid w:val="006A4879"/>
    <w:rsid w:val="006A6A81"/>
    <w:rsid w:val="006B0D45"/>
    <w:rsid w:val="006B5A9A"/>
    <w:rsid w:val="006B77EE"/>
    <w:rsid w:val="006C0E3F"/>
    <w:rsid w:val="006C1864"/>
    <w:rsid w:val="006C19BC"/>
    <w:rsid w:val="006C2597"/>
    <w:rsid w:val="006C5D31"/>
    <w:rsid w:val="006D5C03"/>
    <w:rsid w:val="006D7EA3"/>
    <w:rsid w:val="006E2ED4"/>
    <w:rsid w:val="006F121A"/>
    <w:rsid w:val="006F4549"/>
    <w:rsid w:val="006F6B04"/>
    <w:rsid w:val="006F7393"/>
    <w:rsid w:val="0070224F"/>
    <w:rsid w:val="00702383"/>
    <w:rsid w:val="00704434"/>
    <w:rsid w:val="00707C1C"/>
    <w:rsid w:val="00707D18"/>
    <w:rsid w:val="0071114E"/>
    <w:rsid w:val="007115F7"/>
    <w:rsid w:val="00711D48"/>
    <w:rsid w:val="00717363"/>
    <w:rsid w:val="007202A7"/>
    <w:rsid w:val="00720B21"/>
    <w:rsid w:val="00723166"/>
    <w:rsid w:val="00725F35"/>
    <w:rsid w:val="007303FB"/>
    <w:rsid w:val="00730A11"/>
    <w:rsid w:val="00731869"/>
    <w:rsid w:val="00731A49"/>
    <w:rsid w:val="00734E80"/>
    <w:rsid w:val="00735DED"/>
    <w:rsid w:val="00735E62"/>
    <w:rsid w:val="00736278"/>
    <w:rsid w:val="0074033D"/>
    <w:rsid w:val="007403F5"/>
    <w:rsid w:val="00741F95"/>
    <w:rsid w:val="00742482"/>
    <w:rsid w:val="00742D6E"/>
    <w:rsid w:val="00745ADF"/>
    <w:rsid w:val="00746006"/>
    <w:rsid w:val="00751040"/>
    <w:rsid w:val="007572B0"/>
    <w:rsid w:val="00761092"/>
    <w:rsid w:val="00765D6B"/>
    <w:rsid w:val="007709A4"/>
    <w:rsid w:val="0077315E"/>
    <w:rsid w:val="00785689"/>
    <w:rsid w:val="00793328"/>
    <w:rsid w:val="00794161"/>
    <w:rsid w:val="0079754B"/>
    <w:rsid w:val="007A1E6D"/>
    <w:rsid w:val="007A1FAD"/>
    <w:rsid w:val="007A5582"/>
    <w:rsid w:val="007B0EB2"/>
    <w:rsid w:val="007B21D2"/>
    <w:rsid w:val="007B6532"/>
    <w:rsid w:val="007C3F0F"/>
    <w:rsid w:val="007C671B"/>
    <w:rsid w:val="007C6FE9"/>
    <w:rsid w:val="007D07FD"/>
    <w:rsid w:val="007D0932"/>
    <w:rsid w:val="007D1E2A"/>
    <w:rsid w:val="007D595A"/>
    <w:rsid w:val="007D676B"/>
    <w:rsid w:val="007D7282"/>
    <w:rsid w:val="007E0EA1"/>
    <w:rsid w:val="007E5023"/>
    <w:rsid w:val="007F3E68"/>
    <w:rsid w:val="007F42AE"/>
    <w:rsid w:val="007F788F"/>
    <w:rsid w:val="00802248"/>
    <w:rsid w:val="0080450B"/>
    <w:rsid w:val="008056AE"/>
    <w:rsid w:val="00805C4F"/>
    <w:rsid w:val="00806C05"/>
    <w:rsid w:val="00810B6F"/>
    <w:rsid w:val="00811354"/>
    <w:rsid w:val="0081655C"/>
    <w:rsid w:val="00816BC7"/>
    <w:rsid w:val="00820014"/>
    <w:rsid w:val="00822619"/>
    <w:rsid w:val="00822CE0"/>
    <w:rsid w:val="00823A9F"/>
    <w:rsid w:val="00826C34"/>
    <w:rsid w:val="00830902"/>
    <w:rsid w:val="00832879"/>
    <w:rsid w:val="00834255"/>
    <w:rsid w:val="0084004D"/>
    <w:rsid w:val="00840AB9"/>
    <w:rsid w:val="00841AB1"/>
    <w:rsid w:val="0084247D"/>
    <w:rsid w:val="008479A9"/>
    <w:rsid w:val="00847EDE"/>
    <w:rsid w:val="00852720"/>
    <w:rsid w:val="0085544E"/>
    <w:rsid w:val="00862834"/>
    <w:rsid w:val="008669AA"/>
    <w:rsid w:val="00871A5D"/>
    <w:rsid w:val="00876083"/>
    <w:rsid w:val="008762FE"/>
    <w:rsid w:val="0088005E"/>
    <w:rsid w:val="008810B6"/>
    <w:rsid w:val="008916FD"/>
    <w:rsid w:val="0089455E"/>
    <w:rsid w:val="00894FED"/>
    <w:rsid w:val="00895839"/>
    <w:rsid w:val="00896406"/>
    <w:rsid w:val="008A25F9"/>
    <w:rsid w:val="008B102E"/>
    <w:rsid w:val="008B1FDD"/>
    <w:rsid w:val="008B2FC4"/>
    <w:rsid w:val="008B4347"/>
    <w:rsid w:val="008C68F1"/>
    <w:rsid w:val="008D234C"/>
    <w:rsid w:val="008D33CE"/>
    <w:rsid w:val="008F6991"/>
    <w:rsid w:val="008F72FA"/>
    <w:rsid w:val="008F7704"/>
    <w:rsid w:val="009019CD"/>
    <w:rsid w:val="00902E72"/>
    <w:rsid w:val="009129C2"/>
    <w:rsid w:val="009139D6"/>
    <w:rsid w:val="00917ADE"/>
    <w:rsid w:val="00917B30"/>
    <w:rsid w:val="00917F72"/>
    <w:rsid w:val="0091CF00"/>
    <w:rsid w:val="00921095"/>
    <w:rsid w:val="009211CE"/>
    <w:rsid w:val="00921803"/>
    <w:rsid w:val="00926503"/>
    <w:rsid w:val="00926989"/>
    <w:rsid w:val="0093269A"/>
    <w:rsid w:val="009338E5"/>
    <w:rsid w:val="009347B8"/>
    <w:rsid w:val="009377ED"/>
    <w:rsid w:val="0094215C"/>
    <w:rsid w:val="009475A7"/>
    <w:rsid w:val="00952831"/>
    <w:rsid w:val="00956BD2"/>
    <w:rsid w:val="00957F69"/>
    <w:rsid w:val="00960D96"/>
    <w:rsid w:val="00962095"/>
    <w:rsid w:val="009662EE"/>
    <w:rsid w:val="009717A7"/>
    <w:rsid w:val="009726D8"/>
    <w:rsid w:val="0097574A"/>
    <w:rsid w:val="00990E6F"/>
    <w:rsid w:val="00992DDD"/>
    <w:rsid w:val="0099327B"/>
    <w:rsid w:val="009A1BBC"/>
    <w:rsid w:val="009B12C3"/>
    <w:rsid w:val="009B13E4"/>
    <w:rsid w:val="009B3DFA"/>
    <w:rsid w:val="009B76B2"/>
    <w:rsid w:val="009C0DDF"/>
    <w:rsid w:val="009C0E80"/>
    <w:rsid w:val="009C4F55"/>
    <w:rsid w:val="009C4F90"/>
    <w:rsid w:val="009C5FED"/>
    <w:rsid w:val="009C7766"/>
    <w:rsid w:val="009D2A51"/>
    <w:rsid w:val="009D51E1"/>
    <w:rsid w:val="009D588E"/>
    <w:rsid w:val="009D6167"/>
    <w:rsid w:val="009D7308"/>
    <w:rsid w:val="009D7538"/>
    <w:rsid w:val="009D7B9B"/>
    <w:rsid w:val="009D7C78"/>
    <w:rsid w:val="009E001C"/>
    <w:rsid w:val="009E05DB"/>
    <w:rsid w:val="009E0B6C"/>
    <w:rsid w:val="009E0DF8"/>
    <w:rsid w:val="009E6386"/>
    <w:rsid w:val="009E705E"/>
    <w:rsid w:val="009E7963"/>
    <w:rsid w:val="009F1950"/>
    <w:rsid w:val="009F76DB"/>
    <w:rsid w:val="009F7D63"/>
    <w:rsid w:val="00A00577"/>
    <w:rsid w:val="00A01C8B"/>
    <w:rsid w:val="00A02EFC"/>
    <w:rsid w:val="00A06FAC"/>
    <w:rsid w:val="00A113D0"/>
    <w:rsid w:val="00A1730B"/>
    <w:rsid w:val="00A22FBE"/>
    <w:rsid w:val="00A26FD6"/>
    <w:rsid w:val="00A3028A"/>
    <w:rsid w:val="00A32C3B"/>
    <w:rsid w:val="00A3437D"/>
    <w:rsid w:val="00A34EE3"/>
    <w:rsid w:val="00A3734F"/>
    <w:rsid w:val="00A37BFF"/>
    <w:rsid w:val="00A37EFB"/>
    <w:rsid w:val="00A43F3A"/>
    <w:rsid w:val="00A45F4F"/>
    <w:rsid w:val="00A47B7E"/>
    <w:rsid w:val="00A47C53"/>
    <w:rsid w:val="00A5017D"/>
    <w:rsid w:val="00A53228"/>
    <w:rsid w:val="00A53ACF"/>
    <w:rsid w:val="00A54C61"/>
    <w:rsid w:val="00A55AD7"/>
    <w:rsid w:val="00A600A9"/>
    <w:rsid w:val="00A6029C"/>
    <w:rsid w:val="00A607CD"/>
    <w:rsid w:val="00A6157E"/>
    <w:rsid w:val="00A62F32"/>
    <w:rsid w:val="00A74654"/>
    <w:rsid w:val="00A80501"/>
    <w:rsid w:val="00A80D17"/>
    <w:rsid w:val="00A81746"/>
    <w:rsid w:val="00A83E2A"/>
    <w:rsid w:val="00AA212A"/>
    <w:rsid w:val="00AA2D45"/>
    <w:rsid w:val="00AA4785"/>
    <w:rsid w:val="00AA55B7"/>
    <w:rsid w:val="00AA57C3"/>
    <w:rsid w:val="00AA5B9E"/>
    <w:rsid w:val="00AA7626"/>
    <w:rsid w:val="00AA7B1A"/>
    <w:rsid w:val="00AB0FE5"/>
    <w:rsid w:val="00AB2407"/>
    <w:rsid w:val="00AB31AC"/>
    <w:rsid w:val="00AB53DF"/>
    <w:rsid w:val="00AB67BB"/>
    <w:rsid w:val="00AC465B"/>
    <w:rsid w:val="00AC6E23"/>
    <w:rsid w:val="00AD04C1"/>
    <w:rsid w:val="00AD5FAB"/>
    <w:rsid w:val="00AD785C"/>
    <w:rsid w:val="00AE1599"/>
    <w:rsid w:val="00AE241D"/>
    <w:rsid w:val="00AE3964"/>
    <w:rsid w:val="00AE4D56"/>
    <w:rsid w:val="00AE4D5C"/>
    <w:rsid w:val="00AE7568"/>
    <w:rsid w:val="00AE7617"/>
    <w:rsid w:val="00AF0BD1"/>
    <w:rsid w:val="00AF54A1"/>
    <w:rsid w:val="00B07E5C"/>
    <w:rsid w:val="00B12078"/>
    <w:rsid w:val="00B12501"/>
    <w:rsid w:val="00B1510B"/>
    <w:rsid w:val="00B169CF"/>
    <w:rsid w:val="00B31057"/>
    <w:rsid w:val="00B31EA8"/>
    <w:rsid w:val="00B33044"/>
    <w:rsid w:val="00B36CE6"/>
    <w:rsid w:val="00B46450"/>
    <w:rsid w:val="00B47ED5"/>
    <w:rsid w:val="00B53714"/>
    <w:rsid w:val="00B57C5E"/>
    <w:rsid w:val="00B7016E"/>
    <w:rsid w:val="00B721FC"/>
    <w:rsid w:val="00B7449F"/>
    <w:rsid w:val="00B76455"/>
    <w:rsid w:val="00B76D7D"/>
    <w:rsid w:val="00B811F7"/>
    <w:rsid w:val="00B823A7"/>
    <w:rsid w:val="00B82A14"/>
    <w:rsid w:val="00B837E3"/>
    <w:rsid w:val="00B86828"/>
    <w:rsid w:val="00B907B3"/>
    <w:rsid w:val="00B93913"/>
    <w:rsid w:val="00B961BC"/>
    <w:rsid w:val="00BA0D6F"/>
    <w:rsid w:val="00BA25DA"/>
    <w:rsid w:val="00BA50FB"/>
    <w:rsid w:val="00BA5504"/>
    <w:rsid w:val="00BA5DC6"/>
    <w:rsid w:val="00BA6196"/>
    <w:rsid w:val="00BA76F5"/>
    <w:rsid w:val="00BB2C5B"/>
    <w:rsid w:val="00BB3406"/>
    <w:rsid w:val="00BB4091"/>
    <w:rsid w:val="00BB524E"/>
    <w:rsid w:val="00BB6414"/>
    <w:rsid w:val="00BC61E6"/>
    <w:rsid w:val="00BC6D8C"/>
    <w:rsid w:val="00BC7009"/>
    <w:rsid w:val="00BD06E4"/>
    <w:rsid w:val="00BD6960"/>
    <w:rsid w:val="00BD6D9F"/>
    <w:rsid w:val="00BD6F4A"/>
    <w:rsid w:val="00BD7C4E"/>
    <w:rsid w:val="00BE196A"/>
    <w:rsid w:val="00BE203A"/>
    <w:rsid w:val="00BF39E7"/>
    <w:rsid w:val="00BF4A16"/>
    <w:rsid w:val="00BF5238"/>
    <w:rsid w:val="00C016AC"/>
    <w:rsid w:val="00C03AA5"/>
    <w:rsid w:val="00C03F4A"/>
    <w:rsid w:val="00C05341"/>
    <w:rsid w:val="00C077F5"/>
    <w:rsid w:val="00C10465"/>
    <w:rsid w:val="00C132BF"/>
    <w:rsid w:val="00C21956"/>
    <w:rsid w:val="00C22FE0"/>
    <w:rsid w:val="00C23514"/>
    <w:rsid w:val="00C23DE7"/>
    <w:rsid w:val="00C34006"/>
    <w:rsid w:val="00C36B4C"/>
    <w:rsid w:val="00C40EBC"/>
    <w:rsid w:val="00C4152E"/>
    <w:rsid w:val="00C416E1"/>
    <w:rsid w:val="00C426B1"/>
    <w:rsid w:val="00C47ED4"/>
    <w:rsid w:val="00C52F3B"/>
    <w:rsid w:val="00C540DE"/>
    <w:rsid w:val="00C5500E"/>
    <w:rsid w:val="00C55C84"/>
    <w:rsid w:val="00C56C26"/>
    <w:rsid w:val="00C57332"/>
    <w:rsid w:val="00C573FD"/>
    <w:rsid w:val="00C6060B"/>
    <w:rsid w:val="00C60C4D"/>
    <w:rsid w:val="00C61D0F"/>
    <w:rsid w:val="00C65849"/>
    <w:rsid w:val="00C66160"/>
    <w:rsid w:val="00C71DA5"/>
    <w:rsid w:val="00C721AC"/>
    <w:rsid w:val="00C73B6D"/>
    <w:rsid w:val="00C74346"/>
    <w:rsid w:val="00C75461"/>
    <w:rsid w:val="00C764DC"/>
    <w:rsid w:val="00C765BB"/>
    <w:rsid w:val="00C825FC"/>
    <w:rsid w:val="00C83130"/>
    <w:rsid w:val="00C85514"/>
    <w:rsid w:val="00C85CD6"/>
    <w:rsid w:val="00C87A85"/>
    <w:rsid w:val="00C90D6A"/>
    <w:rsid w:val="00C935B1"/>
    <w:rsid w:val="00C95792"/>
    <w:rsid w:val="00C96E1D"/>
    <w:rsid w:val="00C97785"/>
    <w:rsid w:val="00CA2407"/>
    <w:rsid w:val="00CA247E"/>
    <w:rsid w:val="00CA5B7F"/>
    <w:rsid w:val="00CA6D21"/>
    <w:rsid w:val="00CB4AE8"/>
    <w:rsid w:val="00CB4FD4"/>
    <w:rsid w:val="00CC1B0C"/>
    <w:rsid w:val="00CC72B6"/>
    <w:rsid w:val="00CD78F7"/>
    <w:rsid w:val="00CE028B"/>
    <w:rsid w:val="00CE0D3E"/>
    <w:rsid w:val="00CE0E3F"/>
    <w:rsid w:val="00CE4E60"/>
    <w:rsid w:val="00CF2A86"/>
    <w:rsid w:val="00CF397D"/>
    <w:rsid w:val="00CF77AC"/>
    <w:rsid w:val="00D002EC"/>
    <w:rsid w:val="00D0218D"/>
    <w:rsid w:val="00D022BA"/>
    <w:rsid w:val="00D0327F"/>
    <w:rsid w:val="00D049C7"/>
    <w:rsid w:val="00D105D8"/>
    <w:rsid w:val="00D10F87"/>
    <w:rsid w:val="00D118B3"/>
    <w:rsid w:val="00D12B52"/>
    <w:rsid w:val="00D13FC1"/>
    <w:rsid w:val="00D220BE"/>
    <w:rsid w:val="00D25FB5"/>
    <w:rsid w:val="00D2618F"/>
    <w:rsid w:val="00D40B49"/>
    <w:rsid w:val="00D40D32"/>
    <w:rsid w:val="00D44223"/>
    <w:rsid w:val="00D44C13"/>
    <w:rsid w:val="00D44CCB"/>
    <w:rsid w:val="00D45AAF"/>
    <w:rsid w:val="00D45F38"/>
    <w:rsid w:val="00D508C0"/>
    <w:rsid w:val="00D51E6E"/>
    <w:rsid w:val="00D520F2"/>
    <w:rsid w:val="00D579FC"/>
    <w:rsid w:val="00D6389D"/>
    <w:rsid w:val="00D7648D"/>
    <w:rsid w:val="00D767E3"/>
    <w:rsid w:val="00D8011A"/>
    <w:rsid w:val="00D84677"/>
    <w:rsid w:val="00D93CAA"/>
    <w:rsid w:val="00D963C5"/>
    <w:rsid w:val="00DA1163"/>
    <w:rsid w:val="00DA2529"/>
    <w:rsid w:val="00DB130A"/>
    <w:rsid w:val="00DB170B"/>
    <w:rsid w:val="00DB17AB"/>
    <w:rsid w:val="00DB1BBB"/>
    <w:rsid w:val="00DB2EBB"/>
    <w:rsid w:val="00DB3E78"/>
    <w:rsid w:val="00DB469F"/>
    <w:rsid w:val="00DB4B0B"/>
    <w:rsid w:val="00DB50C4"/>
    <w:rsid w:val="00DC10A1"/>
    <w:rsid w:val="00DC22C5"/>
    <w:rsid w:val="00DC655F"/>
    <w:rsid w:val="00DD0B59"/>
    <w:rsid w:val="00DD7EBD"/>
    <w:rsid w:val="00DE44C8"/>
    <w:rsid w:val="00DE5EDE"/>
    <w:rsid w:val="00DE6F7A"/>
    <w:rsid w:val="00DF2B9B"/>
    <w:rsid w:val="00DF30F9"/>
    <w:rsid w:val="00DF3682"/>
    <w:rsid w:val="00DF4AC0"/>
    <w:rsid w:val="00DF62B6"/>
    <w:rsid w:val="00DF6357"/>
    <w:rsid w:val="00E02DC1"/>
    <w:rsid w:val="00E02E50"/>
    <w:rsid w:val="00E043CE"/>
    <w:rsid w:val="00E0491A"/>
    <w:rsid w:val="00E05A8D"/>
    <w:rsid w:val="00E07225"/>
    <w:rsid w:val="00E072C3"/>
    <w:rsid w:val="00E07A12"/>
    <w:rsid w:val="00E129B6"/>
    <w:rsid w:val="00E140FD"/>
    <w:rsid w:val="00E143CF"/>
    <w:rsid w:val="00E160B0"/>
    <w:rsid w:val="00E1737D"/>
    <w:rsid w:val="00E176ED"/>
    <w:rsid w:val="00E20BE0"/>
    <w:rsid w:val="00E219E8"/>
    <w:rsid w:val="00E25A47"/>
    <w:rsid w:val="00E26E46"/>
    <w:rsid w:val="00E27AD6"/>
    <w:rsid w:val="00E307B1"/>
    <w:rsid w:val="00E3544F"/>
    <w:rsid w:val="00E35926"/>
    <w:rsid w:val="00E36961"/>
    <w:rsid w:val="00E463CE"/>
    <w:rsid w:val="00E46734"/>
    <w:rsid w:val="00E46ACE"/>
    <w:rsid w:val="00E47D13"/>
    <w:rsid w:val="00E502F3"/>
    <w:rsid w:val="00E508C4"/>
    <w:rsid w:val="00E5154B"/>
    <w:rsid w:val="00E515F0"/>
    <w:rsid w:val="00E53636"/>
    <w:rsid w:val="00E5409F"/>
    <w:rsid w:val="00E55F27"/>
    <w:rsid w:val="00E60801"/>
    <w:rsid w:val="00E6098F"/>
    <w:rsid w:val="00E62C2F"/>
    <w:rsid w:val="00E90069"/>
    <w:rsid w:val="00E911F7"/>
    <w:rsid w:val="00E9260B"/>
    <w:rsid w:val="00EA3295"/>
    <w:rsid w:val="00EA42A8"/>
    <w:rsid w:val="00EA52A3"/>
    <w:rsid w:val="00EB7511"/>
    <w:rsid w:val="00EC0938"/>
    <w:rsid w:val="00EC1A9D"/>
    <w:rsid w:val="00EC3578"/>
    <w:rsid w:val="00EC67DE"/>
    <w:rsid w:val="00EC68BD"/>
    <w:rsid w:val="00EC71F7"/>
    <w:rsid w:val="00ED2249"/>
    <w:rsid w:val="00ED263F"/>
    <w:rsid w:val="00EE09A9"/>
    <w:rsid w:val="00EE12BE"/>
    <w:rsid w:val="00EE6488"/>
    <w:rsid w:val="00EE7136"/>
    <w:rsid w:val="00EE7186"/>
    <w:rsid w:val="00EF3410"/>
    <w:rsid w:val="00EF3FE3"/>
    <w:rsid w:val="00EF459B"/>
    <w:rsid w:val="00EF7040"/>
    <w:rsid w:val="00F00BD7"/>
    <w:rsid w:val="00F021FA"/>
    <w:rsid w:val="00F03EC5"/>
    <w:rsid w:val="00F07D59"/>
    <w:rsid w:val="00F16ABD"/>
    <w:rsid w:val="00F20567"/>
    <w:rsid w:val="00F21C65"/>
    <w:rsid w:val="00F2351C"/>
    <w:rsid w:val="00F23B06"/>
    <w:rsid w:val="00F266DA"/>
    <w:rsid w:val="00F30E9F"/>
    <w:rsid w:val="00F31758"/>
    <w:rsid w:val="00F33220"/>
    <w:rsid w:val="00F339EE"/>
    <w:rsid w:val="00F3446A"/>
    <w:rsid w:val="00F3613F"/>
    <w:rsid w:val="00F40472"/>
    <w:rsid w:val="00F41697"/>
    <w:rsid w:val="00F425E9"/>
    <w:rsid w:val="00F44139"/>
    <w:rsid w:val="00F45D09"/>
    <w:rsid w:val="00F5262A"/>
    <w:rsid w:val="00F53829"/>
    <w:rsid w:val="00F54515"/>
    <w:rsid w:val="00F56437"/>
    <w:rsid w:val="00F61282"/>
    <w:rsid w:val="00F61E70"/>
    <w:rsid w:val="00F629DC"/>
    <w:rsid w:val="00F62E97"/>
    <w:rsid w:val="00F64209"/>
    <w:rsid w:val="00F669F2"/>
    <w:rsid w:val="00F670EC"/>
    <w:rsid w:val="00F73EFA"/>
    <w:rsid w:val="00F749FD"/>
    <w:rsid w:val="00F77108"/>
    <w:rsid w:val="00F778E8"/>
    <w:rsid w:val="00F80988"/>
    <w:rsid w:val="00F837A7"/>
    <w:rsid w:val="00F83B13"/>
    <w:rsid w:val="00F86A62"/>
    <w:rsid w:val="00F93BF5"/>
    <w:rsid w:val="00F95E82"/>
    <w:rsid w:val="00F975E8"/>
    <w:rsid w:val="00FA2B9A"/>
    <w:rsid w:val="00FB0E04"/>
    <w:rsid w:val="00FB1084"/>
    <w:rsid w:val="00FB3016"/>
    <w:rsid w:val="00FB592F"/>
    <w:rsid w:val="00FB765F"/>
    <w:rsid w:val="00FC1530"/>
    <w:rsid w:val="00FC1C69"/>
    <w:rsid w:val="00FC71B8"/>
    <w:rsid w:val="00FD0A7D"/>
    <w:rsid w:val="00FD0F7A"/>
    <w:rsid w:val="00FD4263"/>
    <w:rsid w:val="00FD624F"/>
    <w:rsid w:val="00FE20BA"/>
    <w:rsid w:val="00FE35E5"/>
    <w:rsid w:val="00FE3B78"/>
    <w:rsid w:val="00FE5078"/>
    <w:rsid w:val="00FE77E9"/>
    <w:rsid w:val="00FF6BAE"/>
    <w:rsid w:val="010446CC"/>
    <w:rsid w:val="0181705C"/>
    <w:rsid w:val="01BBE28B"/>
    <w:rsid w:val="01BCCA2D"/>
    <w:rsid w:val="01D73D58"/>
    <w:rsid w:val="01E1B61B"/>
    <w:rsid w:val="01F6894A"/>
    <w:rsid w:val="0267A8DA"/>
    <w:rsid w:val="028FD03E"/>
    <w:rsid w:val="02980AF3"/>
    <w:rsid w:val="029A2125"/>
    <w:rsid w:val="02A72BC4"/>
    <w:rsid w:val="02CCBD34"/>
    <w:rsid w:val="02D33958"/>
    <w:rsid w:val="02ED5238"/>
    <w:rsid w:val="0325C146"/>
    <w:rsid w:val="0327BDD6"/>
    <w:rsid w:val="0342D4F7"/>
    <w:rsid w:val="03545CD0"/>
    <w:rsid w:val="03AF6A0E"/>
    <w:rsid w:val="03C60197"/>
    <w:rsid w:val="04391603"/>
    <w:rsid w:val="04B1048C"/>
    <w:rsid w:val="04CE3ABB"/>
    <w:rsid w:val="04EE5C31"/>
    <w:rsid w:val="05592EB8"/>
    <w:rsid w:val="0639B1B0"/>
    <w:rsid w:val="0656E0B4"/>
    <w:rsid w:val="0737B348"/>
    <w:rsid w:val="0756450E"/>
    <w:rsid w:val="07C5918F"/>
    <w:rsid w:val="07D21F65"/>
    <w:rsid w:val="08B6BF28"/>
    <w:rsid w:val="093A667F"/>
    <w:rsid w:val="093F5415"/>
    <w:rsid w:val="095F8145"/>
    <w:rsid w:val="09B8D06A"/>
    <w:rsid w:val="09EB4CA9"/>
    <w:rsid w:val="0A5E26E4"/>
    <w:rsid w:val="0AF6D588"/>
    <w:rsid w:val="0B33273C"/>
    <w:rsid w:val="0B9710B1"/>
    <w:rsid w:val="0BA88044"/>
    <w:rsid w:val="0BC0BDDE"/>
    <w:rsid w:val="0C21FC99"/>
    <w:rsid w:val="0CC415F8"/>
    <w:rsid w:val="0D0BF87F"/>
    <w:rsid w:val="0D3E2613"/>
    <w:rsid w:val="0D4E4ADF"/>
    <w:rsid w:val="0DCA407A"/>
    <w:rsid w:val="0DFB37E2"/>
    <w:rsid w:val="0E1EB86A"/>
    <w:rsid w:val="0E259A64"/>
    <w:rsid w:val="0E63E03F"/>
    <w:rsid w:val="0E775C06"/>
    <w:rsid w:val="0EB3BB76"/>
    <w:rsid w:val="0F3F5D90"/>
    <w:rsid w:val="0F66741C"/>
    <w:rsid w:val="0F6B3801"/>
    <w:rsid w:val="0F6CC198"/>
    <w:rsid w:val="0F903ECE"/>
    <w:rsid w:val="0F9E8D96"/>
    <w:rsid w:val="0FD26947"/>
    <w:rsid w:val="104E1113"/>
    <w:rsid w:val="10AA1306"/>
    <w:rsid w:val="10AB12A5"/>
    <w:rsid w:val="110069EE"/>
    <w:rsid w:val="1118B84B"/>
    <w:rsid w:val="113FB002"/>
    <w:rsid w:val="1151600E"/>
    <w:rsid w:val="11C702D5"/>
    <w:rsid w:val="11CB7402"/>
    <w:rsid w:val="1221E30A"/>
    <w:rsid w:val="12408DA9"/>
    <w:rsid w:val="126E7B13"/>
    <w:rsid w:val="128D420E"/>
    <w:rsid w:val="12E24969"/>
    <w:rsid w:val="12F0D89A"/>
    <w:rsid w:val="12FB4418"/>
    <w:rsid w:val="133A1E81"/>
    <w:rsid w:val="145DAC15"/>
    <w:rsid w:val="14CCC18D"/>
    <w:rsid w:val="14CF383F"/>
    <w:rsid w:val="14E5F21C"/>
    <w:rsid w:val="15166BBE"/>
    <w:rsid w:val="152AE90B"/>
    <w:rsid w:val="1541A68D"/>
    <w:rsid w:val="15A53978"/>
    <w:rsid w:val="16317DC5"/>
    <w:rsid w:val="165D80F6"/>
    <w:rsid w:val="168FF9A1"/>
    <w:rsid w:val="16CFDF7F"/>
    <w:rsid w:val="16F3C4D0"/>
    <w:rsid w:val="174BBFE7"/>
    <w:rsid w:val="176A4B19"/>
    <w:rsid w:val="17A3EAEF"/>
    <w:rsid w:val="17DDD018"/>
    <w:rsid w:val="1857725A"/>
    <w:rsid w:val="185DC28E"/>
    <w:rsid w:val="186BE577"/>
    <w:rsid w:val="187166C4"/>
    <w:rsid w:val="18D33CDC"/>
    <w:rsid w:val="18E49E65"/>
    <w:rsid w:val="18FF1CF0"/>
    <w:rsid w:val="1926A474"/>
    <w:rsid w:val="19285224"/>
    <w:rsid w:val="198053FA"/>
    <w:rsid w:val="198685B0"/>
    <w:rsid w:val="19CF1A78"/>
    <w:rsid w:val="1A42D3ED"/>
    <w:rsid w:val="1A5CE081"/>
    <w:rsid w:val="1A7448C3"/>
    <w:rsid w:val="1A74F8E7"/>
    <w:rsid w:val="1B5B0F64"/>
    <w:rsid w:val="1B694B1C"/>
    <w:rsid w:val="1B78E959"/>
    <w:rsid w:val="1B88620F"/>
    <w:rsid w:val="1BB530F3"/>
    <w:rsid w:val="1BC8852B"/>
    <w:rsid w:val="1BCB5038"/>
    <w:rsid w:val="1C52120E"/>
    <w:rsid w:val="1C8A2EDC"/>
    <w:rsid w:val="1CCAEF08"/>
    <w:rsid w:val="1D352848"/>
    <w:rsid w:val="1D812FD7"/>
    <w:rsid w:val="1D8EE513"/>
    <w:rsid w:val="1DC0E4ED"/>
    <w:rsid w:val="1DF63F4A"/>
    <w:rsid w:val="1E01E99C"/>
    <w:rsid w:val="1E0EE966"/>
    <w:rsid w:val="1E30F465"/>
    <w:rsid w:val="1E48E42A"/>
    <w:rsid w:val="1E6EFAE8"/>
    <w:rsid w:val="1E7665F7"/>
    <w:rsid w:val="1F3C37DE"/>
    <w:rsid w:val="1F5D72CA"/>
    <w:rsid w:val="1F8387CC"/>
    <w:rsid w:val="1F8FA75E"/>
    <w:rsid w:val="208C858B"/>
    <w:rsid w:val="213D6DD1"/>
    <w:rsid w:val="2156ED7C"/>
    <w:rsid w:val="2177C380"/>
    <w:rsid w:val="21E5A62F"/>
    <w:rsid w:val="224B6CE1"/>
    <w:rsid w:val="229ECA8C"/>
    <w:rsid w:val="22ECBD7D"/>
    <w:rsid w:val="23969024"/>
    <w:rsid w:val="23B3ED86"/>
    <w:rsid w:val="2418379C"/>
    <w:rsid w:val="2458CA39"/>
    <w:rsid w:val="249BBA0B"/>
    <w:rsid w:val="24E5B2A2"/>
    <w:rsid w:val="256999E6"/>
    <w:rsid w:val="2592F24C"/>
    <w:rsid w:val="25D32E4F"/>
    <w:rsid w:val="26584C2D"/>
    <w:rsid w:val="2660A1B5"/>
    <w:rsid w:val="267BC98D"/>
    <w:rsid w:val="26A975B5"/>
    <w:rsid w:val="274E2580"/>
    <w:rsid w:val="27516BF5"/>
    <w:rsid w:val="275935D5"/>
    <w:rsid w:val="27BED7A9"/>
    <w:rsid w:val="27D7A292"/>
    <w:rsid w:val="283FC0C7"/>
    <w:rsid w:val="28771A00"/>
    <w:rsid w:val="28A36781"/>
    <w:rsid w:val="28A97222"/>
    <w:rsid w:val="295D623F"/>
    <w:rsid w:val="29E0FD69"/>
    <w:rsid w:val="2A3E393A"/>
    <w:rsid w:val="2AAAB917"/>
    <w:rsid w:val="2ACC4870"/>
    <w:rsid w:val="2B24356C"/>
    <w:rsid w:val="2B361BFB"/>
    <w:rsid w:val="2B3EEF0B"/>
    <w:rsid w:val="2B47B2CC"/>
    <w:rsid w:val="2B7082B7"/>
    <w:rsid w:val="2BCE0942"/>
    <w:rsid w:val="2C848FFB"/>
    <w:rsid w:val="2D0AE671"/>
    <w:rsid w:val="2E0AA63E"/>
    <w:rsid w:val="2EA42FC9"/>
    <w:rsid w:val="2EDA7C27"/>
    <w:rsid w:val="2EFC0609"/>
    <w:rsid w:val="2F2E1DA7"/>
    <w:rsid w:val="2F59FCDC"/>
    <w:rsid w:val="2F7412A0"/>
    <w:rsid w:val="2FA4A59F"/>
    <w:rsid w:val="2FAA5DA2"/>
    <w:rsid w:val="30904EEB"/>
    <w:rsid w:val="310D2A22"/>
    <w:rsid w:val="311FC323"/>
    <w:rsid w:val="3131C806"/>
    <w:rsid w:val="313A2E6D"/>
    <w:rsid w:val="314C9192"/>
    <w:rsid w:val="317AC17D"/>
    <w:rsid w:val="31930D13"/>
    <w:rsid w:val="31A5B979"/>
    <w:rsid w:val="32263082"/>
    <w:rsid w:val="32C99F31"/>
    <w:rsid w:val="331B866C"/>
    <w:rsid w:val="3368321D"/>
    <w:rsid w:val="3381A0BD"/>
    <w:rsid w:val="338C1301"/>
    <w:rsid w:val="33E4B0FC"/>
    <w:rsid w:val="33EECAF4"/>
    <w:rsid w:val="34158E08"/>
    <w:rsid w:val="3563C84E"/>
    <w:rsid w:val="35667BE5"/>
    <w:rsid w:val="356B01D2"/>
    <w:rsid w:val="357FCC99"/>
    <w:rsid w:val="36086330"/>
    <w:rsid w:val="370AD10B"/>
    <w:rsid w:val="37319EE9"/>
    <w:rsid w:val="37AC7691"/>
    <w:rsid w:val="37BBD316"/>
    <w:rsid w:val="37D0C436"/>
    <w:rsid w:val="37DFED4D"/>
    <w:rsid w:val="380147B5"/>
    <w:rsid w:val="380DF814"/>
    <w:rsid w:val="38488DE3"/>
    <w:rsid w:val="3916615F"/>
    <w:rsid w:val="3983D42A"/>
    <w:rsid w:val="399EEB51"/>
    <w:rsid w:val="39B5C037"/>
    <w:rsid w:val="39CE20D7"/>
    <w:rsid w:val="39F3BE7C"/>
    <w:rsid w:val="3A21F586"/>
    <w:rsid w:val="3A942309"/>
    <w:rsid w:val="3AC89753"/>
    <w:rsid w:val="3ACCBAE3"/>
    <w:rsid w:val="3AF03843"/>
    <w:rsid w:val="3B6D2E9D"/>
    <w:rsid w:val="3B9D14B6"/>
    <w:rsid w:val="3BD8F9A0"/>
    <w:rsid w:val="3BECCCF7"/>
    <w:rsid w:val="3C204520"/>
    <w:rsid w:val="3C5F7455"/>
    <w:rsid w:val="3CBC6ABD"/>
    <w:rsid w:val="3CDF79BA"/>
    <w:rsid w:val="3CE30D87"/>
    <w:rsid w:val="3CE7DE50"/>
    <w:rsid w:val="3D0791F5"/>
    <w:rsid w:val="3D2D12A2"/>
    <w:rsid w:val="3D687FA2"/>
    <w:rsid w:val="3DF067EF"/>
    <w:rsid w:val="3E742F9F"/>
    <w:rsid w:val="3E7EDDE8"/>
    <w:rsid w:val="3E983B3B"/>
    <w:rsid w:val="3F42D13B"/>
    <w:rsid w:val="3FA42815"/>
    <w:rsid w:val="3FE7814B"/>
    <w:rsid w:val="3FF3C947"/>
    <w:rsid w:val="3FFF0F50"/>
    <w:rsid w:val="40040BF4"/>
    <w:rsid w:val="401D9C87"/>
    <w:rsid w:val="40300D9E"/>
    <w:rsid w:val="40978F60"/>
    <w:rsid w:val="40FD0065"/>
    <w:rsid w:val="4108B239"/>
    <w:rsid w:val="41BFCDBF"/>
    <w:rsid w:val="41C584A3"/>
    <w:rsid w:val="41E782AC"/>
    <w:rsid w:val="422B366B"/>
    <w:rsid w:val="429334D8"/>
    <w:rsid w:val="4305A031"/>
    <w:rsid w:val="431A8301"/>
    <w:rsid w:val="4321BA53"/>
    <w:rsid w:val="4324BE20"/>
    <w:rsid w:val="43B23E35"/>
    <w:rsid w:val="43D0CACE"/>
    <w:rsid w:val="43F07987"/>
    <w:rsid w:val="4409202A"/>
    <w:rsid w:val="441BA527"/>
    <w:rsid w:val="441D9FAD"/>
    <w:rsid w:val="444043B8"/>
    <w:rsid w:val="447FD246"/>
    <w:rsid w:val="44B3234A"/>
    <w:rsid w:val="452300A5"/>
    <w:rsid w:val="45C0AFB2"/>
    <w:rsid w:val="45C5D49A"/>
    <w:rsid w:val="45F7E10F"/>
    <w:rsid w:val="46B675DD"/>
    <w:rsid w:val="470B95EF"/>
    <w:rsid w:val="47969288"/>
    <w:rsid w:val="47C3AEFC"/>
    <w:rsid w:val="48615B4B"/>
    <w:rsid w:val="496370FF"/>
    <w:rsid w:val="4965D994"/>
    <w:rsid w:val="497C13B9"/>
    <w:rsid w:val="4A26B550"/>
    <w:rsid w:val="4A5B9137"/>
    <w:rsid w:val="4AAD33FF"/>
    <w:rsid w:val="4AE878EB"/>
    <w:rsid w:val="4AE99C2D"/>
    <w:rsid w:val="4B117579"/>
    <w:rsid w:val="4B2B42E0"/>
    <w:rsid w:val="4BF6B2F0"/>
    <w:rsid w:val="4C616D0C"/>
    <w:rsid w:val="4C87D521"/>
    <w:rsid w:val="4C902096"/>
    <w:rsid w:val="4C95F272"/>
    <w:rsid w:val="4C9D3FBA"/>
    <w:rsid w:val="4CF3520D"/>
    <w:rsid w:val="4D375933"/>
    <w:rsid w:val="4D7B84A3"/>
    <w:rsid w:val="4D9AB3D9"/>
    <w:rsid w:val="4DD89308"/>
    <w:rsid w:val="4DFCA859"/>
    <w:rsid w:val="4E04BBA9"/>
    <w:rsid w:val="4E3470B5"/>
    <w:rsid w:val="4E96316B"/>
    <w:rsid w:val="4EA5F542"/>
    <w:rsid w:val="4F1F7FEE"/>
    <w:rsid w:val="4F359AE9"/>
    <w:rsid w:val="4F372B57"/>
    <w:rsid w:val="4FB30084"/>
    <w:rsid w:val="4FC9A1F6"/>
    <w:rsid w:val="4FE1BB09"/>
    <w:rsid w:val="50133A5F"/>
    <w:rsid w:val="5063D0A9"/>
    <w:rsid w:val="506D0F1C"/>
    <w:rsid w:val="507297E7"/>
    <w:rsid w:val="508407F9"/>
    <w:rsid w:val="50D76B33"/>
    <w:rsid w:val="50D8EA01"/>
    <w:rsid w:val="511291AA"/>
    <w:rsid w:val="513FB601"/>
    <w:rsid w:val="5161DBB1"/>
    <w:rsid w:val="51E474A3"/>
    <w:rsid w:val="51F4F150"/>
    <w:rsid w:val="520C6721"/>
    <w:rsid w:val="523B3CBF"/>
    <w:rsid w:val="52F8A388"/>
    <w:rsid w:val="52FB5BAC"/>
    <w:rsid w:val="535FBF15"/>
    <w:rsid w:val="53839439"/>
    <w:rsid w:val="539EA7DE"/>
    <w:rsid w:val="53AAA901"/>
    <w:rsid w:val="54496823"/>
    <w:rsid w:val="54F1D6DF"/>
    <w:rsid w:val="559D73F5"/>
    <w:rsid w:val="55ADB6DE"/>
    <w:rsid w:val="55ADE5FF"/>
    <w:rsid w:val="56133135"/>
    <w:rsid w:val="56DE1AE3"/>
    <w:rsid w:val="56F5F3A4"/>
    <w:rsid w:val="5704FF33"/>
    <w:rsid w:val="574822C9"/>
    <w:rsid w:val="574997CF"/>
    <w:rsid w:val="577D9C6B"/>
    <w:rsid w:val="57F07126"/>
    <w:rsid w:val="5875CC16"/>
    <w:rsid w:val="58945544"/>
    <w:rsid w:val="5976FE8E"/>
    <w:rsid w:val="5979DE3B"/>
    <w:rsid w:val="59E39227"/>
    <w:rsid w:val="5A08B3B5"/>
    <w:rsid w:val="5A4D40FB"/>
    <w:rsid w:val="5B0BAC95"/>
    <w:rsid w:val="5B1F673E"/>
    <w:rsid w:val="5B878E74"/>
    <w:rsid w:val="5C238077"/>
    <w:rsid w:val="5C420F51"/>
    <w:rsid w:val="5C9574E8"/>
    <w:rsid w:val="5CA05B96"/>
    <w:rsid w:val="5CD05CEA"/>
    <w:rsid w:val="5DEEC83F"/>
    <w:rsid w:val="5E37C182"/>
    <w:rsid w:val="5E54C341"/>
    <w:rsid w:val="5E653CDF"/>
    <w:rsid w:val="5EEF5FB6"/>
    <w:rsid w:val="5F2597D1"/>
    <w:rsid w:val="5F45F4EB"/>
    <w:rsid w:val="5F7F9AB8"/>
    <w:rsid w:val="5F8F4BC7"/>
    <w:rsid w:val="5F9927BC"/>
    <w:rsid w:val="607290DD"/>
    <w:rsid w:val="61062C50"/>
    <w:rsid w:val="614C5E2E"/>
    <w:rsid w:val="615FCE09"/>
    <w:rsid w:val="6165B3B5"/>
    <w:rsid w:val="6190E79F"/>
    <w:rsid w:val="61974985"/>
    <w:rsid w:val="61B4E1A6"/>
    <w:rsid w:val="61E17010"/>
    <w:rsid w:val="61ED438A"/>
    <w:rsid w:val="61F9D2CD"/>
    <w:rsid w:val="61FF3B72"/>
    <w:rsid w:val="62321DC3"/>
    <w:rsid w:val="62388E5E"/>
    <w:rsid w:val="63235B79"/>
    <w:rsid w:val="63EE3C0D"/>
    <w:rsid w:val="640D556D"/>
    <w:rsid w:val="64FD8D3F"/>
    <w:rsid w:val="6556DAB5"/>
    <w:rsid w:val="6569FBEE"/>
    <w:rsid w:val="65D97FCA"/>
    <w:rsid w:val="65E063EC"/>
    <w:rsid w:val="65FA508C"/>
    <w:rsid w:val="666EB185"/>
    <w:rsid w:val="6675E7C6"/>
    <w:rsid w:val="66F6E129"/>
    <w:rsid w:val="6725047D"/>
    <w:rsid w:val="67835316"/>
    <w:rsid w:val="6803F621"/>
    <w:rsid w:val="681790FE"/>
    <w:rsid w:val="68244C53"/>
    <w:rsid w:val="68EA50EF"/>
    <w:rsid w:val="69007990"/>
    <w:rsid w:val="6918AC14"/>
    <w:rsid w:val="692E5483"/>
    <w:rsid w:val="69851E83"/>
    <w:rsid w:val="69A32B19"/>
    <w:rsid w:val="69FEDEBD"/>
    <w:rsid w:val="6A396F49"/>
    <w:rsid w:val="6A84EE4E"/>
    <w:rsid w:val="6ACF2588"/>
    <w:rsid w:val="6B2DB60B"/>
    <w:rsid w:val="6B650BCC"/>
    <w:rsid w:val="6BDDC742"/>
    <w:rsid w:val="6C0491FB"/>
    <w:rsid w:val="6CB0B272"/>
    <w:rsid w:val="6D09FE26"/>
    <w:rsid w:val="6D66B1F7"/>
    <w:rsid w:val="6D79E0E8"/>
    <w:rsid w:val="6D942C9C"/>
    <w:rsid w:val="6E7D2801"/>
    <w:rsid w:val="6F696CB8"/>
    <w:rsid w:val="6FD646DA"/>
    <w:rsid w:val="701207F6"/>
    <w:rsid w:val="702E0F02"/>
    <w:rsid w:val="70346A88"/>
    <w:rsid w:val="70920578"/>
    <w:rsid w:val="70E3B85E"/>
    <w:rsid w:val="719EC085"/>
    <w:rsid w:val="71BB28C1"/>
    <w:rsid w:val="71E84772"/>
    <w:rsid w:val="725A03DD"/>
    <w:rsid w:val="7261CD1A"/>
    <w:rsid w:val="726E8079"/>
    <w:rsid w:val="728F80F5"/>
    <w:rsid w:val="72C32DD6"/>
    <w:rsid w:val="72DBEC40"/>
    <w:rsid w:val="72DDC38A"/>
    <w:rsid w:val="72F4C850"/>
    <w:rsid w:val="72FB53F6"/>
    <w:rsid w:val="7350FEC6"/>
    <w:rsid w:val="73709F3C"/>
    <w:rsid w:val="73C6D597"/>
    <w:rsid w:val="73D03672"/>
    <w:rsid w:val="743B60BA"/>
    <w:rsid w:val="746EFAC9"/>
    <w:rsid w:val="74DA59CD"/>
    <w:rsid w:val="74FEED94"/>
    <w:rsid w:val="753F968D"/>
    <w:rsid w:val="75564842"/>
    <w:rsid w:val="75A2E5A6"/>
    <w:rsid w:val="75AE5BB7"/>
    <w:rsid w:val="76762A2E"/>
    <w:rsid w:val="767E7E2E"/>
    <w:rsid w:val="76CA613A"/>
    <w:rsid w:val="76EFCC83"/>
    <w:rsid w:val="76FCBF08"/>
    <w:rsid w:val="77DD405F"/>
    <w:rsid w:val="77E69B6E"/>
    <w:rsid w:val="77EAFB02"/>
    <w:rsid w:val="78696793"/>
    <w:rsid w:val="789FA886"/>
    <w:rsid w:val="78AD7E18"/>
    <w:rsid w:val="78AE90DC"/>
    <w:rsid w:val="78C7B556"/>
    <w:rsid w:val="793818D4"/>
    <w:rsid w:val="793CD580"/>
    <w:rsid w:val="796D3B05"/>
    <w:rsid w:val="79826BCF"/>
    <w:rsid w:val="7991E107"/>
    <w:rsid w:val="79E2D040"/>
    <w:rsid w:val="79F57E9E"/>
    <w:rsid w:val="7A6ECEE5"/>
    <w:rsid w:val="7AF01A2F"/>
    <w:rsid w:val="7AF6CE22"/>
    <w:rsid w:val="7B1E3C30"/>
    <w:rsid w:val="7B6326B4"/>
    <w:rsid w:val="7B87E167"/>
    <w:rsid w:val="7BFF3930"/>
    <w:rsid w:val="7C083824"/>
    <w:rsid w:val="7C831137"/>
    <w:rsid w:val="7CA5686B"/>
    <w:rsid w:val="7D0B5232"/>
    <w:rsid w:val="7D755785"/>
    <w:rsid w:val="7DC53B3E"/>
    <w:rsid w:val="7E029964"/>
    <w:rsid w:val="7E0C41EC"/>
    <w:rsid w:val="7E3E79DB"/>
    <w:rsid w:val="7E5C88DB"/>
    <w:rsid w:val="7E931648"/>
    <w:rsid w:val="7EB67434"/>
    <w:rsid w:val="7EE2324D"/>
    <w:rsid w:val="7F17E6A3"/>
    <w:rsid w:val="7F378FFB"/>
    <w:rsid w:val="7F55B086"/>
    <w:rsid w:val="7F628AA7"/>
    <w:rsid w:val="7F7158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1BF511"/>
  <w15:chartTrackingRefBased/>
  <w15:docId w15:val="{2317B62C-8324-4C8C-83CF-4A2DBCAB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0D"/>
    <w:pPr>
      <w:widowControl w:val="0"/>
    </w:pPr>
    <w:rPr>
      <w:snapToGrid w:val="0"/>
      <w:kern w:val="28"/>
      <w:sz w:val="22"/>
    </w:rPr>
  </w:style>
  <w:style w:type="paragraph" w:styleId="Heading1">
    <w:name w:val="heading 1"/>
    <w:basedOn w:val="Normal"/>
    <w:next w:val="ParaNum"/>
    <w:qFormat/>
    <w:rsid w:val="002E7E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7E0D"/>
    <w:pPr>
      <w:keepNext/>
      <w:numPr>
        <w:ilvl w:val="1"/>
        <w:numId w:val="3"/>
      </w:numPr>
      <w:spacing w:after="120"/>
      <w:outlineLvl w:val="1"/>
    </w:pPr>
    <w:rPr>
      <w:b/>
    </w:rPr>
  </w:style>
  <w:style w:type="paragraph" w:styleId="Heading3">
    <w:name w:val="heading 3"/>
    <w:basedOn w:val="Normal"/>
    <w:next w:val="ParaNum"/>
    <w:qFormat/>
    <w:rsid w:val="002E7E0D"/>
    <w:pPr>
      <w:keepNext/>
      <w:numPr>
        <w:ilvl w:val="2"/>
        <w:numId w:val="3"/>
      </w:numPr>
      <w:tabs>
        <w:tab w:val="left" w:pos="2160"/>
      </w:tabs>
      <w:spacing w:after="120"/>
      <w:outlineLvl w:val="2"/>
    </w:pPr>
    <w:rPr>
      <w:b/>
    </w:rPr>
  </w:style>
  <w:style w:type="paragraph" w:styleId="Heading4">
    <w:name w:val="heading 4"/>
    <w:basedOn w:val="Normal"/>
    <w:next w:val="ParaNum"/>
    <w:qFormat/>
    <w:rsid w:val="002E7E0D"/>
    <w:pPr>
      <w:keepNext/>
      <w:numPr>
        <w:ilvl w:val="3"/>
        <w:numId w:val="3"/>
      </w:numPr>
      <w:tabs>
        <w:tab w:val="left" w:pos="2880"/>
      </w:tabs>
      <w:spacing w:after="120"/>
      <w:outlineLvl w:val="3"/>
    </w:pPr>
    <w:rPr>
      <w:b/>
    </w:rPr>
  </w:style>
  <w:style w:type="paragraph" w:styleId="Heading5">
    <w:name w:val="heading 5"/>
    <w:basedOn w:val="Normal"/>
    <w:next w:val="ParaNum"/>
    <w:qFormat/>
    <w:rsid w:val="002E7E0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E7E0D"/>
    <w:pPr>
      <w:numPr>
        <w:ilvl w:val="5"/>
        <w:numId w:val="3"/>
      </w:numPr>
      <w:tabs>
        <w:tab w:val="left" w:pos="4320"/>
      </w:tabs>
      <w:spacing w:after="120"/>
      <w:outlineLvl w:val="5"/>
    </w:pPr>
    <w:rPr>
      <w:b/>
    </w:rPr>
  </w:style>
  <w:style w:type="paragraph" w:styleId="Heading7">
    <w:name w:val="heading 7"/>
    <w:basedOn w:val="Normal"/>
    <w:next w:val="ParaNum"/>
    <w:qFormat/>
    <w:rsid w:val="002E7E0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7E0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E7E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7E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7E0D"/>
  </w:style>
  <w:style w:type="paragraph" w:customStyle="1" w:styleId="ParaNum">
    <w:name w:val="ParaNum"/>
    <w:basedOn w:val="Normal"/>
    <w:link w:val="ParaNumChar"/>
    <w:rsid w:val="002E7E0D"/>
    <w:pPr>
      <w:numPr>
        <w:numId w:val="2"/>
      </w:numPr>
      <w:tabs>
        <w:tab w:val="clear" w:pos="1080"/>
        <w:tab w:val="num" w:pos="1440"/>
      </w:tabs>
      <w:spacing w:after="120"/>
    </w:pPr>
  </w:style>
  <w:style w:type="paragraph" w:styleId="EndnoteText">
    <w:name w:val="endnote text"/>
    <w:basedOn w:val="Normal"/>
    <w:semiHidden/>
    <w:rsid w:val="002E7E0D"/>
    <w:rPr>
      <w:sz w:val="20"/>
    </w:rPr>
  </w:style>
  <w:style w:type="character" w:styleId="EndnoteReference">
    <w:name w:val="endnote reference"/>
    <w:semiHidden/>
    <w:rsid w:val="002E7E0D"/>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2E7E0D"/>
    <w:pPr>
      <w:spacing w:after="120"/>
    </w:pPr>
  </w:style>
  <w:style w:type="character" w:styleId="FootnoteReference">
    <w:name w:val="footnote reference"/>
    <w:aliases w:val="(NECG) Footnote Reference,Appel note de bas de p,FR,Footnote Reference/,Style 12,Style 124,Style 13,Style 17,Style 3,Style 6,Style 7,fr,o"/>
    <w:rsid w:val="002E7E0D"/>
    <w:rPr>
      <w:rFonts w:ascii="Times New Roman" w:hAnsi="Times New Roman"/>
      <w:dstrike w:val="0"/>
      <w:color w:val="auto"/>
      <w:sz w:val="20"/>
      <w:vertAlign w:val="superscript"/>
    </w:rPr>
  </w:style>
  <w:style w:type="paragraph" w:styleId="TOC1">
    <w:name w:val="toc 1"/>
    <w:basedOn w:val="Normal"/>
    <w:next w:val="Normal"/>
    <w:semiHidden/>
    <w:rsid w:val="002E7E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7E0D"/>
    <w:pPr>
      <w:tabs>
        <w:tab w:val="left" w:pos="720"/>
        <w:tab w:val="right" w:leader="dot" w:pos="9360"/>
      </w:tabs>
      <w:suppressAutoHyphens/>
      <w:ind w:left="720" w:right="720" w:hanging="360"/>
    </w:pPr>
    <w:rPr>
      <w:noProof/>
    </w:rPr>
  </w:style>
  <w:style w:type="paragraph" w:styleId="TOC3">
    <w:name w:val="toc 3"/>
    <w:basedOn w:val="Normal"/>
    <w:next w:val="Normal"/>
    <w:semiHidden/>
    <w:rsid w:val="002E7E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7E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7E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7E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7E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7E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7E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7E0D"/>
    <w:pPr>
      <w:tabs>
        <w:tab w:val="right" w:pos="9360"/>
      </w:tabs>
      <w:suppressAutoHyphens/>
    </w:pPr>
  </w:style>
  <w:style w:type="character" w:customStyle="1" w:styleId="EquationCaption">
    <w:name w:val="_Equation Caption"/>
    <w:rsid w:val="002E7E0D"/>
  </w:style>
  <w:style w:type="paragraph" w:styleId="Header">
    <w:name w:val="header"/>
    <w:basedOn w:val="Normal"/>
    <w:autoRedefine/>
    <w:rsid w:val="002E7E0D"/>
    <w:pPr>
      <w:tabs>
        <w:tab w:val="center" w:pos="4680"/>
        <w:tab w:val="right" w:pos="9360"/>
      </w:tabs>
    </w:pPr>
    <w:rPr>
      <w:b/>
    </w:rPr>
  </w:style>
  <w:style w:type="paragraph" w:styleId="Footer">
    <w:name w:val="footer"/>
    <w:basedOn w:val="Normal"/>
    <w:link w:val="FooterChar"/>
    <w:uiPriority w:val="99"/>
    <w:rsid w:val="002E7E0D"/>
    <w:pPr>
      <w:tabs>
        <w:tab w:val="center" w:pos="4320"/>
        <w:tab w:val="right" w:pos="8640"/>
      </w:tabs>
    </w:pPr>
  </w:style>
  <w:style w:type="character" w:styleId="PageNumber">
    <w:name w:val="page number"/>
    <w:basedOn w:val="DefaultParagraphFont"/>
    <w:rsid w:val="002E7E0D"/>
  </w:style>
  <w:style w:type="paragraph" w:styleId="BlockText">
    <w:name w:val="Block Text"/>
    <w:basedOn w:val="Normal"/>
    <w:rsid w:val="002E7E0D"/>
    <w:pPr>
      <w:spacing w:after="240"/>
      <w:ind w:left="1440" w:right="1440"/>
    </w:pPr>
  </w:style>
  <w:style w:type="paragraph" w:customStyle="1" w:styleId="Paratitle">
    <w:name w:val="Para title"/>
    <w:basedOn w:val="Normal"/>
    <w:rsid w:val="002E7E0D"/>
    <w:pPr>
      <w:tabs>
        <w:tab w:val="center" w:pos="9270"/>
      </w:tabs>
      <w:spacing w:after="240"/>
    </w:pPr>
    <w:rPr>
      <w:spacing w:val="-2"/>
    </w:rPr>
  </w:style>
  <w:style w:type="paragraph" w:customStyle="1" w:styleId="Bullet">
    <w:name w:val="Bullet"/>
    <w:basedOn w:val="Normal"/>
    <w:rsid w:val="002E7E0D"/>
    <w:pPr>
      <w:tabs>
        <w:tab w:val="left" w:pos="2160"/>
      </w:tabs>
      <w:spacing w:after="220"/>
      <w:ind w:left="2160" w:hanging="720"/>
    </w:pPr>
  </w:style>
  <w:style w:type="paragraph" w:customStyle="1" w:styleId="TableFormat">
    <w:name w:val="TableFormat"/>
    <w:basedOn w:val="Bullet"/>
    <w:rsid w:val="002E7E0D"/>
    <w:pPr>
      <w:tabs>
        <w:tab w:val="clear" w:pos="2160"/>
        <w:tab w:val="left" w:pos="5040"/>
      </w:tabs>
      <w:ind w:left="5040" w:hanging="3600"/>
    </w:pPr>
  </w:style>
  <w:style w:type="paragraph" w:customStyle="1" w:styleId="TOCTitle">
    <w:name w:val="TOC Title"/>
    <w:basedOn w:val="Normal"/>
    <w:rsid w:val="002E7E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7E0D"/>
    <w:pPr>
      <w:jc w:val="center"/>
    </w:pPr>
    <w:rPr>
      <w:rFonts w:ascii="Times New Roman Bold" w:hAnsi="Times New Roman Bold"/>
      <w:b/>
      <w:bCs/>
      <w:caps/>
      <w:szCs w:val="22"/>
    </w:rPr>
  </w:style>
  <w:style w:type="character" w:styleId="Hyperlink">
    <w:name w:val="Hyperlink"/>
    <w:rsid w:val="002E7E0D"/>
    <w:rPr>
      <w:color w:val="0000FF"/>
      <w:u w:val="single"/>
    </w:rPr>
  </w:style>
  <w:style w:type="character" w:customStyle="1" w:styleId="FooterChar">
    <w:name w:val="Footer Char"/>
    <w:link w:val="Footer"/>
    <w:uiPriority w:val="99"/>
    <w:rsid w:val="002E7E0D"/>
    <w:rPr>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locked/>
    <w:rsid w:val="000A5F6A"/>
  </w:style>
  <w:style w:type="character" w:customStyle="1" w:styleId="ParaNumChar">
    <w:name w:val="ParaNum Char"/>
    <w:link w:val="ParaNum"/>
    <w:locked/>
    <w:rsid w:val="000A5F6A"/>
    <w:rPr>
      <w:snapToGrid w:val="0"/>
      <w:kern w:val="28"/>
      <w:sz w:val="22"/>
    </w:rPr>
  </w:style>
  <w:style w:type="character" w:styleId="CommentReference">
    <w:name w:val="annotation reference"/>
    <w:rsid w:val="000A5F6A"/>
    <w:rPr>
      <w:sz w:val="16"/>
      <w:szCs w:val="16"/>
    </w:rPr>
  </w:style>
  <w:style w:type="paragraph" w:styleId="CommentText">
    <w:name w:val="annotation text"/>
    <w:basedOn w:val="Normal"/>
    <w:link w:val="CommentTextChar"/>
    <w:rsid w:val="000A5F6A"/>
    <w:rPr>
      <w:sz w:val="20"/>
    </w:rPr>
  </w:style>
  <w:style w:type="character" w:customStyle="1" w:styleId="CommentTextChar">
    <w:name w:val="Comment Text Char"/>
    <w:link w:val="CommentText"/>
    <w:rsid w:val="000A5F6A"/>
    <w:rPr>
      <w:snapToGrid w:val="0"/>
      <w:kern w:val="28"/>
    </w:rPr>
  </w:style>
  <w:style w:type="paragraph" w:styleId="CommentSubject">
    <w:name w:val="annotation subject"/>
    <w:basedOn w:val="CommentText"/>
    <w:next w:val="CommentText"/>
    <w:link w:val="CommentSubjectChar"/>
    <w:rsid w:val="000A5F6A"/>
    <w:rPr>
      <w:b/>
      <w:bCs/>
    </w:rPr>
  </w:style>
  <w:style w:type="character" w:customStyle="1" w:styleId="CommentSubjectChar">
    <w:name w:val="Comment Subject Char"/>
    <w:link w:val="CommentSubject"/>
    <w:rsid w:val="000A5F6A"/>
    <w:rPr>
      <w:b/>
      <w:bCs/>
      <w:snapToGrid w:val="0"/>
      <w:kern w:val="28"/>
    </w:rPr>
  </w:style>
  <w:style w:type="paragraph" w:styleId="BalloonText">
    <w:name w:val="Balloon Text"/>
    <w:basedOn w:val="Normal"/>
    <w:link w:val="BalloonTextChar"/>
    <w:rsid w:val="000A5F6A"/>
    <w:rPr>
      <w:rFonts w:ascii="Segoe UI" w:hAnsi="Segoe UI" w:cs="Segoe UI"/>
      <w:sz w:val="18"/>
      <w:szCs w:val="18"/>
    </w:rPr>
  </w:style>
  <w:style w:type="character" w:customStyle="1" w:styleId="BalloonTextChar">
    <w:name w:val="Balloon Text Char"/>
    <w:link w:val="BalloonText"/>
    <w:rsid w:val="000A5F6A"/>
    <w:rPr>
      <w:rFonts w:ascii="Segoe UI" w:hAnsi="Segoe UI" w:cs="Segoe UI"/>
      <w:snapToGrid w:val="0"/>
      <w:kern w:val="28"/>
      <w:sz w:val="18"/>
      <w:szCs w:val="18"/>
    </w:rPr>
  </w:style>
  <w:style w:type="character" w:customStyle="1" w:styleId="item-value">
    <w:name w:val="item-value"/>
    <w:rsid w:val="00E160B0"/>
  </w:style>
  <w:style w:type="paragraph" w:styleId="Revision">
    <w:name w:val="Revision"/>
    <w:hidden/>
    <w:uiPriority w:val="99"/>
    <w:semiHidden/>
    <w:rsid w:val="00FD4263"/>
    <w:rPr>
      <w:snapToGrid w:val="0"/>
      <w:kern w:val="28"/>
      <w:sz w:val="22"/>
    </w:rPr>
  </w:style>
  <w:style w:type="paragraph" w:styleId="NormalWeb">
    <w:name w:val="Normal (Web)"/>
    <w:basedOn w:val="Normal"/>
    <w:uiPriority w:val="99"/>
    <w:unhideWhenUsed/>
    <w:rsid w:val="00D579FC"/>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uiPriority w:val="99"/>
    <w:semiHidden/>
    <w:unhideWhenUsed/>
    <w:rsid w:val="0076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