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00000" w14:paraId="22EC6997" w14:textId="77777777">
      <w:pPr>
        <w:jc w:val="right"/>
        <w:rPr>
          <w:sz w:val="24"/>
        </w:rPr>
      </w:pPr>
    </w:p>
    <w:p w:rsidR="00000000" w14:paraId="04450421" w14:textId="0EEC4470">
      <w:pPr>
        <w:jc w:val="right"/>
        <w:rPr>
          <w:b/>
          <w:sz w:val="24"/>
        </w:rPr>
      </w:pPr>
      <w:r>
        <w:rPr>
          <w:b/>
          <w:sz w:val="24"/>
        </w:rPr>
        <w:t>DA 21-1247</w:t>
      </w:r>
    </w:p>
    <w:p w:rsidR="00000000" w14:paraId="66BC150B" w14:textId="22399891">
      <w:pPr>
        <w:spacing w:before="60"/>
        <w:jc w:val="right"/>
        <w:rPr>
          <w:b/>
          <w:sz w:val="24"/>
        </w:rPr>
      </w:pPr>
      <w:r>
        <w:rPr>
          <w:b/>
          <w:sz w:val="24"/>
        </w:rPr>
        <w:t xml:space="preserve">Released:  </w:t>
      </w:r>
      <w:r w:rsidR="003E0570">
        <w:rPr>
          <w:b/>
          <w:sz w:val="24"/>
        </w:rPr>
        <w:t>October 4, 2021</w:t>
      </w:r>
    </w:p>
    <w:p w:rsidR="00000000" w14:paraId="58802388" w14:textId="77777777">
      <w:pPr>
        <w:jc w:val="right"/>
        <w:rPr>
          <w:sz w:val="24"/>
        </w:rPr>
      </w:pPr>
    </w:p>
    <w:p w:rsidR="00000000" w:rsidRPr="003E0570" w:rsidP="003E0570" w14:paraId="1A3D36F7" w14:textId="72501A2D">
      <w:pPr>
        <w:spacing w:after="240"/>
        <w:jc w:val="center"/>
        <w:rPr>
          <w:rFonts w:ascii="Times New Roman Bold" w:hAnsi="Times New Roman Bold"/>
          <w:b/>
          <w:caps/>
          <w:sz w:val="24"/>
        </w:rPr>
      </w:pPr>
      <w:bookmarkStart w:id="0" w:name="_Hlk84238920"/>
      <w:r w:rsidRPr="003E0570">
        <w:rPr>
          <w:rFonts w:ascii="Times New Roman Bold" w:hAnsi="Times New Roman Bold"/>
          <w:b/>
          <w:caps/>
          <w:sz w:val="24"/>
        </w:rPr>
        <w:t>COMMENTS INVITED ON SECTION 214 APPLICATION OF EMBARQ FLORIDA, INC. D/B/A CENTURYLINK TO DISCONTINUE LEGACY VOICE SERVICE AS PART OF A TECHNOLOGY TRANSITION</w:t>
      </w:r>
      <w:bookmarkEnd w:id="0"/>
    </w:p>
    <w:p w:rsidR="00000000" w14:paraId="39725715" w14:textId="4FF801BF">
      <w:pPr>
        <w:jc w:val="center"/>
        <w:rPr>
          <w:b/>
          <w:sz w:val="24"/>
        </w:rPr>
      </w:pPr>
      <w:bookmarkStart w:id="1" w:name="_Hlk84239275"/>
      <w:r w:rsidRPr="003E0570">
        <w:rPr>
          <w:b/>
          <w:sz w:val="24"/>
        </w:rPr>
        <w:t>WC Docket No. 21-298</w:t>
      </w:r>
    </w:p>
    <w:bookmarkEnd w:id="1"/>
    <w:p w:rsidR="003E0570" w14:paraId="7867D3AD" w14:textId="5A2FBA69">
      <w:pPr>
        <w:jc w:val="center"/>
        <w:rPr>
          <w:b/>
          <w:sz w:val="24"/>
        </w:rPr>
      </w:pPr>
      <w:r w:rsidRPr="003E0570">
        <w:rPr>
          <w:b/>
          <w:sz w:val="24"/>
        </w:rPr>
        <w:t>Comp. Pol. File No. 1710</w:t>
      </w:r>
    </w:p>
    <w:p w:rsidR="00000000" w14:paraId="728380B1" w14:textId="77777777">
      <w:bookmarkStart w:id="2" w:name="TOChere"/>
    </w:p>
    <w:p w:rsidR="003E0570" w:rsidP="003E0570" w14:paraId="63B338E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rPr>
          <w:b/>
          <w:kern w:val="0"/>
          <w:szCs w:val="22"/>
        </w:rPr>
      </w:pPr>
      <w:bookmarkStart w:id="3" w:name="_Hlk84231822"/>
      <w:r w:rsidRPr="00B25DD6">
        <w:rPr>
          <w:b/>
          <w:kern w:val="0"/>
          <w:szCs w:val="22"/>
        </w:rPr>
        <w:t xml:space="preserve">Comments Due:  </w:t>
      </w:r>
      <w:r>
        <w:rPr>
          <w:b/>
          <w:kern w:val="0"/>
          <w:szCs w:val="22"/>
        </w:rPr>
        <w:t>November 3</w:t>
      </w:r>
      <w:r w:rsidRPr="00B25DD6">
        <w:rPr>
          <w:b/>
          <w:kern w:val="0"/>
          <w:szCs w:val="22"/>
        </w:rPr>
        <w:t>, 2021</w:t>
      </w:r>
      <w:bookmarkEnd w:id="3"/>
    </w:p>
    <w:p w:rsidR="00000000" w:rsidP="003E0570" w14:paraId="511D22DB" w14:textId="6D9B3D60">
      <w:r>
        <w:rPr>
          <w:b/>
          <w:kern w:val="0"/>
          <w:szCs w:val="22"/>
        </w:rPr>
        <w:t>Replies Due:  November 18, 2021</w:t>
      </w:r>
    </w:p>
    <w:bookmarkEnd w:id="2"/>
    <w:p w:rsidR="003E0570" w14:paraId="65CEF9EE" w14:textId="4D41518B"/>
    <w:p w:rsidR="003E0570" w:rsidP="003E0570" w14:paraId="758B907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ind w:firstLine="720"/>
        <w:rPr>
          <w:spacing w:val="-3"/>
          <w:szCs w:val="22"/>
        </w:rPr>
      </w:pPr>
      <w:r>
        <w:rPr>
          <w:spacing w:val="-3"/>
          <w:szCs w:val="22"/>
        </w:rPr>
        <w:t xml:space="preserve">On July 14, 2021, </w:t>
      </w:r>
      <w:r w:rsidRPr="007E1045">
        <w:rPr>
          <w:spacing w:val="-3"/>
          <w:szCs w:val="22"/>
        </w:rPr>
        <w:t>Embarq Florida, Inc. d/b/a CenturyLink, a Lumen company (CenturyLink</w:t>
      </w:r>
      <w:r>
        <w:rPr>
          <w:spacing w:val="-3"/>
          <w:szCs w:val="22"/>
        </w:rPr>
        <w:t xml:space="preserve"> or Applicant</w:t>
      </w:r>
      <w:r w:rsidRPr="007E1045">
        <w:rPr>
          <w:spacing w:val="-3"/>
          <w:szCs w:val="22"/>
        </w:rPr>
        <w:t>)</w:t>
      </w:r>
      <w:r>
        <w:rPr>
          <w:spacing w:val="-3"/>
          <w:szCs w:val="22"/>
        </w:rPr>
        <w:t>,</w:t>
      </w:r>
      <w:r w:rsidRPr="007E1045">
        <w:rPr>
          <w:spacing w:val="-3"/>
          <w:szCs w:val="22"/>
        </w:rPr>
        <w:t xml:space="preserve"> filed an application with the Federal Communications Commission (FCC or Commission)</w:t>
      </w:r>
      <w:r w:rsidRPr="000B013D">
        <w:rPr>
          <w:spacing w:val="-3"/>
          <w:szCs w:val="22"/>
        </w:rPr>
        <w:t xml:space="preserve"> request</w:t>
      </w:r>
      <w:r>
        <w:rPr>
          <w:spacing w:val="-3"/>
          <w:szCs w:val="22"/>
        </w:rPr>
        <w:t>ing</w:t>
      </w:r>
      <w:r w:rsidRPr="000B013D">
        <w:rPr>
          <w:spacing w:val="-3"/>
          <w:szCs w:val="22"/>
        </w:rPr>
        <w:t xml:space="preserve"> authority</w:t>
      </w:r>
      <w:r w:rsidRPr="000B013D">
        <w:rPr>
          <w:rFonts w:eastAsia="MS Mincho"/>
          <w:szCs w:val="22"/>
        </w:rPr>
        <w:t>, under section 214 of the Communications Act of 1934, as amended,</w:t>
      </w:r>
      <w:r>
        <w:rPr>
          <w:rStyle w:val="FootnoteReference"/>
          <w:rFonts w:eastAsia="MS Mincho"/>
          <w:szCs w:val="22"/>
        </w:rPr>
        <w:footnoteReference w:id="3"/>
      </w:r>
      <w:r w:rsidRPr="000B013D">
        <w:rPr>
          <w:rFonts w:eastAsia="MS Mincho"/>
          <w:szCs w:val="22"/>
        </w:rPr>
        <w:t xml:space="preserve"> and section 63.71 of the Commission’s rules,</w:t>
      </w:r>
      <w:r>
        <w:rPr>
          <w:rStyle w:val="FootnoteReference"/>
          <w:rFonts w:eastAsia="MS Mincho"/>
          <w:szCs w:val="22"/>
        </w:rPr>
        <w:footnoteReference w:id="4"/>
      </w:r>
      <w:r w:rsidRPr="000B013D">
        <w:rPr>
          <w:rFonts w:eastAsia="MS Mincho"/>
          <w:szCs w:val="22"/>
        </w:rPr>
        <w:t xml:space="preserve"> to discontinue </w:t>
      </w:r>
      <w:r>
        <w:rPr>
          <w:rFonts w:eastAsia="MS Mincho"/>
          <w:szCs w:val="22"/>
        </w:rPr>
        <w:t>legacy voice service (Affected Service) to 26 customers on Little Gasparilla Island, Florida (Affected Service Area) that would result in a technology transition.</w:t>
      </w:r>
      <w:r>
        <w:rPr>
          <w:rStyle w:val="FootnoteReference"/>
          <w:spacing w:val="-3"/>
          <w:szCs w:val="22"/>
        </w:rPr>
        <w:footnoteReference w:id="5"/>
      </w:r>
      <w:r w:rsidRPr="00946191">
        <w:rPr>
          <w:spacing w:val="-3"/>
          <w:szCs w:val="22"/>
        </w:rPr>
        <w:t xml:space="preserve"> </w:t>
      </w:r>
      <w:r>
        <w:rPr>
          <w:spacing w:val="-3"/>
          <w:szCs w:val="22"/>
        </w:rPr>
        <w:t xml:space="preserve"> </w:t>
      </w:r>
      <w:r w:rsidRPr="007E1045">
        <w:rPr>
          <w:spacing w:val="-3"/>
          <w:szCs w:val="22"/>
        </w:rPr>
        <w:t xml:space="preserve">The Wireline Competition Bureau (Bureau), upon initial review, has found </w:t>
      </w:r>
      <w:r>
        <w:rPr>
          <w:spacing w:val="-3"/>
          <w:szCs w:val="22"/>
        </w:rPr>
        <w:t xml:space="preserve">CenturyLink’s </w:t>
      </w:r>
      <w:r w:rsidRPr="007E1045">
        <w:rPr>
          <w:spacing w:val="-3"/>
          <w:szCs w:val="22"/>
        </w:rPr>
        <w:t>Application to be acceptable for filing</w:t>
      </w:r>
      <w:r>
        <w:rPr>
          <w:spacing w:val="-3"/>
          <w:szCs w:val="22"/>
        </w:rPr>
        <w:t xml:space="preserve">.  </w:t>
      </w:r>
    </w:p>
    <w:p w:rsidR="003E0570" w:rsidRPr="005B2AFD" w:rsidP="003E0570" w14:paraId="06319DA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ind w:firstLine="720"/>
        <w:rPr>
          <w:spacing w:val="-3"/>
          <w:szCs w:val="22"/>
        </w:rPr>
      </w:pPr>
      <w:r w:rsidRPr="007A0A24">
        <w:rPr>
          <w:spacing w:val="-3"/>
          <w:szCs w:val="22"/>
        </w:rPr>
        <w:t xml:space="preserve">CenturyLink’s </w:t>
      </w:r>
      <w:r>
        <w:rPr>
          <w:spacing w:val="-3"/>
          <w:szCs w:val="22"/>
        </w:rPr>
        <w:t>A</w:t>
      </w:r>
      <w:r w:rsidRPr="007A0A24">
        <w:rPr>
          <w:spacing w:val="-3"/>
          <w:szCs w:val="22"/>
        </w:rPr>
        <w:t xml:space="preserve">pplication is not, however, eligible for </w:t>
      </w:r>
      <w:r>
        <w:rPr>
          <w:spacing w:val="-3"/>
          <w:szCs w:val="22"/>
        </w:rPr>
        <w:t xml:space="preserve">an automatic grant of authority pursuant to </w:t>
      </w:r>
      <w:r w:rsidRPr="007A0A24">
        <w:rPr>
          <w:spacing w:val="-3"/>
          <w:szCs w:val="22"/>
        </w:rPr>
        <w:t xml:space="preserve">streamlined treatment </w:t>
      </w:r>
      <w:r>
        <w:rPr>
          <w:spacing w:val="-3"/>
          <w:szCs w:val="22"/>
        </w:rPr>
        <w:t xml:space="preserve">under section </w:t>
      </w:r>
      <w:r w:rsidRPr="005B2AFD">
        <w:rPr>
          <w:rFonts w:eastAsia="MS Mincho"/>
          <w:szCs w:val="22"/>
        </w:rPr>
        <w:t>63</w:t>
      </w:r>
      <w:r>
        <w:rPr>
          <w:spacing w:val="-3"/>
          <w:szCs w:val="22"/>
        </w:rPr>
        <w:t>.71, generally, or section 63.71(f)(2)(</w:t>
      </w:r>
      <w:r>
        <w:rPr>
          <w:spacing w:val="-3"/>
          <w:szCs w:val="22"/>
        </w:rPr>
        <w:t>i</w:t>
      </w:r>
      <w:r>
        <w:rPr>
          <w:spacing w:val="-3"/>
          <w:szCs w:val="22"/>
        </w:rPr>
        <w:t>) of the Commission’s rules</w:t>
      </w:r>
      <w:r>
        <w:rPr>
          <w:rStyle w:val="FootnoteReference"/>
          <w:spacing w:val="-3"/>
          <w:szCs w:val="22"/>
        </w:rPr>
        <w:footnoteReference w:id="6"/>
      </w:r>
      <w:r>
        <w:rPr>
          <w:spacing w:val="-3"/>
          <w:szCs w:val="22"/>
        </w:rPr>
        <w:t xml:space="preserve"> on </w:t>
      </w:r>
      <w:r>
        <w:rPr>
          <w:spacing w:val="-3"/>
          <w:szCs w:val="22"/>
        </w:rPr>
        <w:t>which the Application relies.</w:t>
      </w:r>
      <w:r>
        <w:rPr>
          <w:rStyle w:val="FootnoteReference"/>
          <w:spacing w:val="-3"/>
          <w:szCs w:val="22"/>
        </w:rPr>
        <w:footnoteReference w:id="7"/>
      </w:r>
      <w:r>
        <w:rPr>
          <w:spacing w:val="-3"/>
          <w:szCs w:val="22"/>
        </w:rPr>
        <w:t xml:space="preserve">  CenturyLink’s application does not make the </w:t>
      </w:r>
      <w:r w:rsidRPr="00D01F0B">
        <w:rPr>
          <w:i/>
          <w:iCs/>
          <w:spacing w:val="-3"/>
          <w:szCs w:val="22"/>
        </w:rPr>
        <w:t>prima facie</w:t>
      </w:r>
      <w:r>
        <w:rPr>
          <w:spacing w:val="-3"/>
          <w:szCs w:val="22"/>
        </w:rPr>
        <w:t xml:space="preserve"> showing necessary for an applicant relying on the service of a third-party provider for the replacement service.</w:t>
      </w:r>
      <w:r>
        <w:rPr>
          <w:rStyle w:val="FootnoteReference"/>
          <w:spacing w:val="-3"/>
          <w:szCs w:val="22"/>
        </w:rPr>
        <w:footnoteReference w:id="8"/>
      </w:r>
      <w:r>
        <w:rPr>
          <w:spacing w:val="-3"/>
          <w:szCs w:val="22"/>
        </w:rPr>
        <w:t xml:space="preserve">  CenturyLink relies on the availability of mobile wireless services offered by </w:t>
      </w:r>
      <w:r w:rsidRPr="00247BC6">
        <w:rPr>
          <w:spacing w:val="-3"/>
          <w:szCs w:val="22"/>
        </w:rPr>
        <w:t xml:space="preserve">AT&amp;T, T-Mobile, and Verizon </w:t>
      </w:r>
      <w:r>
        <w:rPr>
          <w:spacing w:val="-3"/>
          <w:szCs w:val="22"/>
        </w:rPr>
        <w:t xml:space="preserve">in the Affected Service Area for its </w:t>
      </w:r>
      <w:r w:rsidRPr="00DF1638">
        <w:rPr>
          <w:i/>
          <w:iCs/>
          <w:spacing w:val="-3"/>
          <w:szCs w:val="22"/>
        </w:rPr>
        <w:t>prima facie</w:t>
      </w:r>
      <w:r>
        <w:rPr>
          <w:spacing w:val="-3"/>
          <w:szCs w:val="22"/>
        </w:rPr>
        <w:t xml:space="preserve"> showing of adequate replacements for CenturyLink’s legacy voice service pursuant to section 63.602(b) of the Commission’s rules.</w:t>
      </w:r>
      <w:r>
        <w:rPr>
          <w:rStyle w:val="FootnoteReference"/>
          <w:spacing w:val="-3"/>
          <w:szCs w:val="22"/>
        </w:rPr>
        <w:footnoteReference w:id="9"/>
      </w:r>
      <w:r w:rsidRPr="00924321">
        <w:t xml:space="preserve"> </w:t>
      </w:r>
      <w:r>
        <w:t xml:space="preserve"> Because this is the first instance of a third-party mobile wireless voice service serving as the replacement service for legacy voice service in a technology transition discontinuance application, in the absence of a prior first party showing that one or more of these mobile wireless services satisfies the adequate replacement test, a </w:t>
      </w:r>
      <w:r w:rsidRPr="00DF1638">
        <w:rPr>
          <w:i/>
          <w:iCs/>
        </w:rPr>
        <w:t>prima facie</w:t>
      </w:r>
      <w:r>
        <w:t xml:space="preserve"> showing is difficult to make.  </w:t>
      </w:r>
      <w:r>
        <w:rPr>
          <w:spacing w:val="-3"/>
          <w:szCs w:val="22"/>
        </w:rPr>
        <w:t xml:space="preserve">We, therefore, process this Application on a non-streamlined basis to consider, under the specific factual circumstances in the Affected Service Area, </w:t>
      </w:r>
      <w:r w:rsidRPr="00EA65EA">
        <w:rPr>
          <w:szCs w:val="22"/>
        </w:rPr>
        <w:t xml:space="preserve">whether </w:t>
      </w:r>
      <w:r>
        <w:rPr>
          <w:szCs w:val="22"/>
        </w:rPr>
        <w:t xml:space="preserve">CenturyLink’s </w:t>
      </w:r>
      <w:r w:rsidRPr="00EA65EA">
        <w:rPr>
          <w:szCs w:val="22"/>
        </w:rPr>
        <w:t xml:space="preserve">proposed discontinuance </w:t>
      </w:r>
      <w:r>
        <w:rPr>
          <w:szCs w:val="22"/>
        </w:rPr>
        <w:t xml:space="preserve">of legacy voice service in the Affected Service Area </w:t>
      </w:r>
      <w:r w:rsidRPr="00EA65EA">
        <w:rPr>
          <w:szCs w:val="22"/>
        </w:rPr>
        <w:t>is in the public interest</w:t>
      </w:r>
      <w:r>
        <w:rPr>
          <w:szCs w:val="22"/>
        </w:rPr>
        <w:t>.</w:t>
      </w:r>
      <w:r>
        <w:rPr>
          <w:rStyle w:val="FootnoteReference"/>
          <w:szCs w:val="22"/>
        </w:rPr>
        <w:footnoteReference w:id="10"/>
      </w:r>
      <w:r>
        <w:rPr>
          <w:szCs w:val="22"/>
        </w:rPr>
        <w:t xml:space="preserve">  </w:t>
      </w:r>
    </w:p>
    <w:p w:rsidR="003E0570" w:rsidP="003E0570" w14:paraId="387A4F69" w14:textId="4B0CC02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ind w:firstLine="720"/>
        <w:rPr>
          <w:szCs w:val="22"/>
        </w:rPr>
      </w:pPr>
      <w:r>
        <w:rPr>
          <w:szCs w:val="22"/>
        </w:rPr>
        <w:t>Accordingly, w</w:t>
      </w:r>
      <w:r w:rsidRPr="00343CA9">
        <w:rPr>
          <w:szCs w:val="22"/>
        </w:rPr>
        <w:t xml:space="preserve">e seek comment on </w:t>
      </w:r>
      <w:r w:rsidRPr="00EA65EA">
        <w:rPr>
          <w:szCs w:val="22"/>
        </w:rPr>
        <w:t xml:space="preserve">CenturyLink’s </w:t>
      </w:r>
      <w:r>
        <w:rPr>
          <w:szCs w:val="22"/>
        </w:rPr>
        <w:t xml:space="preserve">discontinuance application to more fully inform the Commission’s determination of </w:t>
      </w:r>
      <w:r>
        <w:rPr>
          <w:spacing w:val="-3"/>
          <w:szCs w:val="22"/>
        </w:rPr>
        <w:t>whether the Application satisfies the Commission’s traditional five factor test.</w:t>
      </w:r>
      <w:r>
        <w:rPr>
          <w:rStyle w:val="FootnoteReference"/>
          <w:spacing w:val="-3"/>
          <w:szCs w:val="22"/>
        </w:rPr>
        <w:footnoteReference w:id="11"/>
      </w:r>
      <w:r>
        <w:rPr>
          <w:rFonts w:eastAsia="MS Mincho"/>
          <w:szCs w:val="22"/>
        </w:rPr>
        <w:t xml:space="preserve">  </w:t>
      </w:r>
      <w:r>
        <w:rPr>
          <w:szCs w:val="22"/>
        </w:rPr>
        <w:t xml:space="preserve">We specifically seek comment on whether the third-party mobile wireless services offered by </w:t>
      </w:r>
      <w:r w:rsidRPr="00C732B8">
        <w:rPr>
          <w:szCs w:val="22"/>
        </w:rPr>
        <w:t xml:space="preserve">AT&amp;T, T-Mobile, </w:t>
      </w:r>
      <w:r>
        <w:rPr>
          <w:szCs w:val="22"/>
        </w:rPr>
        <w:t>or</w:t>
      </w:r>
      <w:r w:rsidRPr="00C732B8">
        <w:rPr>
          <w:szCs w:val="22"/>
        </w:rPr>
        <w:t xml:space="preserve"> Verizon </w:t>
      </w:r>
      <w:r w:rsidRPr="005B2AFD">
        <w:rPr>
          <w:spacing w:val="-3"/>
          <w:szCs w:val="22"/>
        </w:rPr>
        <w:t>or</w:t>
      </w:r>
      <w:r>
        <w:rPr>
          <w:szCs w:val="22"/>
        </w:rPr>
        <w:t xml:space="preserve"> any other voice services that may be available </w:t>
      </w:r>
      <w:r w:rsidRPr="00C732B8">
        <w:rPr>
          <w:szCs w:val="22"/>
        </w:rPr>
        <w:t xml:space="preserve">in the Affected Service Area </w:t>
      </w:r>
      <w:r>
        <w:rPr>
          <w:szCs w:val="22"/>
        </w:rPr>
        <w:t>are</w:t>
      </w:r>
      <w:r w:rsidRPr="00C732B8">
        <w:rPr>
          <w:szCs w:val="22"/>
        </w:rPr>
        <w:t xml:space="preserve"> adequate replacement</w:t>
      </w:r>
      <w:r>
        <w:rPr>
          <w:szCs w:val="22"/>
        </w:rPr>
        <w:t>s</w:t>
      </w:r>
      <w:r w:rsidRPr="00C732B8">
        <w:rPr>
          <w:szCs w:val="22"/>
        </w:rPr>
        <w:t xml:space="preserve"> for CenturyLink’s legacy voice service</w:t>
      </w:r>
      <w:r>
        <w:rPr>
          <w:szCs w:val="22"/>
        </w:rPr>
        <w:t>.  We encourage comment on the totality of the circumstances as explained in the Application, and on any other relevant factors the  Bureau should consider in balancing the interests of the Applicant and the affected community under the five-factor test.</w:t>
      </w:r>
    </w:p>
    <w:p w:rsidR="003E0570" w:rsidRPr="007D2E3D" w:rsidP="003E0570" w14:paraId="47454204" w14:textId="02FD50A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ind w:firstLine="720"/>
        <w:rPr>
          <w:szCs w:val="22"/>
        </w:rPr>
      </w:pPr>
      <w:r w:rsidRPr="007D2E3D">
        <w:rPr>
          <w:szCs w:val="22"/>
        </w:rPr>
        <w:t xml:space="preserve">Comments </w:t>
      </w:r>
      <w:r>
        <w:rPr>
          <w:szCs w:val="22"/>
        </w:rPr>
        <w:t>in response to or opposition to CenturyLink’s application</w:t>
      </w:r>
      <w:r w:rsidRPr="007D2E3D">
        <w:rPr>
          <w:szCs w:val="22"/>
        </w:rPr>
        <w:t xml:space="preserve"> must be filed with the Commission </w:t>
      </w:r>
      <w:r>
        <w:rPr>
          <w:szCs w:val="22"/>
        </w:rPr>
        <w:t xml:space="preserve">within 30 days, </w:t>
      </w:r>
      <w:r w:rsidRPr="007D2E3D">
        <w:rPr>
          <w:szCs w:val="22"/>
        </w:rPr>
        <w:t xml:space="preserve">on or before </w:t>
      </w:r>
      <w:r>
        <w:rPr>
          <w:b/>
          <w:bCs/>
          <w:szCs w:val="22"/>
        </w:rPr>
        <w:t>November 3</w:t>
      </w:r>
      <w:r w:rsidRPr="007D2E3D">
        <w:rPr>
          <w:b/>
          <w:bCs/>
          <w:szCs w:val="22"/>
        </w:rPr>
        <w:t>, 202</w:t>
      </w:r>
      <w:r>
        <w:rPr>
          <w:b/>
          <w:bCs/>
          <w:szCs w:val="22"/>
        </w:rPr>
        <w:t>1</w:t>
      </w:r>
      <w:r w:rsidRPr="007D2E3D">
        <w:rPr>
          <w:szCs w:val="22"/>
        </w:rPr>
        <w:t xml:space="preserve">.  </w:t>
      </w:r>
      <w:r>
        <w:rPr>
          <w:szCs w:val="22"/>
        </w:rPr>
        <w:t xml:space="preserve">Replies must be filed within 15 days of that date, on or before </w:t>
      </w:r>
      <w:r w:rsidRPr="00DF1638">
        <w:rPr>
          <w:b/>
          <w:bCs/>
          <w:szCs w:val="22"/>
        </w:rPr>
        <w:t xml:space="preserve">November </w:t>
      </w:r>
      <w:r>
        <w:rPr>
          <w:b/>
          <w:bCs/>
          <w:szCs w:val="22"/>
        </w:rPr>
        <w:t>18</w:t>
      </w:r>
      <w:r w:rsidRPr="00DF1638">
        <w:rPr>
          <w:b/>
          <w:bCs/>
          <w:szCs w:val="22"/>
        </w:rPr>
        <w:t>, 2021</w:t>
      </w:r>
      <w:r>
        <w:rPr>
          <w:szCs w:val="22"/>
        </w:rPr>
        <w:t xml:space="preserve">.  </w:t>
      </w:r>
      <w:r w:rsidRPr="007D2E3D">
        <w:rPr>
          <w:szCs w:val="22"/>
        </w:rPr>
        <w:t xml:space="preserve">Comments </w:t>
      </w:r>
      <w:r>
        <w:rPr>
          <w:szCs w:val="22"/>
        </w:rPr>
        <w:t xml:space="preserve">and replies </w:t>
      </w:r>
      <w:r w:rsidRPr="007D2E3D">
        <w:rPr>
          <w:szCs w:val="22"/>
        </w:rPr>
        <w:t xml:space="preserve">should refer to </w:t>
      </w:r>
      <w:r w:rsidRPr="00343CA9">
        <w:rPr>
          <w:b/>
          <w:bCs/>
          <w:szCs w:val="22"/>
        </w:rPr>
        <w:t>WC Docket No. 21-298</w:t>
      </w:r>
      <w:r w:rsidRPr="007D2E3D">
        <w:rPr>
          <w:szCs w:val="22"/>
        </w:rPr>
        <w:t xml:space="preserve"> and </w:t>
      </w:r>
      <w:r w:rsidRPr="00343CA9">
        <w:rPr>
          <w:b/>
          <w:bCs/>
          <w:szCs w:val="22"/>
        </w:rPr>
        <w:t>Comp. Pol. File No. 1710</w:t>
      </w:r>
      <w:r>
        <w:rPr>
          <w:szCs w:val="22"/>
        </w:rPr>
        <w:t>.</w:t>
      </w:r>
      <w:r w:rsidRPr="007D2E3D">
        <w:rPr>
          <w:szCs w:val="22"/>
        </w:rPr>
        <w:t xml:space="preserve">  Comments </w:t>
      </w:r>
      <w:r>
        <w:rPr>
          <w:szCs w:val="22"/>
        </w:rPr>
        <w:t xml:space="preserve">and replies </w:t>
      </w:r>
      <w:r w:rsidRPr="007D2E3D">
        <w:rPr>
          <w:szCs w:val="22"/>
        </w:rPr>
        <w:t xml:space="preserve">may be filed using the Commission’s </w:t>
      </w:r>
      <w:r w:rsidRPr="007D2E3D">
        <w:rPr>
          <w:szCs w:val="22"/>
        </w:rPr>
        <w:t>Electronic Comment Filing System (ECFS) or by filing paper copies.</w:t>
      </w:r>
      <w:r>
        <w:rPr>
          <w:rStyle w:val="FootnoteReference"/>
          <w:szCs w:val="22"/>
        </w:rPr>
        <w:footnoteReference w:id="12"/>
      </w:r>
      <w:r w:rsidRPr="007D2E3D">
        <w:rPr>
          <w:szCs w:val="22"/>
        </w:rPr>
        <w:t xml:space="preserve">  Comments </w:t>
      </w:r>
      <w:r>
        <w:rPr>
          <w:szCs w:val="22"/>
        </w:rPr>
        <w:t xml:space="preserve">and replies </w:t>
      </w:r>
      <w:r w:rsidRPr="007D2E3D">
        <w:rPr>
          <w:szCs w:val="22"/>
        </w:rPr>
        <w:t xml:space="preserve">may be filed electronically using the Internet by accessing the ECFS:  </w:t>
      </w:r>
      <w:hyperlink r:id="rId5" w:history="1">
        <w:r w:rsidRPr="00E26AAC" w:rsidR="0086129A">
          <w:rPr>
            <w:rStyle w:val="Hyperlink"/>
          </w:rPr>
          <w:t>https://www.fcc.gov/ecfs/</w:t>
        </w:r>
      </w:hyperlink>
      <w:r w:rsidRPr="007D2E3D">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p>
    <w:p w:rsidR="003E0570" w:rsidRPr="007D2E3D" w:rsidP="003E0570" w14:paraId="4702693F" w14:textId="4333B68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ind w:firstLine="720"/>
        <w:rPr>
          <w:szCs w:val="22"/>
        </w:rPr>
      </w:pPr>
      <w:r w:rsidRPr="007D2E3D">
        <w:rPr>
          <w:szCs w:val="22"/>
        </w:rPr>
        <w:t>Parties who choose to file by paper must file an original and one copy of each filing.  Filings can be sent by commercial overnight courier or by first-class or overnight U.S. Postal Service mail.</w:t>
      </w:r>
      <w:r>
        <w:rPr>
          <w:rStyle w:val="FootnoteReference"/>
          <w:szCs w:val="22"/>
        </w:rPr>
        <w:footnoteReference w:id="13"/>
      </w:r>
      <w:r w:rsidRPr="007D2E3D">
        <w:rPr>
          <w:szCs w:val="22"/>
        </w:rPr>
        <w:t xml:space="preserve">  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w:t>
      </w:r>
      <w:r>
        <w:rPr>
          <w:szCs w:val="22"/>
        </w:rPr>
        <w:t xml:space="preserve">45 L Street, NE, </w:t>
      </w:r>
      <w:r w:rsidRPr="007D2E3D">
        <w:rPr>
          <w:szCs w:val="22"/>
        </w:rPr>
        <w:t>Washington, D.C. 20554.</w:t>
      </w:r>
    </w:p>
    <w:p w:rsidR="003E0570" w:rsidP="003E0570" w14:paraId="428C6EE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ind w:firstLine="720"/>
        <w:rPr>
          <w:szCs w:val="22"/>
        </w:rPr>
      </w:pPr>
      <w:r w:rsidRPr="007D2E3D">
        <w:rPr>
          <w:szCs w:val="22"/>
        </w:rPr>
        <w:t>Copies of the comments may also be emailed to</w:t>
      </w:r>
      <w:r w:rsidRPr="00BC018D">
        <w:t xml:space="preserve"> </w:t>
      </w:r>
      <w:r>
        <w:rPr>
          <w:szCs w:val="22"/>
        </w:rPr>
        <w:t>Michele Berlove</w:t>
      </w:r>
      <w:r w:rsidRPr="007D2E3D">
        <w:rPr>
          <w:szCs w:val="22"/>
        </w:rPr>
        <w:t xml:space="preserve"> </w:t>
      </w:r>
      <w:r>
        <w:rPr>
          <w:szCs w:val="22"/>
        </w:rPr>
        <w:t>of the</w:t>
      </w:r>
      <w:r w:rsidRPr="00BC018D">
        <w:rPr>
          <w:szCs w:val="22"/>
        </w:rPr>
        <w:t xml:space="preserve"> Competition Policy Division, Wireline Competition Bureau, Federal Communications Commission</w:t>
      </w:r>
      <w:r>
        <w:rPr>
          <w:szCs w:val="22"/>
        </w:rPr>
        <w:t xml:space="preserve"> at </w:t>
      </w:r>
      <w:hyperlink r:id="rId6" w:history="1">
        <w:r w:rsidRPr="00CB5ACB">
          <w:rPr>
            <w:rStyle w:val="Hyperlink"/>
            <w:szCs w:val="22"/>
          </w:rPr>
          <w:t>Michele.Berlove@fcc.gov</w:t>
        </w:r>
      </w:hyperlink>
      <w:r>
        <w:rPr>
          <w:szCs w:val="22"/>
        </w:rPr>
        <w:t xml:space="preserve">.  </w:t>
      </w:r>
      <w:r w:rsidRPr="007D2E3D">
        <w:rPr>
          <w:szCs w:val="22"/>
        </w:rPr>
        <w:t xml:space="preserve">In addition, comments should be served upon </w:t>
      </w:r>
      <w:r>
        <w:rPr>
          <w:szCs w:val="22"/>
        </w:rPr>
        <w:t>CenturyLink</w:t>
      </w:r>
      <w:r w:rsidRPr="007D2E3D">
        <w:rPr>
          <w:szCs w:val="22"/>
        </w:rPr>
        <w:t>.</w:t>
      </w:r>
    </w:p>
    <w:p w:rsidR="003E0570" w:rsidP="003E0570" w14:paraId="208765A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ind w:firstLine="720"/>
      </w:pPr>
      <w:r>
        <w:rPr>
          <w:szCs w:val="22"/>
        </w:rPr>
        <w:t xml:space="preserve">This proceeding is considered a “permit but disclose” proceeding for purposes of the Commission’s ex </w:t>
      </w:r>
      <w:r>
        <w:rPr>
          <w:szCs w:val="22"/>
        </w:rPr>
        <w:t>parte</w:t>
      </w:r>
      <w:r>
        <w:rPr>
          <w:szCs w:val="22"/>
        </w:rPr>
        <w:t xml:space="preserve"> rules.</w:t>
      </w:r>
      <w:r>
        <w:rPr>
          <w:rStyle w:val="FootnoteReference"/>
          <w:szCs w:val="22"/>
        </w:rPr>
        <w:footnoteReference w:id="14"/>
      </w:r>
      <w:r>
        <w:rPr>
          <w:szCs w:val="22"/>
        </w:rPr>
        <w:t xml:space="preserve">  Participants should familiarize themselves with the Commission’s </w:t>
      </w:r>
      <w:r w:rsidRPr="00C91996">
        <w:rPr>
          <w:i/>
          <w:szCs w:val="22"/>
        </w:rPr>
        <w:t xml:space="preserve">ex </w:t>
      </w:r>
      <w:r w:rsidRPr="00C91996">
        <w:rPr>
          <w:i/>
          <w:szCs w:val="22"/>
        </w:rPr>
        <w:t>parte</w:t>
      </w:r>
      <w:r>
        <w:rPr>
          <w:szCs w:val="22"/>
        </w:rPr>
        <w:t xml:space="preserve"> rules.  </w:t>
      </w:r>
      <w:r>
        <w:t xml:space="preserve">Persons making </w:t>
      </w:r>
      <w:r>
        <w:rPr>
          <w:i/>
        </w:rPr>
        <w:t xml:space="preserve">ex </w:t>
      </w:r>
      <w:r>
        <w:rPr>
          <w:i/>
        </w:rPr>
        <w:t>parte</w:t>
      </w:r>
      <w:r>
        <w:rPr>
          <w:i/>
        </w:rPr>
        <w:t xml:space="preserve"> </w:t>
      </w:r>
      <w:r w:rsidRPr="005B2AFD">
        <w:rPr>
          <w:szCs w:val="22"/>
        </w:rPr>
        <w:t>presentations</w:t>
      </w:r>
      <w:r>
        <w:t xml:space="preserve">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w:t>
      </w:r>
      <w:r>
        <w:rPr>
          <w:i/>
          <w:iCs/>
        </w:rPr>
        <w:t>parte</w:t>
      </w:r>
      <w:r>
        <w:rPr>
          <w:i/>
          <w:iCs/>
        </w:rPr>
        <w:t xml:space="preserve"> </w:t>
      </w:r>
      <w:r>
        <w:t xml:space="preserve">presentations are reminded that memoranda summarizing the presentation must (1) list all persons attending or otherwise participating in the meeting at which the </w:t>
      </w:r>
      <w:r>
        <w:rPr>
          <w:i/>
          <w:iCs/>
        </w:rPr>
        <w:t xml:space="preserve">ex </w:t>
      </w:r>
      <w:r>
        <w:rPr>
          <w:i/>
          <w:iCs/>
        </w:rPr>
        <w:t>parte</w:t>
      </w:r>
      <w:r>
        <w:rPr>
          <w:i/>
          <w:iCs/>
        </w:rPr>
        <w:t xml:space="preserv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w:t>
      </w:r>
      <w:r>
        <w:rPr>
          <w:i/>
          <w:iCs/>
        </w:rPr>
        <w:t>parte</w:t>
      </w:r>
      <w:r>
        <w:rPr>
          <w:i/>
          <w:iCs/>
        </w:rPr>
        <w:t xml:space="preserve"> </w:t>
      </w:r>
      <w:r>
        <w:t xml:space="preserve">meetings are deemed to be written </w:t>
      </w:r>
      <w:r>
        <w:rPr>
          <w:i/>
          <w:iCs/>
        </w:rPr>
        <w:t xml:space="preserve">ex </w:t>
      </w:r>
      <w:r>
        <w:rPr>
          <w:i/>
          <w:iCs/>
        </w:rPr>
        <w:t>parte</w:t>
      </w:r>
      <w:r>
        <w:t xml:space="preserve"> presentations and must be filed consistent with rule 1.1206(b).</w:t>
      </w:r>
    </w:p>
    <w:p w:rsidR="003E0570" w:rsidP="003E0570" w14:paraId="05540B1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ind w:firstLine="720"/>
        <w:rPr>
          <w:szCs w:val="22"/>
        </w:rPr>
      </w:pPr>
      <w:r w:rsidRPr="002F2E3E">
        <w:rPr>
          <w:i/>
          <w:iCs/>
          <w:szCs w:val="22"/>
        </w:rPr>
        <w:t>People with Disabilities</w:t>
      </w:r>
      <w:r>
        <w:rPr>
          <w:szCs w:val="22"/>
        </w:rPr>
        <w:t xml:space="preserve">:  We ask that requests for accommodations be made as soon as possible in order to allow the agency to satisfy such requests whenever possible.  Send an e-mail to </w:t>
      </w:r>
      <w:hyperlink r:id="rId7" w:history="1">
        <w:r w:rsidRPr="00545B81">
          <w:rPr>
            <w:rStyle w:val="Hyperlink"/>
            <w:szCs w:val="22"/>
          </w:rPr>
          <w:t>fcc504@fcc.gov</w:t>
        </w:r>
      </w:hyperlink>
      <w:r>
        <w:rPr>
          <w:szCs w:val="22"/>
        </w:rPr>
        <w:t xml:space="preserve"> or call the Consumer &amp; </w:t>
      </w:r>
      <w:r w:rsidRPr="00D5524C">
        <w:t>Governmental</w:t>
      </w:r>
      <w:r>
        <w:rPr>
          <w:szCs w:val="22"/>
        </w:rPr>
        <w:t xml:space="preserve"> Affairs Bureau at (202) 418-0530.</w:t>
      </w:r>
    </w:p>
    <w:p w:rsidR="003E0570" w:rsidP="003E0570" w14:paraId="5DE2308A" w14:textId="4B5E8FD0">
      <w:pPr>
        <w:ind w:firstLine="720"/>
        <w:rPr>
          <w:szCs w:val="22"/>
        </w:rPr>
      </w:pPr>
      <w:r w:rsidRPr="00665F81">
        <w:rPr>
          <w:szCs w:val="22"/>
        </w:rPr>
        <w:t xml:space="preserve">For further information, </w:t>
      </w:r>
      <w:r>
        <w:rPr>
          <w:szCs w:val="22"/>
        </w:rPr>
        <w:t xml:space="preserve">contact Michele Berlove, (202) 418-1477 (voice), </w:t>
      </w:r>
      <w:hyperlink r:id="rId6" w:history="1">
        <w:r w:rsidRPr="00CB5ACB">
          <w:rPr>
            <w:rStyle w:val="Hyperlink"/>
            <w:szCs w:val="22"/>
          </w:rPr>
          <w:t>Michele.Berlove@fcc.gov</w:t>
        </w:r>
      </w:hyperlink>
      <w:r>
        <w:rPr>
          <w:szCs w:val="22"/>
        </w:rPr>
        <w:t xml:space="preserve"> </w:t>
      </w:r>
      <w:r w:rsidRPr="00A6556A">
        <w:rPr>
          <w:szCs w:val="22"/>
        </w:rPr>
        <w:t xml:space="preserve">of the </w:t>
      </w:r>
      <w:r w:rsidRPr="00D5524C">
        <w:t>Competition</w:t>
      </w:r>
      <w:r w:rsidRPr="00A6556A">
        <w:rPr>
          <w:szCs w:val="22"/>
        </w:rPr>
        <w:t xml:space="preserve"> Policy Division, Wireline Competition Bureau</w:t>
      </w:r>
      <w:r>
        <w:rPr>
          <w:szCs w:val="22"/>
        </w:rPr>
        <w:t xml:space="preserve">.  </w:t>
      </w:r>
      <w:r w:rsidRPr="00665F81">
        <w:rPr>
          <w:szCs w:val="22"/>
        </w:rPr>
        <w:t xml:space="preserve">For further information on procedures regarding section 214 please visit </w:t>
      </w:r>
      <w:hyperlink r:id="rId8" w:history="1">
        <w:r w:rsidRPr="0034665D">
          <w:rPr>
            <w:rStyle w:val="Hyperlink"/>
            <w:szCs w:val="22"/>
          </w:rPr>
          <w:t>https://www.fcc.gov/encyclopedia/domestic-section-214-discontinuance-service</w:t>
        </w:r>
      </w:hyperlink>
      <w:r>
        <w:rPr>
          <w:szCs w:val="22"/>
        </w:rPr>
        <w:t>.</w:t>
      </w:r>
      <w:r w:rsidR="0086129A">
        <w:rPr>
          <w:szCs w:val="22"/>
        </w:rPr>
        <w:t xml:space="preserve"> </w:t>
      </w:r>
    </w:p>
    <w:p w:rsidR="003E0570" w:rsidP="003E0570" w14:paraId="7E3ACAFA" w14:textId="3089E384">
      <w:pPr>
        <w:rPr>
          <w:szCs w:val="22"/>
        </w:rPr>
      </w:pPr>
    </w:p>
    <w:p w:rsidR="003E0570" w:rsidRPr="003E0570" w:rsidP="003E0570" w14:paraId="34E9FAD2" w14:textId="303C1E01">
      <w:pPr>
        <w:jc w:val="center"/>
        <w:rPr>
          <w:b/>
          <w:bCs/>
        </w:rPr>
      </w:pPr>
      <w:r>
        <w:rPr>
          <w:b/>
          <w:bCs/>
          <w:szCs w:val="22"/>
        </w:rPr>
        <w:t>- FCC -</w:t>
      </w:r>
    </w:p>
    <w:sectPr>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4289567D" w14:textId="77777777">
    <w:pPr>
      <w:pStyle w:val="Footer"/>
      <w:framePr w:wrap="around" w:vAnchor="text" w:hAnchor="margin" w:xAlign="center" w:y="1"/>
    </w:pPr>
    <w:r>
      <w:fldChar w:fldCharType="begin"/>
    </w:r>
    <w:r>
      <w:instrText xml:space="preserve">PAGE  </w:instrText>
    </w:r>
    <w:r>
      <w:fldChar w:fldCharType="separate"/>
    </w:r>
    <w:r>
      <w:fldChar w:fldCharType="end"/>
    </w:r>
  </w:p>
  <w:p w:rsidR="00000000" w14:paraId="29C7C37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2366633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70B8E94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E0570" w14:paraId="50571F83" w14:textId="77777777">
      <w:r>
        <w:separator/>
      </w:r>
    </w:p>
  </w:footnote>
  <w:footnote w:type="continuationSeparator" w:id="1">
    <w:p w:rsidR="003E0570" w14:paraId="51E61791" w14:textId="77777777">
      <w:pPr>
        <w:rPr>
          <w:sz w:val="20"/>
        </w:rPr>
      </w:pPr>
      <w:r>
        <w:rPr>
          <w:sz w:val="20"/>
        </w:rPr>
        <w:t xml:space="preserve">(Continued from previous page)  </w:t>
      </w:r>
      <w:r>
        <w:rPr>
          <w:sz w:val="20"/>
        </w:rPr>
        <w:separator/>
      </w:r>
    </w:p>
  </w:footnote>
  <w:footnote w:type="continuationNotice" w:id="2">
    <w:p w:rsidR="003E0570" w14:paraId="7230DFBF" w14:textId="77777777">
      <w:pPr>
        <w:jc w:val="right"/>
        <w:rPr>
          <w:sz w:val="20"/>
        </w:rPr>
      </w:pPr>
      <w:r>
        <w:rPr>
          <w:sz w:val="20"/>
        </w:rPr>
        <w:t>(continued….)</w:t>
      </w:r>
    </w:p>
  </w:footnote>
  <w:footnote w:id="3">
    <w:p w:rsidR="003E0570" w:rsidRPr="00924321" w:rsidP="003E0570" w14:paraId="71461A7D" w14:textId="77777777">
      <w:pPr>
        <w:pStyle w:val="FootnoteText"/>
      </w:pPr>
      <w:r w:rsidRPr="00924321">
        <w:rPr>
          <w:rStyle w:val="FootnoteReference"/>
          <w:sz w:val="20"/>
        </w:rPr>
        <w:footnoteRef/>
      </w:r>
      <w:r w:rsidRPr="00924321">
        <w:t xml:space="preserve"> 47 U.S.C. </w:t>
      </w:r>
      <w:r w:rsidRPr="00924321">
        <w:rPr>
          <w:rFonts w:eastAsia="MS Mincho"/>
        </w:rPr>
        <w:t>§ 214.</w:t>
      </w:r>
    </w:p>
  </w:footnote>
  <w:footnote w:id="4">
    <w:p w:rsidR="003E0570" w:rsidRPr="00924321" w:rsidP="003E0570" w14:paraId="29731C3B" w14:textId="77777777">
      <w:pPr>
        <w:pStyle w:val="FootnoteText"/>
      </w:pPr>
      <w:r w:rsidRPr="00924321">
        <w:rPr>
          <w:rStyle w:val="FootnoteReference"/>
          <w:sz w:val="20"/>
        </w:rPr>
        <w:footnoteRef/>
      </w:r>
      <w:r w:rsidRPr="00924321">
        <w:t xml:space="preserve"> </w:t>
      </w:r>
      <w:r w:rsidRPr="00924321">
        <w:rPr>
          <w:rFonts w:eastAsia="MS Mincho"/>
        </w:rPr>
        <w:t xml:space="preserve">47 CFR § 63.71.  </w:t>
      </w:r>
    </w:p>
  </w:footnote>
  <w:footnote w:id="5">
    <w:p w:rsidR="003E0570" w:rsidRPr="00924321" w:rsidP="003E0570" w14:paraId="400ECFC9" w14:textId="77777777">
      <w:pPr>
        <w:pStyle w:val="FootnoteText"/>
      </w:pPr>
      <w:r w:rsidRPr="00924321">
        <w:rPr>
          <w:rStyle w:val="FootnoteReference"/>
          <w:sz w:val="20"/>
        </w:rPr>
        <w:footnoteRef/>
      </w:r>
      <w:r w:rsidRPr="00924321">
        <w:t xml:space="preserve"> </w:t>
      </w:r>
      <w:r w:rsidRPr="00924321">
        <w:rPr>
          <w:rFonts w:eastAsia="MS Mincho"/>
          <w:i/>
          <w:iCs/>
        </w:rPr>
        <w:t>See</w:t>
      </w:r>
      <w:r w:rsidRPr="00924321">
        <w:rPr>
          <w:rFonts w:eastAsia="MS Mincho"/>
        </w:rPr>
        <w:t xml:space="preserve"> Section 63.71 Application of Embarq Florida, Inc. d/b/a CenturyLink, a Lumen company</w:t>
      </w:r>
      <w:r>
        <w:rPr>
          <w:rFonts w:eastAsia="MS Mincho"/>
        </w:rPr>
        <w:t>,</w:t>
      </w:r>
      <w:r w:rsidRPr="00924321">
        <w:rPr>
          <w:rFonts w:eastAsia="MS Mincho"/>
        </w:rPr>
        <w:t xml:space="preserve"> for Authority Pursuant to Section 214 of the Communications Act of 1</w:t>
      </w:r>
      <w:r>
        <w:rPr>
          <w:rFonts w:eastAsia="MS Mincho"/>
        </w:rPr>
        <w:t>9</w:t>
      </w:r>
      <w:r w:rsidRPr="00924321">
        <w:rPr>
          <w:rFonts w:eastAsia="MS Mincho"/>
        </w:rPr>
        <w:t xml:space="preserve">34, </w:t>
      </w:r>
      <w:r>
        <w:rPr>
          <w:rFonts w:eastAsia="MS Mincho"/>
        </w:rPr>
        <w:t>a</w:t>
      </w:r>
      <w:r w:rsidRPr="00924321">
        <w:rPr>
          <w:rFonts w:eastAsia="MS Mincho"/>
        </w:rPr>
        <w:t xml:space="preserve">s Amended, </w:t>
      </w:r>
      <w:r>
        <w:rPr>
          <w:rFonts w:eastAsia="MS Mincho"/>
        </w:rPr>
        <w:t>t</w:t>
      </w:r>
      <w:r w:rsidRPr="00924321">
        <w:rPr>
          <w:rFonts w:eastAsia="MS Mincho"/>
        </w:rPr>
        <w:t>o Discontinue a Telecommunications Service, WC Docket No. 21-298 (filed July 14, 2021) (Application)</w:t>
      </w:r>
      <w:r>
        <w:rPr>
          <w:rFonts w:eastAsia="MS Mincho"/>
        </w:rPr>
        <w:t xml:space="preserve">, </w:t>
      </w:r>
      <w:hyperlink r:id="rId1" w:history="1">
        <w:r w:rsidRPr="001723A6">
          <w:rPr>
            <w:rStyle w:val="Hyperlink"/>
            <w:rFonts w:eastAsia="MS Mincho"/>
          </w:rPr>
          <w:t>https://www.fcc.gov/ecfs/search/filings?proceedings_name=21-298&amp;sort=date_disseminated,DESC</w:t>
        </w:r>
      </w:hyperlink>
      <w:r w:rsidRPr="003E0570">
        <w:t xml:space="preserve">.  </w:t>
      </w:r>
      <w:r w:rsidRPr="00924321">
        <w:t xml:space="preserve">The term “technology transition” means </w:t>
      </w:r>
      <w:r>
        <w:t>“</w:t>
      </w:r>
      <w:r w:rsidRPr="00924321">
        <w:t>any change in service that would result in the replacement of a wireline TDM-based voice service with a service using a different technology or medium for transmission to the end user, whether Internet Protocol, wireless, or another type.</w:t>
      </w:r>
      <w:r>
        <w:t>”</w:t>
      </w:r>
      <w:r w:rsidRPr="00924321">
        <w:t xml:space="preserve">  47 CFR § 63.60(</w:t>
      </w:r>
      <w:r w:rsidRPr="00924321">
        <w:t>i</w:t>
      </w:r>
      <w:r w:rsidRPr="00924321">
        <w:t>)</w:t>
      </w:r>
      <w:r>
        <w:t>;</w:t>
      </w:r>
      <w:r w:rsidRPr="00924321">
        <w:t xml:space="preserve"> </w:t>
      </w:r>
      <w:r>
        <w:rPr>
          <w:i/>
          <w:iCs/>
        </w:rPr>
        <w:t>s</w:t>
      </w:r>
      <w:r w:rsidRPr="000F0F71">
        <w:rPr>
          <w:i/>
          <w:iCs/>
        </w:rPr>
        <w:t>ee also</w:t>
      </w:r>
      <w:r>
        <w:rPr>
          <w:i/>
          <w:iCs/>
        </w:rPr>
        <w:t xml:space="preserve"> Accelerating Wireline Broadband Deployment by Removing Barriers to Infrastructure Investment</w:t>
      </w:r>
      <w:r>
        <w:t xml:space="preserve">, Declaratory Ruling, Order on Reconsideration, and Order, WC Docket. No. 17-84, </w:t>
      </w:r>
      <w:r w:rsidRPr="000F0F71">
        <w:t xml:space="preserve">35 FCC </w:t>
      </w:r>
      <w:r w:rsidRPr="000F0F71">
        <w:t>Rcd</w:t>
      </w:r>
      <w:r w:rsidRPr="000F0F71">
        <w:t xml:space="preserve"> 11750</w:t>
      </w:r>
      <w:r>
        <w:t>, 11750-51, para. 2</w:t>
      </w:r>
      <w:r w:rsidRPr="00DF34BC">
        <w:t xml:space="preserve"> </w:t>
      </w:r>
      <w:r w:rsidRPr="00790CB6">
        <w:t>(WCB 2020)</w:t>
      </w:r>
      <w:r>
        <w:t xml:space="preserve"> (clarifying that </w:t>
      </w:r>
      <w:r>
        <w:rPr>
          <w:snapToGrid w:val="0"/>
        </w:rPr>
        <w:t>any carrier seeking to discontinue legacy voice service to a community or part of a community that is the last retail provider of such legacy TDM service to that community or part of the community is subject to the Commission’s technology transition discontinuance rules).</w:t>
      </w:r>
    </w:p>
  </w:footnote>
  <w:footnote w:id="6">
    <w:p w:rsidR="003E0570" w:rsidP="003E0570" w14:paraId="13462F62" w14:textId="77777777">
      <w:pPr>
        <w:pStyle w:val="FootnoteText"/>
      </w:pPr>
      <w:r>
        <w:rPr>
          <w:rStyle w:val="FootnoteReference"/>
        </w:rPr>
        <w:footnoteRef/>
      </w:r>
      <w:r>
        <w:t xml:space="preserve"> </w:t>
      </w:r>
      <w:r w:rsidRPr="00924321">
        <w:t>47 CFR §§ 63.71</w:t>
      </w:r>
      <w:r>
        <w:t>,</w:t>
      </w:r>
      <w:r w:rsidRPr="00924321">
        <w:t xml:space="preserve"> 63.71(f)(2)(</w:t>
      </w:r>
      <w:r w:rsidRPr="00924321">
        <w:t>i</w:t>
      </w:r>
      <w:r w:rsidRPr="00924321">
        <w:t>)</w:t>
      </w:r>
      <w:r>
        <w:t xml:space="preserve">.  A technology transition discontinuance application may be eligible for automatic grant </w:t>
      </w:r>
      <w:r w:rsidRPr="00924321">
        <w:t>if</w:t>
      </w:r>
      <w:r>
        <w:t xml:space="preserve"> “[t]</w:t>
      </w:r>
      <w:r w:rsidRPr="00924321">
        <w:t>he applicant provides affected customers with the notice required under paragraph (a)(6) of this section, and the application contains the showing or certification described in § 63.602(b)</w:t>
      </w:r>
      <w:r>
        <w:t>.</w:t>
      </w:r>
      <w:r w:rsidRPr="00924321">
        <w:t>”</w:t>
      </w:r>
      <w:r>
        <w:t xml:space="preserve">  </w:t>
      </w:r>
      <w:r w:rsidRPr="00494C4D">
        <w:rPr>
          <w:i/>
          <w:iCs/>
        </w:rPr>
        <w:t>Id</w:t>
      </w:r>
      <w:r>
        <w:t>.;</w:t>
      </w:r>
      <w:r w:rsidRPr="00924321">
        <w:t xml:space="preserve"> </w:t>
      </w:r>
      <w:r>
        <w:rPr>
          <w:i/>
          <w:iCs/>
        </w:rPr>
        <w:t>s</w:t>
      </w:r>
      <w:r w:rsidRPr="00924321">
        <w:rPr>
          <w:i/>
          <w:iCs/>
        </w:rPr>
        <w:t>ee also Accelerating Wirel</w:t>
      </w:r>
      <w:r>
        <w:rPr>
          <w:i/>
          <w:iCs/>
        </w:rPr>
        <w:t>ine</w:t>
      </w:r>
      <w:r w:rsidRPr="00924321">
        <w:rPr>
          <w:i/>
          <w:iCs/>
        </w:rPr>
        <w:t xml:space="preserve"> Broadband Deployment by Removing Barriers to Infrastructure Investment</w:t>
      </w:r>
      <w:r w:rsidRPr="00924321">
        <w:t xml:space="preserve">, </w:t>
      </w:r>
      <w:r>
        <w:t xml:space="preserve">WC Docket No. 17-84, </w:t>
      </w:r>
      <w:r w:rsidRPr="00924321">
        <w:t xml:space="preserve">Second Report and Order, 33 FCC </w:t>
      </w:r>
      <w:r w:rsidRPr="00924321">
        <w:t>Rcd</w:t>
      </w:r>
      <w:r w:rsidRPr="00924321">
        <w:t xml:space="preserve"> 5660, 5672-73, paras. 29-31 (2018) </w:t>
      </w:r>
      <w:r>
        <w:t>(</w:t>
      </w:r>
      <w:r w:rsidRPr="00670622">
        <w:rPr>
          <w:i/>
          <w:iCs/>
        </w:rPr>
        <w:t>Wireline Infrastructure Second Report and Order</w:t>
      </w:r>
      <w:r>
        <w:t xml:space="preserve">) </w:t>
      </w:r>
      <w:r w:rsidRPr="00924321">
        <w:t xml:space="preserve">(stating that “…an applicant can receive streamlined treatment </w:t>
      </w:r>
      <w:r>
        <w:t xml:space="preserve">[under the adequate replacement test] </w:t>
      </w:r>
      <w:r w:rsidRPr="00924321">
        <w:t>by</w:t>
      </w:r>
      <w:r w:rsidRPr="006815C6">
        <w:t xml:space="preserve"> demonstrating that a single adequate replacement service exists in the affected service area</w:t>
      </w:r>
      <w:r>
        <w:t xml:space="preserve">.”);  </w:t>
      </w:r>
      <w:r>
        <w:rPr>
          <w:i/>
          <w:iCs/>
        </w:rPr>
        <w:t>i</w:t>
      </w:r>
      <w:r w:rsidRPr="003727AE">
        <w:rPr>
          <w:i/>
          <w:iCs/>
        </w:rPr>
        <w:t>d</w:t>
      </w:r>
      <w:r>
        <w:t>. at 5673, para. 31.</w:t>
      </w:r>
    </w:p>
  </w:footnote>
  <w:footnote w:id="7">
    <w:p w:rsidR="003E0570" w:rsidP="003E0570" w14:paraId="06948285" w14:textId="77777777">
      <w:pPr>
        <w:pStyle w:val="FootnoteText"/>
      </w:pPr>
      <w:r>
        <w:rPr>
          <w:rStyle w:val="FootnoteReference"/>
        </w:rPr>
        <w:footnoteRef/>
      </w:r>
      <w:r>
        <w:t xml:space="preserve"> </w:t>
      </w:r>
      <w:r w:rsidRPr="005F1772">
        <w:rPr>
          <w:i/>
          <w:iCs/>
        </w:rPr>
        <w:t>See</w:t>
      </w:r>
      <w:r>
        <w:t xml:space="preserve"> Application at 2.</w:t>
      </w:r>
    </w:p>
  </w:footnote>
  <w:footnote w:id="8">
    <w:p w:rsidR="003E0570" w:rsidP="003E0570" w14:paraId="0A5FD979" w14:textId="77777777">
      <w:pPr>
        <w:pStyle w:val="FootnoteText"/>
      </w:pPr>
      <w:r>
        <w:rPr>
          <w:rStyle w:val="FootnoteReference"/>
        </w:rPr>
        <w:footnoteRef/>
      </w:r>
      <w:r>
        <w:t xml:space="preserve"> </w:t>
      </w:r>
      <w:r w:rsidRPr="00924321">
        <w:rPr>
          <w:i/>
          <w:iCs/>
        </w:rPr>
        <w:t>See Technology Transitions et al.</w:t>
      </w:r>
      <w:r w:rsidRPr="006D2BF6">
        <w:t xml:space="preserve">, </w:t>
      </w:r>
      <w:r>
        <w:t xml:space="preserve">WC Docket No. 13-5 et al., </w:t>
      </w:r>
      <w:r w:rsidRPr="006D2BF6">
        <w:t>Declaratory Ruling</w:t>
      </w:r>
      <w:r w:rsidRPr="00924321">
        <w:t xml:space="preserve">, Second Report and Order, and Order on Reconsideration, 31 FCC </w:t>
      </w:r>
      <w:r w:rsidRPr="00924321">
        <w:t>Rcd</w:t>
      </w:r>
      <w:r w:rsidRPr="00924321">
        <w:t xml:space="preserve"> 8283, </w:t>
      </w:r>
      <w:r>
        <w:t xml:space="preserve">8287, </w:t>
      </w:r>
      <w:r w:rsidRPr="00924321">
        <w:t xml:space="preserve">para. </w:t>
      </w:r>
      <w:r>
        <w:t>11, 8312, para.</w:t>
      </w:r>
      <w:r w:rsidRPr="00924321">
        <w:t xml:space="preserve"> </w:t>
      </w:r>
      <w:r>
        <w:t>86</w:t>
      </w:r>
      <w:r w:rsidRPr="00924321">
        <w:t xml:space="preserve"> (2016)</w:t>
      </w:r>
      <w:r>
        <w:t xml:space="preserve"> (</w:t>
      </w:r>
      <w:r w:rsidRPr="00C85287">
        <w:rPr>
          <w:i/>
          <w:iCs/>
        </w:rPr>
        <w:t>2016 Technology Transitions Order</w:t>
      </w:r>
      <w:r w:rsidRPr="002F3664">
        <w:t>)</w:t>
      </w:r>
      <w:r>
        <w:t xml:space="preserve"> (applicants relying on a third party service must make a </w:t>
      </w:r>
      <w:r w:rsidRPr="00DF1638">
        <w:rPr>
          <w:i/>
          <w:iCs/>
        </w:rPr>
        <w:t>prima facie</w:t>
      </w:r>
      <w:r>
        <w:t xml:space="preserve"> showing based on publicly available information as to whether the third party service meets our test as an adequate replacement).</w:t>
      </w:r>
    </w:p>
  </w:footnote>
  <w:footnote w:id="9">
    <w:p w:rsidR="003E0570" w:rsidRPr="00924321" w:rsidP="003E0570" w14:paraId="1A26B06E" w14:textId="77777777">
      <w:pPr>
        <w:pStyle w:val="FootnoteText"/>
      </w:pPr>
      <w:r w:rsidRPr="00924321">
        <w:rPr>
          <w:rStyle w:val="FootnoteReference"/>
          <w:sz w:val="20"/>
        </w:rPr>
        <w:footnoteRef/>
      </w:r>
      <w:r w:rsidRPr="00924321">
        <w:t xml:space="preserve"> </w:t>
      </w:r>
      <w:r w:rsidRPr="00924321">
        <w:rPr>
          <w:i/>
          <w:iCs/>
        </w:rPr>
        <w:t xml:space="preserve">See </w:t>
      </w:r>
      <w:r w:rsidRPr="00924321">
        <w:t>47 CFR § 63.602(b).  In order to be eligible for automatic grant</w:t>
      </w:r>
      <w:r>
        <w:t xml:space="preserve"> under section 63.71(f)(2)(</w:t>
      </w:r>
      <w:r>
        <w:t>i</w:t>
      </w:r>
      <w:r>
        <w:t>),</w:t>
      </w:r>
      <w:r w:rsidRPr="00924321">
        <w:t xml:space="preserve"> </w:t>
      </w:r>
      <w:r>
        <w:t>“</w:t>
      </w:r>
      <w:r w:rsidRPr="00924321">
        <w:t xml:space="preserve">an applicant must demonstrate that a service…is an adequate replacement for the voice service identified by either certifying or showing, based on the totality of the circumstances, that one or more replacement services satisfies all of the following criteria:  (1) offers substantially similar levels of network infrastructure and service quality as the service being discontinued; (2) complies with regulations regarding the availability and functionality of 911 service for consumers and </w:t>
      </w:r>
      <w:r>
        <w:t>public safety answering points (</w:t>
      </w:r>
      <w:r w:rsidRPr="00924321">
        <w:t>PSAPs</w:t>
      </w:r>
      <w:r>
        <w:t>)</w:t>
      </w:r>
      <w:r w:rsidRPr="00924321">
        <w:t>; and (3) offers interoperability with key applications and functionalities.</w:t>
      </w:r>
      <w:r>
        <w:t>”</w:t>
      </w:r>
      <w:r w:rsidRPr="00924321">
        <w:t xml:space="preserve">  </w:t>
      </w:r>
      <w:r w:rsidRPr="00924321">
        <w:rPr>
          <w:i/>
          <w:iCs/>
        </w:rPr>
        <w:t>Id</w:t>
      </w:r>
      <w:r w:rsidRPr="00924321">
        <w:t>.</w:t>
      </w:r>
      <w:r>
        <w:t xml:space="preserve">  </w:t>
      </w:r>
    </w:p>
  </w:footnote>
  <w:footnote w:id="10">
    <w:p w:rsidR="003E0570" w:rsidRPr="00924321" w:rsidP="003E0570" w14:paraId="594B2BA6" w14:textId="77777777">
      <w:pPr>
        <w:pStyle w:val="FootnoteText"/>
      </w:pPr>
      <w:r w:rsidRPr="00924321">
        <w:rPr>
          <w:rStyle w:val="FootnoteReference"/>
          <w:sz w:val="20"/>
        </w:rPr>
        <w:footnoteRef/>
      </w:r>
      <w:r w:rsidRPr="00924321">
        <w:t xml:space="preserve"> </w:t>
      </w:r>
      <w:r w:rsidRPr="00BE7591">
        <w:rPr>
          <w:i/>
          <w:iCs/>
        </w:rPr>
        <w:t>See</w:t>
      </w:r>
      <w:r w:rsidRPr="00BE7591">
        <w:t xml:space="preserve"> </w:t>
      </w:r>
      <w:r w:rsidRPr="00924321">
        <w:t>47 U.S.C. § 214(a) (stating that “[n]o carrier shall discontinue, reduce, or impair service to a community, or part of a community, unless and until there shall first have been obtained from the Commission a certificate that neither the present nor future public convenience and necessity will be adversely affected thereby”)</w:t>
      </w:r>
      <w:r>
        <w:t>.</w:t>
      </w:r>
    </w:p>
  </w:footnote>
  <w:footnote w:id="11">
    <w:p w:rsidR="003E0570" w:rsidRPr="00924321" w:rsidP="003E0570" w14:paraId="33D66848" w14:textId="77777777">
      <w:pPr>
        <w:pStyle w:val="FootnoteText"/>
      </w:pPr>
      <w:r w:rsidRPr="00924321">
        <w:rPr>
          <w:rStyle w:val="FootnoteReference"/>
          <w:sz w:val="20"/>
        </w:rPr>
        <w:footnoteRef/>
      </w:r>
      <w:r w:rsidRPr="00924321">
        <w:t xml:space="preserve"> </w:t>
      </w:r>
      <w:r w:rsidRPr="00BE7591">
        <w:rPr>
          <w:i/>
          <w:iCs/>
        </w:rPr>
        <w:t>See</w:t>
      </w:r>
      <w:r w:rsidRPr="00BE7591">
        <w:t xml:space="preserve"> </w:t>
      </w:r>
      <w:r w:rsidRPr="00BE7591">
        <w:rPr>
          <w:i/>
          <w:iCs/>
        </w:rPr>
        <w:t>2016 Technology Transitions Order</w:t>
      </w:r>
      <w:r w:rsidRPr="00BE7591">
        <w:t xml:space="preserve">, 31 FCC </w:t>
      </w:r>
      <w:r w:rsidRPr="00BE7591">
        <w:t>Rcd</w:t>
      </w:r>
      <w:r w:rsidRPr="00BE7591">
        <w:t xml:space="preserve"> at </w:t>
      </w:r>
      <w:r>
        <w:t>8306</w:t>
      </w:r>
      <w:r w:rsidRPr="00BE7591">
        <w:t>, para. 67 (“If an applicant cannot certify or make that</w:t>
      </w:r>
      <w:r>
        <w:t xml:space="preserve"> [prima facie]</w:t>
      </w:r>
      <w:r w:rsidRPr="00BE7591">
        <w:t xml:space="preserve"> showing, </w:t>
      </w:r>
      <w:r w:rsidRPr="00BE7591">
        <w:rPr>
          <w:bCs/>
        </w:rPr>
        <w:t xml:space="preserve">or declines to pursue the voluntary path of streamlined treatment, </w:t>
      </w:r>
      <w:r w:rsidRPr="00BE7591">
        <w:t>it must include in its application an explanation of how its proposed discontinuance will not harm the public interest, with specific reference to the five factors the Commission traditionally considers.  The Bureau will then weigh that information as part of the traditional multi-factor evaluation, placing particular scrutiny on the adequate replacement factor under the newly-enhanced test.”)</w:t>
      </w:r>
      <w:r>
        <w:t>;</w:t>
      </w:r>
      <w:r w:rsidRPr="00924321">
        <w:t xml:space="preserve"> </w:t>
      </w:r>
      <w:r w:rsidRPr="00DF1638">
        <w:rPr>
          <w:i/>
          <w:iCs/>
        </w:rPr>
        <w:t>id</w:t>
      </w:r>
      <w:r>
        <w:t>. at 8304, para. 62 (setting forth the Commission’s traditional five-factor test—i.e.,</w:t>
      </w:r>
      <w:r w:rsidRPr="009E6B90">
        <w:rPr>
          <w:szCs w:val="22"/>
        </w:rPr>
        <w:t xml:space="preserve"> (1) the financial impact on the common carrier of continuing to provide the service; (2) the need for the service in general; (3) the need for the particular facilities in question; (4) the existence, availability, and adequacy of alternatives; and (5) increased charges for alternative services</w:t>
      </w:r>
      <w:r>
        <w:rPr>
          <w:szCs w:val="22"/>
        </w:rPr>
        <w:t>);</w:t>
      </w:r>
      <w:r>
        <w:t xml:space="preserve"> </w:t>
      </w:r>
      <w:r w:rsidRPr="00794AD3">
        <w:rPr>
          <w:i/>
        </w:rPr>
        <w:t>Application for Authority Pursuant to Section 214 of the Communications Act of 1934 to Cease Providing Dark Fiber Service</w:t>
      </w:r>
      <w:r w:rsidRPr="00120E50">
        <w:t>, File Nos. W-P-C 6670 and W-P-D 364, 8 FCC</w:t>
      </w:r>
      <w:r>
        <w:t xml:space="preserve"> </w:t>
      </w:r>
      <w:r w:rsidRPr="00120E50">
        <w:t>Rcd</w:t>
      </w:r>
      <w:r w:rsidRPr="00120E50">
        <w:t xml:space="preserve"> 2589, 2600, para. 54 (1993), </w:t>
      </w:r>
      <w:r w:rsidRPr="00794AD3">
        <w:rPr>
          <w:i/>
        </w:rPr>
        <w:t>remanded on other grounds, Southwestern Bell v. FCC</w:t>
      </w:r>
      <w:r w:rsidRPr="00120E50">
        <w:t>, 19 F.3d 1475 (D.C. Cir. 1994)</w:t>
      </w:r>
      <w:r>
        <w:t xml:space="preserve"> (setting forth the Commission’s traditional five-factor test</w:t>
      </w:r>
      <w:r>
        <w:rPr>
          <w:szCs w:val="22"/>
        </w:rPr>
        <w:t>).</w:t>
      </w:r>
    </w:p>
  </w:footnote>
  <w:footnote w:id="12">
    <w:p w:rsidR="003E0570" w:rsidRPr="00924321" w:rsidP="003E0570" w14:paraId="436B57FD" w14:textId="77777777">
      <w:pPr>
        <w:pStyle w:val="FootnoteText"/>
      </w:pPr>
      <w:r w:rsidRPr="00924321">
        <w:rPr>
          <w:rStyle w:val="FootnoteReference"/>
          <w:sz w:val="20"/>
        </w:rPr>
        <w:footnoteRef/>
      </w:r>
      <w:r w:rsidRPr="00924321">
        <w:t xml:space="preserve"> </w:t>
      </w:r>
      <w:r w:rsidRPr="00924321">
        <w:rPr>
          <w:i/>
          <w:iCs/>
        </w:rPr>
        <w:t>See Electronic Filing of Documents in Rulemaking Proceedings</w:t>
      </w:r>
      <w:r w:rsidRPr="00924321">
        <w:t>, 63 FR 24121 (1998).</w:t>
      </w:r>
    </w:p>
  </w:footnote>
  <w:footnote w:id="13">
    <w:p w:rsidR="003E0570" w:rsidRPr="00924321" w:rsidP="003E0570" w14:paraId="081B69D8" w14:textId="77777777">
      <w:pPr>
        <w:pStyle w:val="FootnoteText"/>
      </w:pPr>
      <w:r w:rsidRPr="00924321">
        <w:rPr>
          <w:rStyle w:val="FootnoteReference"/>
          <w:sz w:val="20"/>
        </w:rPr>
        <w:footnoteRef/>
      </w:r>
      <w:r w:rsidRPr="00924321">
        <w:t xml:space="preserve"> </w:t>
      </w:r>
      <w:r w:rsidRPr="00924321">
        <w:t>Effective March 19, 2020, and until further notice, the Commission no longer accepts any hand or messenger delivered filings.  This is a temporary measure taken to help protect the health and safety of individuals, and to mitigate the transmission of COVID-19</w:t>
      </w:r>
      <w:r w:rsidRPr="00924321">
        <w:rPr>
          <w:i/>
          <w:iCs/>
        </w:rPr>
        <w:t>.  See FCC Announces Closure of FCC Headquarters Open Window and Change in Hand-Delivery Filing</w:t>
      </w:r>
      <w:r w:rsidRPr="00924321">
        <w:t>, Public Notice</w:t>
      </w:r>
      <w:r w:rsidRPr="008E17DB">
        <w:rPr>
          <w:i/>
          <w:iCs/>
        </w:rPr>
        <w:t xml:space="preserve"> </w:t>
      </w:r>
      <w:r w:rsidRPr="008E17DB">
        <w:t xml:space="preserve">35 FCC </w:t>
      </w:r>
      <w:r w:rsidRPr="008E17DB">
        <w:t>Rcd</w:t>
      </w:r>
      <w:r w:rsidRPr="008E17DB">
        <w:t xml:space="preserve"> 2788 (OS 2020).</w:t>
      </w:r>
    </w:p>
  </w:footnote>
  <w:footnote w:id="14">
    <w:p w:rsidR="003E0570" w:rsidRPr="00924321" w:rsidP="003E0570" w14:paraId="1EB82A49" w14:textId="77777777">
      <w:pPr>
        <w:pStyle w:val="FootnoteText"/>
      </w:pPr>
      <w:r w:rsidRPr="00924321">
        <w:rPr>
          <w:rStyle w:val="FootnoteReference"/>
          <w:sz w:val="20"/>
        </w:rPr>
        <w:footnoteRef/>
      </w:r>
      <w:r w:rsidRPr="00924321">
        <w:t xml:space="preserve"> </w:t>
      </w:r>
      <w:r w:rsidRPr="00924321">
        <w:t xml:space="preserve">47 CFR § 1.1200 </w:t>
      </w:r>
      <w:r w:rsidRPr="00924321">
        <w:rPr>
          <w:i/>
        </w:rPr>
        <w:t>et seq</w:t>
      </w:r>
      <w:r w:rsidRPr="0092432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2FEE3C8B" w14:textId="764C80F5">
    <w:pPr>
      <w:tabs>
        <w:tab w:val="center" w:pos="4680"/>
        <w:tab w:val="right" w:pos="9360"/>
      </w:tabs>
    </w:pPr>
    <w:r>
      <w:rPr>
        <w:b/>
      </w:rPr>
      <w:tab/>
    </w:r>
    <w:r>
      <w:rPr>
        <w:b/>
      </w:rPr>
      <w:t>Federal Communications Commission</w:t>
    </w:r>
    <w:r>
      <w:rPr>
        <w:b/>
      </w:rPr>
      <w:tab/>
    </w:r>
    <w:r w:rsidR="0086129A">
      <w:rPr>
        <w:b/>
      </w:rPr>
      <w:t>DA 21-1247</w:t>
    </w:r>
  </w:p>
  <w:p w:rsidR="00000000" w14:paraId="61955F6F"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000000" w14:paraId="3A7B1558"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33EAC2D5"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570"/>
    <w:rsid w:val="0005529C"/>
    <w:rsid w:val="000B013D"/>
    <w:rsid w:val="000F0F71"/>
    <w:rsid w:val="00120E50"/>
    <w:rsid w:val="001723A6"/>
    <w:rsid w:val="00247BC6"/>
    <w:rsid w:val="002F2E3E"/>
    <w:rsid w:val="002F3664"/>
    <w:rsid w:val="00343CA9"/>
    <w:rsid w:val="0034665D"/>
    <w:rsid w:val="003727AE"/>
    <w:rsid w:val="003E0570"/>
    <w:rsid w:val="00494C4D"/>
    <w:rsid w:val="00545B81"/>
    <w:rsid w:val="005B2AFD"/>
    <w:rsid w:val="005F1772"/>
    <w:rsid w:val="00665F81"/>
    <w:rsid w:val="00670622"/>
    <w:rsid w:val="006815C6"/>
    <w:rsid w:val="006D2BF6"/>
    <w:rsid w:val="006E590D"/>
    <w:rsid w:val="00790CB6"/>
    <w:rsid w:val="00794AD3"/>
    <w:rsid w:val="007A0A24"/>
    <w:rsid w:val="007D2E3D"/>
    <w:rsid w:val="007E1045"/>
    <w:rsid w:val="0086129A"/>
    <w:rsid w:val="008E17DB"/>
    <w:rsid w:val="00924321"/>
    <w:rsid w:val="00946191"/>
    <w:rsid w:val="009E6B90"/>
    <w:rsid w:val="00A6556A"/>
    <w:rsid w:val="00B25DD6"/>
    <w:rsid w:val="00BC018D"/>
    <w:rsid w:val="00BE7591"/>
    <w:rsid w:val="00C732B8"/>
    <w:rsid w:val="00C85287"/>
    <w:rsid w:val="00C91996"/>
    <w:rsid w:val="00CB5ACB"/>
    <w:rsid w:val="00D01F0B"/>
    <w:rsid w:val="00D5524C"/>
    <w:rsid w:val="00DF1638"/>
    <w:rsid w:val="00DF34BC"/>
    <w:rsid w:val="00E26AAC"/>
    <w:rsid w:val="00EA65E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1121339"/>
  <w15:chartTrackingRefBased/>
  <w15:docId w15:val="{F76F8A16-E614-4AD7-9880-AD5813AF8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 Char1 Char Char Char,Footnote Text Char Char Char2 Char Char,Footnote Text Char1 Char1 Char Char Char,Footnote Text Char2 Char,Footnote Text Char2 Char Char Char,Footnote Text Char3 Char Char,f,fn"/>
    <w:link w:val="FootnoteTextChar"/>
    <w:semiHidden/>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
    <w:name w:val="Footnote Text Char"/>
    <w:aliases w:val="ALTS FOOTNOTE Char,Footnote Text Char Char Char1 Char Char Char Char,Footnote Text Char1 Char1 Char Char Char Char,Footnote Text Char2 Char Char,Footnote Text Char2 Char Char Char Char,Footnote Text Char3 Char Char Char,f Char,fn Char"/>
    <w:link w:val="FootnoteText"/>
    <w:semiHidden/>
    <w:rsid w:val="003E0570"/>
  </w:style>
  <w:style w:type="character" w:styleId="FollowedHyperlink">
    <w:name w:val="FollowedHyperlink"/>
    <w:basedOn w:val="DefaultParagraphFont"/>
    <w:uiPriority w:val="99"/>
    <w:semiHidden/>
    <w:unhideWhenUsed/>
    <w:rsid w:val="002F2E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Michele.Berlove@fcc.gov" TargetMode="External" /><Relationship Id="rId7" Type="http://schemas.openxmlformats.org/officeDocument/2006/relationships/hyperlink" Target="mailto:fcc504@fcc.gov" TargetMode="External" /><Relationship Id="rId8" Type="http://schemas.openxmlformats.org/officeDocument/2006/relationships/hyperlink" Target="https://www.fcc.gov/encyclopedia/domestic-section-214-discontinuance-service"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search/filings?proceedings_name=21-298&amp;sort=date_disseminated,DESC"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