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85093" w:rsidP="00085093" w14:paraId="2521691F" w14:textId="77777777">
      <w:pPr>
        <w:jc w:val="center"/>
        <w:rPr>
          <w:b/>
        </w:rPr>
      </w:pPr>
      <w:r w:rsidRPr="0070224F">
        <w:rPr>
          <w:rFonts w:ascii="Times New Roman Bold" w:hAnsi="Times New Roman Bold"/>
          <w:b/>
          <w:kern w:val="0"/>
          <w:szCs w:val="22"/>
        </w:rPr>
        <w:t>Before</w:t>
      </w:r>
      <w:r>
        <w:rPr>
          <w:b/>
        </w:rPr>
        <w:t xml:space="preserve"> the</w:t>
      </w:r>
    </w:p>
    <w:p w:rsidR="00085093" w:rsidP="00085093" w14:paraId="0DCA9C29" w14:textId="77777777">
      <w:pPr>
        <w:pStyle w:val="StyleBoldCentered"/>
      </w:pPr>
      <w:r>
        <w:t>F</w:t>
      </w:r>
      <w:r>
        <w:rPr>
          <w:caps w:val="0"/>
        </w:rPr>
        <w:t>ederal Communications Commission</w:t>
      </w:r>
    </w:p>
    <w:p w:rsidR="00085093" w:rsidP="00085093" w14:paraId="30D598D4" w14:textId="77777777">
      <w:pPr>
        <w:pStyle w:val="StyleBoldCentered"/>
      </w:pPr>
      <w:r>
        <w:rPr>
          <w:caps w:val="0"/>
        </w:rPr>
        <w:t>Washington, D.C. 20554</w:t>
      </w:r>
    </w:p>
    <w:p w:rsidR="00085093" w:rsidP="00085093" w14:paraId="0D54BEE2" w14:textId="77777777"/>
    <w:p w:rsidR="00085093" w:rsidP="00085093" w14:paraId="072B8A9E" w14:textId="77777777"/>
    <w:tbl>
      <w:tblPr>
        <w:tblW w:w="0" w:type="auto"/>
        <w:tblLayout w:type="fixed"/>
        <w:tblLook w:val="0000"/>
      </w:tblPr>
      <w:tblGrid>
        <w:gridCol w:w="4698"/>
        <w:gridCol w:w="630"/>
        <w:gridCol w:w="4248"/>
      </w:tblGrid>
      <w:tr w14:paraId="26BB43DB" w14:textId="77777777" w:rsidTr="000B6815">
        <w:tblPrEx>
          <w:tblW w:w="0" w:type="auto"/>
          <w:tblLayout w:type="fixed"/>
          <w:tblLook w:val="0000"/>
        </w:tblPrEx>
        <w:tc>
          <w:tcPr>
            <w:tcW w:w="4698" w:type="dxa"/>
          </w:tcPr>
          <w:p w:rsidR="00085093" w:rsidP="000B6815" w14:paraId="2C7190D0" w14:textId="77777777">
            <w:pPr>
              <w:tabs>
                <w:tab w:val="center" w:pos="4680"/>
              </w:tabs>
              <w:suppressAutoHyphens/>
              <w:rPr>
                <w:spacing w:val="-2"/>
              </w:rPr>
            </w:pPr>
            <w:r>
              <w:rPr>
                <w:spacing w:val="-2"/>
              </w:rPr>
              <w:t>In the Matter of</w:t>
            </w:r>
          </w:p>
          <w:p w:rsidR="00085093" w:rsidP="000B6815" w14:paraId="1BCD44FF" w14:textId="77777777">
            <w:pPr>
              <w:tabs>
                <w:tab w:val="center" w:pos="4680"/>
              </w:tabs>
              <w:suppressAutoHyphens/>
              <w:rPr>
                <w:spacing w:val="-2"/>
              </w:rPr>
            </w:pPr>
          </w:p>
          <w:p w:rsidR="00085093" w:rsidRPr="007115F7" w:rsidP="000B6815" w14:paraId="2CDC9E6A" w14:textId="77777777">
            <w:pPr>
              <w:tabs>
                <w:tab w:val="center" w:pos="4680"/>
              </w:tabs>
              <w:suppressAutoHyphens/>
              <w:rPr>
                <w:spacing w:val="-2"/>
              </w:rPr>
            </w:pPr>
            <w:r>
              <w:rPr>
                <w:spacing w:val="-2"/>
              </w:rPr>
              <w:t>Termination of Certain Proceedings as Dormant</w:t>
            </w:r>
          </w:p>
        </w:tc>
        <w:tc>
          <w:tcPr>
            <w:tcW w:w="630" w:type="dxa"/>
          </w:tcPr>
          <w:p w:rsidR="00085093" w:rsidP="000B6815" w14:paraId="26B60FB1" w14:textId="77777777">
            <w:pPr>
              <w:tabs>
                <w:tab w:val="center" w:pos="4680"/>
              </w:tabs>
              <w:suppressAutoHyphens/>
              <w:rPr>
                <w:b/>
                <w:spacing w:val="-2"/>
              </w:rPr>
            </w:pPr>
            <w:r>
              <w:rPr>
                <w:b/>
                <w:spacing w:val="-2"/>
              </w:rPr>
              <w:t>)</w:t>
            </w:r>
          </w:p>
          <w:p w:rsidR="00085093" w:rsidP="000B6815" w14:paraId="3184C235" w14:textId="77777777">
            <w:pPr>
              <w:tabs>
                <w:tab w:val="center" w:pos="4680"/>
              </w:tabs>
              <w:suppressAutoHyphens/>
              <w:rPr>
                <w:b/>
                <w:spacing w:val="-2"/>
              </w:rPr>
            </w:pPr>
            <w:r>
              <w:rPr>
                <w:b/>
                <w:spacing w:val="-2"/>
              </w:rPr>
              <w:t>)</w:t>
            </w:r>
          </w:p>
          <w:p w:rsidR="00085093" w:rsidP="000B6815" w14:paraId="4D1B3AFA" w14:textId="77777777">
            <w:pPr>
              <w:tabs>
                <w:tab w:val="center" w:pos="4680"/>
              </w:tabs>
              <w:suppressAutoHyphens/>
              <w:rPr>
                <w:b/>
                <w:spacing w:val="-2"/>
              </w:rPr>
            </w:pPr>
            <w:r>
              <w:rPr>
                <w:b/>
                <w:spacing w:val="-2"/>
              </w:rPr>
              <w:t>)</w:t>
            </w:r>
          </w:p>
          <w:p w:rsidR="00085093" w:rsidRPr="00283C54" w:rsidP="000B6815" w14:paraId="28B26CDA" w14:textId="77777777">
            <w:pPr>
              <w:tabs>
                <w:tab w:val="center" w:pos="4680"/>
              </w:tabs>
              <w:suppressAutoHyphens/>
              <w:rPr>
                <w:b/>
                <w:spacing w:val="-2"/>
              </w:rPr>
            </w:pPr>
          </w:p>
        </w:tc>
        <w:tc>
          <w:tcPr>
            <w:tcW w:w="4248" w:type="dxa"/>
          </w:tcPr>
          <w:p w:rsidR="00085093" w:rsidRPr="00DB2F15" w:rsidP="000B6815" w14:paraId="6006AD7A" w14:textId="77777777">
            <w:pPr>
              <w:tabs>
                <w:tab w:val="center" w:pos="4680"/>
              </w:tabs>
              <w:suppressAutoHyphens/>
              <w:rPr>
                <w:spacing w:val="-2"/>
              </w:rPr>
            </w:pPr>
          </w:p>
          <w:p w:rsidR="00085093" w:rsidRPr="00DB2F15" w:rsidP="000B6815" w14:paraId="7B3A09B1" w14:textId="77777777">
            <w:pPr>
              <w:pStyle w:val="TOAHeading"/>
              <w:tabs>
                <w:tab w:val="center" w:pos="4680"/>
                <w:tab w:val="clear" w:pos="9360"/>
              </w:tabs>
              <w:rPr>
                <w:spacing w:val="-2"/>
              </w:rPr>
            </w:pPr>
          </w:p>
          <w:p w:rsidR="00085093" w:rsidRPr="00DB2F15" w:rsidP="000B6815" w14:paraId="7C92CC79" w14:textId="77777777">
            <w:pPr>
              <w:tabs>
                <w:tab w:val="center" w:pos="4680"/>
              </w:tabs>
              <w:suppressAutoHyphens/>
              <w:rPr>
                <w:spacing w:val="-2"/>
              </w:rPr>
            </w:pPr>
            <w:r w:rsidRPr="00DB2F15">
              <w:rPr>
                <w:spacing w:val="-2"/>
              </w:rPr>
              <w:t>CG Docket No. 20-158</w:t>
            </w:r>
          </w:p>
        </w:tc>
      </w:tr>
    </w:tbl>
    <w:p w:rsidR="00085093" w:rsidP="00085093" w14:paraId="7926F2CF" w14:textId="77777777"/>
    <w:p w:rsidR="00085093" w:rsidP="00085093" w14:paraId="663DEFA0" w14:textId="77777777">
      <w:pPr>
        <w:pStyle w:val="StyleBoldCentered"/>
      </w:pPr>
      <w:r>
        <w:t>ORDER</w:t>
      </w:r>
    </w:p>
    <w:p w:rsidR="00085093" w:rsidP="00085093" w14:paraId="711EB3D9" w14:textId="77777777">
      <w:pPr>
        <w:tabs>
          <w:tab w:val="left" w:pos="-720"/>
        </w:tabs>
        <w:suppressAutoHyphens/>
        <w:spacing w:line="227" w:lineRule="auto"/>
        <w:rPr>
          <w:spacing w:val="-2"/>
        </w:rPr>
      </w:pPr>
    </w:p>
    <w:p w:rsidR="00085093" w:rsidP="00085093" w14:paraId="41E68D29" w14:textId="6D2CD27C">
      <w:pPr>
        <w:tabs>
          <w:tab w:val="left" w:pos="720"/>
          <w:tab w:val="right" w:pos="9360"/>
        </w:tabs>
        <w:suppressAutoHyphens/>
        <w:spacing w:line="227" w:lineRule="auto"/>
        <w:rPr>
          <w:spacing w:val="-2"/>
        </w:rPr>
      </w:pPr>
      <w:r>
        <w:rPr>
          <w:b/>
          <w:spacing w:val="-2"/>
        </w:rPr>
        <w:t xml:space="preserve">Adopted:  October </w:t>
      </w:r>
      <w:r w:rsidR="009154BD">
        <w:rPr>
          <w:b/>
          <w:spacing w:val="-2"/>
        </w:rPr>
        <w:t>6</w:t>
      </w:r>
      <w:r>
        <w:rPr>
          <w:b/>
          <w:spacing w:val="-2"/>
        </w:rPr>
        <w:t>, 2021</w:t>
      </w:r>
      <w:r>
        <w:rPr>
          <w:b/>
          <w:spacing w:val="-2"/>
        </w:rPr>
        <w:tab/>
        <w:t xml:space="preserve">Released:  October </w:t>
      </w:r>
      <w:r w:rsidR="009154BD">
        <w:rPr>
          <w:b/>
          <w:spacing w:val="-2"/>
        </w:rPr>
        <w:t>6</w:t>
      </w:r>
      <w:r>
        <w:rPr>
          <w:b/>
          <w:spacing w:val="-2"/>
        </w:rPr>
        <w:t>, 2021</w:t>
      </w:r>
    </w:p>
    <w:p w:rsidR="00085093" w:rsidP="00085093" w14:paraId="44C22527" w14:textId="77777777"/>
    <w:p w:rsidR="00085093" w:rsidP="00085093" w14:paraId="6718190A" w14:textId="77777777">
      <w:pPr>
        <w:rPr>
          <w:spacing w:val="-2"/>
        </w:rPr>
      </w:pPr>
      <w:r>
        <w:t xml:space="preserve">By the </w:t>
      </w:r>
      <w:r>
        <w:rPr>
          <w:spacing w:val="-2"/>
        </w:rPr>
        <w:t>Chiefs, Consumer &amp; Governmental Affairs Bureau and Media Bureau:</w:t>
      </w:r>
    </w:p>
    <w:p w:rsidR="00085093" w:rsidP="00085093" w14:paraId="2285869A" w14:textId="77777777">
      <w:pPr>
        <w:rPr>
          <w:spacing w:val="-2"/>
        </w:rPr>
      </w:pPr>
    </w:p>
    <w:p w:rsidR="00085093" w:rsidP="00085093" w14:paraId="77897FFC" w14:textId="77777777"/>
    <w:p w:rsidR="00085093" w:rsidP="00085093" w14:paraId="70FFCFAB" w14:textId="77777777">
      <w:pPr>
        <w:pStyle w:val="Heading1"/>
      </w:pPr>
      <w:r>
        <w:t>INTRODUCTION</w:t>
      </w:r>
    </w:p>
    <w:p w:rsidR="00085093" w:rsidP="00085093" w14:paraId="20CECD55" w14:textId="77777777">
      <w:pPr>
        <w:pStyle w:val="ParaNum"/>
      </w:pPr>
      <w:r>
        <w:t xml:space="preserve">In this Order, the Consumer and Governmental Affairs Bureau (Bureau or CGB) and the Media Bureau dismiss as moot a petition filed by KSQA, LLC (KSQA) seeking reconsideration of the Bureau’s decision in the </w:t>
      </w:r>
      <w:r w:rsidRPr="00D771D6">
        <w:rPr>
          <w:i/>
          <w:iCs/>
        </w:rPr>
        <w:t>Eighth</w:t>
      </w:r>
      <w:r w:rsidRPr="004B67A0">
        <w:rPr>
          <w:i/>
          <w:iCs/>
        </w:rPr>
        <w:t xml:space="preserve"> Dormant Proceedings Termination</w:t>
      </w:r>
      <w:r>
        <w:rPr>
          <w:i/>
          <w:iCs/>
        </w:rPr>
        <w:t xml:space="preserve"> Order </w:t>
      </w:r>
      <w:r>
        <w:t>to terminate MB Docket No. 15-11.</w:t>
      </w:r>
    </w:p>
    <w:p w:rsidR="00085093" w:rsidRPr="009B59BE" w:rsidP="00085093" w14:paraId="38A7F33F" w14:textId="77777777">
      <w:pPr>
        <w:pStyle w:val="ParaNum"/>
      </w:pPr>
      <w:r>
        <w:t>Nearly a decade ago, the Commission adopted the dormant dockets termination process to efficiently manage its proceedings.</w:t>
      </w:r>
      <w:r>
        <w:rPr>
          <w:rStyle w:val="FootnoteReference"/>
        </w:rPr>
        <w:footnoteReference w:id="3"/>
      </w:r>
      <w:r>
        <w:t xml:space="preserve">  The process outlines procedures whereby CGB may terminate dockets subject to a specified notice and comment procedure.</w:t>
      </w:r>
      <w:r>
        <w:rPr>
          <w:rStyle w:val="FootnoteReference"/>
        </w:rPr>
        <w:footnoteReference w:id="4"/>
      </w:r>
      <w:r>
        <w:t xml:space="preserve">  In identifying which proceedings may be terminated, the Commission found that, “. . . dockets in which no pleadings or other documents have been filed for several years” would be eligible for termination.</w:t>
      </w:r>
      <w:r>
        <w:rPr>
          <w:rStyle w:val="FootnoteReference"/>
        </w:rPr>
        <w:footnoteReference w:id="5"/>
      </w:r>
      <w:r>
        <w:t xml:space="preserve">  In the instant case, pursuant to its authority, the Bureau announced its intention to terminate MB Docket No. 15-11, a docket in which no party had filed any pleadings since 2015.  Because no party raised an objection to its termination, the Bureau terminated the docket on September 28, 2020.  KSQA filed a petition for reconsideration of this determination, arguing that it was not aware of the Bureau’s intent to terminate the docket and that the docket should not be closed.  </w:t>
      </w:r>
      <w:r w:rsidRPr="003D2FEB">
        <w:t xml:space="preserve">We dismiss </w:t>
      </w:r>
      <w:r>
        <w:t>the petition</w:t>
      </w:r>
      <w:r w:rsidRPr="003D2FEB">
        <w:t xml:space="preserve"> as</w:t>
      </w:r>
      <w:r>
        <w:t xml:space="preserve"> moot.</w:t>
      </w:r>
    </w:p>
    <w:p w:rsidR="00085093" w:rsidP="00085093" w14:paraId="1E2B88A9" w14:textId="77777777">
      <w:pPr>
        <w:pStyle w:val="Heading1"/>
      </w:pPr>
      <w:r>
        <w:t>Background</w:t>
      </w:r>
    </w:p>
    <w:p w:rsidR="00085093" w:rsidP="00085093" w14:paraId="07268DE5" w14:textId="77777777">
      <w:pPr>
        <w:pStyle w:val="ParaNum"/>
      </w:pPr>
      <w:r>
        <w:t xml:space="preserve">On </w:t>
      </w:r>
      <w:r w:rsidRPr="00D771D6">
        <w:t>February 4, 2011</w:t>
      </w:r>
      <w:r>
        <w:t xml:space="preserve">, the Commission released a Report and Order that, </w:t>
      </w:r>
      <w:r w:rsidRPr="00846E30">
        <w:rPr>
          <w:i/>
          <w:iCs/>
        </w:rPr>
        <w:t>inter alia,</w:t>
      </w:r>
      <w:r>
        <w:t xml:space="preserve"> amended Section 0.141 of the Commission’s organizational rules to delegate authority to the Consumer and Governmental Affairs Bureau Chief to conduct a periodic review of all open dockets with the objective of terminating those that were inactive.</w:t>
      </w:r>
      <w:r>
        <w:rPr>
          <w:rStyle w:val="FootnoteReference"/>
          <w:szCs w:val="22"/>
        </w:rPr>
        <w:footnoteReference w:id="6"/>
      </w:r>
      <w:r>
        <w:t xml:space="preserve">  </w:t>
      </w:r>
      <w:bookmarkStart w:id="0" w:name="_Hlk62632554"/>
      <w:r>
        <w:t>The Commission stated that termination of such proceedings also would include the dismissal as moot of any pending petition, motion, or other request for relief in the terminated proceeding that was procedural in nature or otherwise did not address the merits of the proceeding.</w:t>
      </w:r>
      <w:r>
        <w:rPr>
          <w:rStyle w:val="FootnoteReference"/>
          <w:szCs w:val="22"/>
        </w:rPr>
        <w:footnoteReference w:id="7"/>
      </w:r>
      <w:r>
        <w:t xml:space="preserve">  </w:t>
      </w:r>
      <w:bookmarkEnd w:id="0"/>
    </w:p>
    <w:p w:rsidR="00085093" w:rsidP="00085093" w14:paraId="6D1E3D24" w14:textId="77777777">
      <w:pPr>
        <w:pStyle w:val="ParaNum"/>
      </w:pPr>
      <w:r w:rsidRPr="00807C36">
        <w:t>On June 2, 2020</w:t>
      </w:r>
      <w:r>
        <w:t xml:space="preserve">, CGB released the </w:t>
      </w:r>
      <w:r w:rsidRPr="00D771D6">
        <w:rPr>
          <w:i/>
          <w:iCs/>
        </w:rPr>
        <w:t>Eighth</w:t>
      </w:r>
      <w:r w:rsidRPr="004B67A0">
        <w:rPr>
          <w:i/>
          <w:iCs/>
        </w:rPr>
        <w:t xml:space="preserve"> Dormant Proceedings Termination Public </w:t>
      </w:r>
      <w:r w:rsidRPr="004B67A0">
        <w:rPr>
          <w:i/>
          <w:iCs/>
        </w:rPr>
        <w:t>Notice</w:t>
      </w:r>
      <w:r>
        <w:t>,</w:t>
      </w:r>
      <w:r w:rsidRPr="004B67A0">
        <w:rPr>
          <w:i/>
          <w:iCs/>
        </w:rPr>
        <w:t xml:space="preserve"> </w:t>
      </w:r>
      <w:r>
        <w:t>with comments and reply comments due 30 and 45 days after date of publication in the Federal Register.</w:t>
      </w:r>
      <w:r>
        <w:rPr>
          <w:rStyle w:val="FootnoteReference"/>
        </w:rPr>
        <w:footnoteReference w:id="8"/>
      </w:r>
      <w:r>
        <w:t xml:space="preserve">  Among the designated dockets to be terminated was MB Docket No. 15-11.</w:t>
      </w:r>
      <w:r>
        <w:rPr>
          <w:rStyle w:val="FootnoteReference"/>
        </w:rPr>
        <w:footnoteReference w:id="9"/>
      </w:r>
      <w:r>
        <w:t xml:space="preserve">  On July 6, 2020, the Federal Register published the </w:t>
      </w:r>
      <w:r w:rsidRPr="002C4743">
        <w:rPr>
          <w:i/>
          <w:iCs/>
        </w:rPr>
        <w:t>Eight</w:t>
      </w:r>
      <w:r>
        <w:rPr>
          <w:i/>
          <w:iCs/>
        </w:rPr>
        <w:t>h</w:t>
      </w:r>
      <w:r w:rsidRPr="002C4743">
        <w:rPr>
          <w:i/>
          <w:iCs/>
        </w:rPr>
        <w:t xml:space="preserve"> Dormant </w:t>
      </w:r>
      <w:r w:rsidRPr="00EA4E63">
        <w:rPr>
          <w:i/>
          <w:iCs/>
        </w:rPr>
        <w:t>Proceedings Termination Public Notice</w:t>
      </w:r>
      <w:r w:rsidRPr="00EA4E63">
        <w:t>.</w:t>
      </w:r>
      <w:r>
        <w:rPr>
          <w:rStyle w:val="FootnoteReference"/>
        </w:rPr>
        <w:footnoteReference w:id="10"/>
      </w:r>
      <w:r w:rsidRPr="00EA4E63">
        <w:t xml:space="preserve">  As a result, comments were due on August 5, 2020 and reply commenters were due on August 20, 2020.</w:t>
      </w:r>
      <w:r>
        <w:rPr>
          <w:rStyle w:val="FootnoteReference"/>
        </w:rPr>
        <w:footnoteReference w:id="11"/>
      </w:r>
      <w:r w:rsidRPr="00EA4E63">
        <w:t xml:space="preserve">  In response to the </w:t>
      </w:r>
      <w:r w:rsidRPr="00EA4E63">
        <w:rPr>
          <w:i/>
          <w:iCs/>
        </w:rPr>
        <w:t>Eighth Dormant Proceedings Termination Public Notice</w:t>
      </w:r>
      <w:r w:rsidRPr="00EA4E63">
        <w:t>, we received six Oppositions and one comment.</w:t>
      </w:r>
      <w:r>
        <w:t xml:space="preserve">  KSQA did not object to the dismissal of MB Docket No. 15-11, nor did any other party.  As a result, in the </w:t>
      </w:r>
      <w:r w:rsidRPr="002C4743">
        <w:rPr>
          <w:i/>
          <w:iCs/>
        </w:rPr>
        <w:t>Eight</w:t>
      </w:r>
      <w:r>
        <w:rPr>
          <w:i/>
          <w:iCs/>
        </w:rPr>
        <w:t>h</w:t>
      </w:r>
      <w:r w:rsidRPr="002C4743">
        <w:rPr>
          <w:i/>
          <w:iCs/>
        </w:rPr>
        <w:t xml:space="preserve"> Dormant </w:t>
      </w:r>
      <w:r w:rsidRPr="00EA4E63">
        <w:rPr>
          <w:i/>
          <w:iCs/>
        </w:rPr>
        <w:t>Proceedings Termination</w:t>
      </w:r>
      <w:r>
        <w:rPr>
          <w:i/>
          <w:iCs/>
        </w:rPr>
        <w:t xml:space="preserve"> Order</w:t>
      </w:r>
      <w:r>
        <w:t>, we terminated as dormant MB Docket No. 15-11.</w:t>
      </w:r>
      <w:r>
        <w:rPr>
          <w:rStyle w:val="FootnoteReference"/>
        </w:rPr>
        <w:footnoteReference w:id="12"/>
      </w:r>
      <w:r>
        <w:t xml:space="preserve">  The </w:t>
      </w:r>
      <w:r w:rsidRPr="002C4743">
        <w:rPr>
          <w:i/>
          <w:iCs/>
        </w:rPr>
        <w:t>Eight</w:t>
      </w:r>
      <w:r>
        <w:rPr>
          <w:i/>
          <w:iCs/>
        </w:rPr>
        <w:t>h</w:t>
      </w:r>
      <w:r w:rsidRPr="002C4743">
        <w:rPr>
          <w:i/>
          <w:iCs/>
        </w:rPr>
        <w:t xml:space="preserve"> Dormant </w:t>
      </w:r>
      <w:r w:rsidRPr="00EA4E63">
        <w:rPr>
          <w:i/>
          <w:iCs/>
        </w:rPr>
        <w:t>Proceedings Termination</w:t>
      </w:r>
      <w:r>
        <w:rPr>
          <w:i/>
          <w:iCs/>
        </w:rPr>
        <w:t xml:space="preserve"> Order </w:t>
      </w:r>
      <w:r>
        <w:t>was published in the Federal Register on October 27, 2020.</w:t>
      </w:r>
      <w:r>
        <w:rPr>
          <w:rStyle w:val="FootnoteReference"/>
        </w:rPr>
        <w:footnoteReference w:id="13"/>
      </w:r>
    </w:p>
    <w:p w:rsidR="00085093" w:rsidP="00085093" w14:paraId="3C1C7BB3" w14:textId="77777777">
      <w:pPr>
        <w:pStyle w:val="ParaNum"/>
      </w:pPr>
      <w:r>
        <w:t>On November 19, 2020, KSQA filed a revised petition for reconsideration (Petition) seeking to reopen MB Docket No. 15-11.</w:t>
      </w:r>
      <w:r>
        <w:rPr>
          <w:rStyle w:val="FootnoteReference"/>
        </w:rPr>
        <w:footnoteReference w:id="14"/>
      </w:r>
      <w:r>
        <w:t xml:space="preserve">  In its Petition, KSQA argues that it was not provided proper notice of the pending termination and that the proceeding involves an active dispute and should not have been terminated as dormant.  We received one opposition to the Petition, filed by DIRECTV, LLC (DIRECTV).</w:t>
      </w:r>
      <w:r>
        <w:rPr>
          <w:rStyle w:val="FootnoteReference"/>
        </w:rPr>
        <w:footnoteReference w:id="15"/>
      </w:r>
      <w:r>
        <w:t xml:space="preserve">  KSQA responded to DIRECTV’s opposition on December 15.</w:t>
      </w:r>
      <w:r>
        <w:rPr>
          <w:rStyle w:val="FootnoteReference"/>
        </w:rPr>
        <w:footnoteReference w:id="16"/>
      </w:r>
    </w:p>
    <w:p w:rsidR="00085093" w:rsidP="00085093" w14:paraId="2BC251FA" w14:textId="77777777">
      <w:pPr>
        <w:pStyle w:val="Heading1"/>
      </w:pPr>
      <w:r>
        <w:t>discussion</w:t>
      </w:r>
    </w:p>
    <w:p w:rsidR="00085093" w:rsidP="00085093" w14:paraId="58CFB664" w14:textId="77777777">
      <w:pPr>
        <w:pStyle w:val="Heading2"/>
      </w:pPr>
      <w:r>
        <w:t>KSQA’s Petition for Reconsideration is Procedurally Improper</w:t>
      </w:r>
    </w:p>
    <w:p w:rsidR="00085093" w:rsidP="00085093" w14:paraId="3394FA9D" w14:textId="77777777">
      <w:pPr>
        <w:pStyle w:val="ParaNum"/>
      </w:pPr>
      <w:r>
        <w:t xml:space="preserve">We dismiss KSQA’s petition for reconsideration as moot.  </w:t>
      </w:r>
      <w:r w:rsidRPr="003D2FEB">
        <w:t>Pursuant to section 1.429 of the Commission’s rules, parties may petition for reconsideration of final orders in a rulemaking proceeding.</w:t>
      </w:r>
      <w:r>
        <w:rPr>
          <w:rStyle w:val="FootnoteReference"/>
          <w:szCs w:val="22"/>
        </w:rPr>
        <w:footnoteReference w:id="17"/>
      </w:r>
      <w:r w:rsidRPr="003D2FEB">
        <w:t xml:space="preserve">  </w:t>
      </w:r>
      <w:r>
        <w:t>However, the Bureau may dismiss petitions for reconsideration that “plainly do not warrant consideration by the Commission.”</w:t>
      </w:r>
      <w:r>
        <w:rPr>
          <w:rStyle w:val="FootnoteReference"/>
        </w:rPr>
        <w:footnoteReference w:id="18"/>
      </w:r>
    </w:p>
    <w:p w:rsidR="00085093" w:rsidP="00085093" w14:paraId="755F1C2B" w14:textId="77777777">
      <w:pPr>
        <w:pStyle w:val="ParaNum"/>
        <w:rPr>
          <w:kern w:val="0"/>
        </w:rPr>
      </w:pPr>
      <w:r>
        <w:t>Because the underlying complaint at issue in KSQA’s petition for reconsideration pertained to the 2015-2017 election cycle for satellite carriage of television stations and this election cycle has now passed, this is no longer a live controversy.</w:t>
      </w:r>
      <w:r>
        <w:rPr>
          <w:rStyle w:val="FootnoteReference"/>
        </w:rPr>
        <w:footnoteReference w:id="19"/>
      </w:r>
      <w:r>
        <w:t xml:space="preserve">  Under the Commission’s rules, commercial </w:t>
      </w:r>
      <w:r>
        <w:t>television stations are required to make a new carriage election every three years.</w:t>
      </w:r>
      <w:r>
        <w:rPr>
          <w:rStyle w:val="FootnoteReference"/>
        </w:rPr>
        <w:footnoteReference w:id="20"/>
      </w:r>
      <w:r>
        <w:t xml:space="preserve">  Carriage elections and change notices for the current election cycle were due by October 1, 2020 and required the use of the new election procedures adopted in the </w:t>
      </w:r>
      <w:r>
        <w:rPr>
          <w:i/>
          <w:iCs/>
        </w:rPr>
        <w:t>Electronic Delivery Report and Order.</w:t>
      </w:r>
      <w:r>
        <w:rPr>
          <w:rStyle w:val="FootnoteReference"/>
        </w:rPr>
        <w:footnoteReference w:id="21"/>
      </w:r>
      <w:r>
        <w:rPr>
          <w:i/>
          <w:iCs/>
        </w:rPr>
        <w:t xml:space="preserve">  </w:t>
      </w:r>
      <w:r>
        <w:t>Any claim KSQA has with respect to the current election cycle (2021-23) will require the filing of a new complaint pertaining to that cycle.  We therefore agree with DIRECTV that KSQA’s underlying complaint in MB Docket No. 15-11 is moot.</w:t>
      </w:r>
      <w:r>
        <w:rPr>
          <w:rStyle w:val="FootnoteReference"/>
        </w:rPr>
        <w:footnoteReference w:id="22"/>
      </w:r>
    </w:p>
    <w:p w:rsidR="00085093" w:rsidP="00085093" w14:paraId="5CC8943B" w14:textId="77777777">
      <w:pPr>
        <w:pStyle w:val="ParaNum"/>
      </w:pPr>
      <w:r w:rsidRPr="00AD36DE">
        <w:t>Because we find the underlying complaint at issue in KSQA’s Petition to be moot, we do not reach the merits of the underlying complaint, nor do we decide other issues raised in the Petition.</w:t>
      </w:r>
      <w:r>
        <w:rPr>
          <w:rStyle w:val="FootnoteReference"/>
        </w:rPr>
        <w:footnoteReference w:id="23"/>
      </w:r>
      <w:r w:rsidRPr="00AD36DE">
        <w:t xml:space="preserve">  For instance, we do not resolve KSQA’s argument that it did not receive adequate notice that the relevant docket would be terminated as dormant.  Even if that argument were meritorious, it would have no bearing on our independent determination that the underlying complaint was no longer a live controversy when the docket was terminated, and hence termination of the docket was appropriate, and the Petition should be dismissed under section 1.429 or 1.106 for that reason. We disagree with KSQA’s argument that MB Docket No. 15-11 must remain open because there is an ongoing dispute.</w:t>
      </w:r>
      <w:r>
        <w:rPr>
          <w:rStyle w:val="FootnoteReference"/>
        </w:rPr>
        <w:footnoteReference w:id="24"/>
      </w:r>
      <w:r w:rsidRPr="00AD36DE">
        <w:t xml:space="preserve">  While KSQA may believe that the underlying dispute raised in its complaint is ongoing</w:t>
      </w:r>
      <w:r>
        <w:t>,</w:t>
      </w:r>
      <w:r>
        <w:rPr>
          <w:rStyle w:val="FootnoteReference"/>
        </w:rPr>
        <w:footnoteReference w:id="25"/>
      </w:r>
      <w:r>
        <w:t xml:space="preserve"> the expiration of the 2015-2017 election cycle means that the complaint is nevertheless moot.  </w:t>
      </w:r>
    </w:p>
    <w:p w:rsidR="00085093" w:rsidP="00085093" w14:paraId="15EB89F5" w14:textId="77777777">
      <w:pPr>
        <w:pStyle w:val="Heading1"/>
      </w:pPr>
      <w:r>
        <w:t>ordering clauses</w:t>
      </w:r>
    </w:p>
    <w:p w:rsidR="00085093" w:rsidRPr="00D63DBB" w:rsidP="00085093" w14:paraId="08182C69" w14:textId="77777777">
      <w:pPr>
        <w:pStyle w:val="ParaNum"/>
        <w:rPr>
          <w:caps/>
        </w:rPr>
      </w:pPr>
      <w:r w:rsidRPr="00D63DBB">
        <w:t>Accordingly, IT IS ORDERED that, pursuant to the authority contained in Sections 4(</w:t>
      </w:r>
      <w:r w:rsidRPr="00D63DBB">
        <w:t>i</w:t>
      </w:r>
      <w:r w:rsidRPr="00D63DBB">
        <w:t>), 4(j) and 405 of the Communications Act, 47 U.S.C. Sections 154(</w:t>
      </w:r>
      <w:r w:rsidRPr="00D63DBB">
        <w:t>i</w:t>
      </w:r>
      <w:r w:rsidRPr="00D63DBB">
        <w:t>), 154(j), and 405, and sections 1.106 and 1.429 of the Commission’s rules, 47 CFR §§ 1.106; 1.429, and authority delegated by sections 0.141 and 0.361 of the Commission’s rules, 47 CFR §§ 0.141, 0.361, the Petition for Reconsideration filed by KSQA, LLC on November 19, 2020, IS DISMISSED.</w:t>
      </w:r>
    </w:p>
    <w:p w:rsidR="00085093" w:rsidRPr="00D63DBB" w:rsidP="00085093" w14:paraId="226C78A9" w14:textId="77777777">
      <w:pPr>
        <w:pStyle w:val="ParaNum"/>
        <w:rPr>
          <w:caps/>
        </w:rPr>
      </w:pPr>
      <w:r w:rsidRPr="00D63DBB">
        <w:t>IT IS FURTHER ORDERED that this Order is EFFECTIVE UPON RELEASE.</w:t>
      </w:r>
    </w:p>
    <w:p w:rsidR="00085093" w:rsidP="00085093" w14:paraId="365DADEF" w14:textId="77777777">
      <w:pPr>
        <w:pStyle w:val="ParaNum"/>
        <w:numPr>
          <w:ilvl w:val="0"/>
          <w:numId w:val="0"/>
        </w:numPr>
        <w:ind w:firstLine="720"/>
      </w:pPr>
    </w:p>
    <w:p w:rsidR="00085093" w:rsidP="00085093" w14:paraId="42E668B0" w14:textId="77777777">
      <w:pPr>
        <w:pStyle w:val="ParaNum"/>
        <w:numPr>
          <w:ilvl w:val="0"/>
          <w:numId w:val="0"/>
        </w:numPr>
        <w:ind w:left="3600" w:firstLine="720"/>
      </w:pPr>
      <w:r>
        <w:t>FEDERAL COMMUNICATIONS COMMISSION</w:t>
      </w:r>
    </w:p>
    <w:p w:rsidR="00085093" w:rsidP="00085093" w14:paraId="1C4B10FD" w14:textId="77777777">
      <w:pPr>
        <w:pStyle w:val="ParaNum"/>
        <w:numPr>
          <w:ilvl w:val="0"/>
          <w:numId w:val="0"/>
        </w:numPr>
        <w:ind w:left="3600" w:firstLine="720"/>
      </w:pPr>
    </w:p>
    <w:p w:rsidR="00085093" w:rsidP="00085093" w14:paraId="06D786B7" w14:textId="77777777">
      <w:pPr>
        <w:pStyle w:val="ParaNum"/>
        <w:numPr>
          <w:ilvl w:val="0"/>
          <w:numId w:val="0"/>
        </w:numPr>
        <w:ind w:left="3600" w:firstLine="720"/>
      </w:pPr>
    </w:p>
    <w:p w:rsidR="00085093" w:rsidP="00085093" w14:paraId="1557D4ED" w14:textId="77777777">
      <w:pPr>
        <w:pStyle w:val="ParaNum"/>
        <w:numPr>
          <w:ilvl w:val="0"/>
          <w:numId w:val="0"/>
        </w:numPr>
        <w:spacing w:after="0"/>
        <w:ind w:left="3600" w:firstLine="720"/>
      </w:pPr>
      <w:r>
        <w:t>G. Patrick Webre,</w:t>
      </w:r>
    </w:p>
    <w:p w:rsidR="00085093" w:rsidP="00085093" w14:paraId="659055A5" w14:textId="77777777">
      <w:pPr>
        <w:pStyle w:val="ParaNum"/>
        <w:numPr>
          <w:ilvl w:val="0"/>
          <w:numId w:val="0"/>
        </w:numPr>
        <w:spacing w:after="0"/>
        <w:ind w:left="3600" w:firstLine="720"/>
      </w:pPr>
      <w:r>
        <w:t>Chief, Consumer &amp; Governmental Affairs Bureau</w:t>
      </w:r>
    </w:p>
    <w:p w:rsidR="00085093" w:rsidP="00085093" w14:paraId="6D329B11" w14:textId="77777777">
      <w:pPr>
        <w:pStyle w:val="ParaNum"/>
        <w:numPr>
          <w:ilvl w:val="0"/>
          <w:numId w:val="0"/>
        </w:numPr>
        <w:spacing w:after="0"/>
        <w:ind w:left="3600" w:firstLine="720"/>
      </w:pPr>
    </w:p>
    <w:p w:rsidR="00085093" w:rsidP="00085093" w14:paraId="4973CC3E" w14:textId="77777777">
      <w:pPr>
        <w:pStyle w:val="ParaNum"/>
        <w:numPr>
          <w:ilvl w:val="0"/>
          <w:numId w:val="0"/>
        </w:numPr>
        <w:spacing w:after="0"/>
        <w:ind w:left="3600" w:firstLine="720"/>
      </w:pPr>
    </w:p>
    <w:p w:rsidR="00085093" w:rsidP="00085093" w14:paraId="7A6F441B" w14:textId="77777777">
      <w:pPr>
        <w:pStyle w:val="ParaNum"/>
        <w:numPr>
          <w:ilvl w:val="0"/>
          <w:numId w:val="0"/>
        </w:numPr>
        <w:spacing w:after="0"/>
        <w:ind w:left="3600" w:firstLine="720"/>
      </w:pPr>
    </w:p>
    <w:p w:rsidR="00085093" w:rsidP="00085093" w14:paraId="1994BAFE" w14:textId="77777777">
      <w:pPr>
        <w:pStyle w:val="ParaNum"/>
        <w:numPr>
          <w:ilvl w:val="0"/>
          <w:numId w:val="0"/>
        </w:numPr>
        <w:spacing w:after="0"/>
        <w:ind w:left="3600" w:firstLine="720"/>
      </w:pPr>
    </w:p>
    <w:p w:rsidR="00085093" w:rsidP="00085093" w14:paraId="79D66D6C" w14:textId="77777777">
      <w:pPr>
        <w:pStyle w:val="ParaNum"/>
        <w:numPr>
          <w:ilvl w:val="0"/>
          <w:numId w:val="0"/>
        </w:numPr>
        <w:spacing w:after="0"/>
        <w:ind w:left="3600" w:firstLine="720"/>
      </w:pPr>
      <w:r>
        <w:t>Michelle M. Carey,</w:t>
      </w:r>
    </w:p>
    <w:p w:rsidR="00412FC5" w:rsidRPr="00085093" w:rsidP="00085093" w14:paraId="6931BF89" w14:textId="2AEFAF37">
      <w:pPr>
        <w:pStyle w:val="ParaNum"/>
        <w:numPr>
          <w:ilvl w:val="0"/>
          <w:numId w:val="0"/>
        </w:numPr>
        <w:spacing w:after="0"/>
        <w:ind w:left="3600" w:firstLine="720"/>
      </w:pPr>
      <w:r>
        <w:t>Chief, Media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2EB" w:rsidP="0055614C" w14:paraId="758B15CD" w14:textId="77777777">
    <w:pPr>
      <w:pStyle w:val="Footer"/>
      <w:framePr w:wrap="around" w:vAnchor="text" w:hAnchor="margin" w:xAlign="center" w:y="1"/>
    </w:pPr>
    <w:r>
      <w:fldChar w:fldCharType="begin"/>
    </w:r>
    <w:r>
      <w:instrText xml:space="preserve">PAGE  </w:instrText>
    </w:r>
    <w:r>
      <w:fldChar w:fldCharType="separate"/>
    </w:r>
    <w:r>
      <w:fldChar w:fldCharType="end"/>
    </w:r>
  </w:p>
  <w:p w:rsidR="008452EB" w14:paraId="73D0520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2EB" w14:paraId="6FA75DC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8452EB" w14:paraId="02C6791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2EB" w14:paraId="0FE280CD" w14:textId="439B07F9">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C5EF3" w14:paraId="4C4F34E6" w14:textId="77777777">
      <w:r>
        <w:separator/>
      </w:r>
    </w:p>
  </w:footnote>
  <w:footnote w:type="continuationSeparator" w:id="1">
    <w:p w:rsidR="00EC5EF3" w:rsidP="00C721AC" w14:paraId="2FB862F2" w14:textId="77777777">
      <w:pPr>
        <w:spacing w:before="120"/>
        <w:rPr>
          <w:sz w:val="20"/>
        </w:rPr>
      </w:pPr>
      <w:r>
        <w:rPr>
          <w:sz w:val="20"/>
        </w:rPr>
        <w:t xml:space="preserve">(Continued from previous page)  </w:t>
      </w:r>
      <w:r>
        <w:rPr>
          <w:sz w:val="20"/>
        </w:rPr>
        <w:separator/>
      </w:r>
    </w:p>
  </w:footnote>
  <w:footnote w:type="continuationNotice" w:id="2">
    <w:p w:rsidR="00EC5EF3" w:rsidP="00C721AC" w14:paraId="78384947" w14:textId="77777777">
      <w:pPr>
        <w:jc w:val="right"/>
        <w:rPr>
          <w:sz w:val="20"/>
        </w:rPr>
      </w:pPr>
      <w:r>
        <w:rPr>
          <w:sz w:val="20"/>
        </w:rPr>
        <w:t>(continued….)</w:t>
      </w:r>
    </w:p>
  </w:footnote>
  <w:footnote w:id="3">
    <w:p w:rsidR="00085093" w:rsidP="00085093" w14:paraId="1597563A" w14:textId="77777777">
      <w:pPr>
        <w:pStyle w:val="FootnoteText"/>
      </w:pPr>
      <w:r>
        <w:rPr>
          <w:rStyle w:val="FootnoteReference"/>
        </w:rPr>
        <w:footnoteRef/>
      </w:r>
      <w:r>
        <w:t xml:space="preserve"> </w:t>
      </w:r>
      <w:r>
        <w:rPr>
          <w:i/>
        </w:rPr>
        <w:t>Amendment of Certain of the Commission’s Part 1 Rules of Practice and Procedure and Part 0 Rules of Commission Organization</w:t>
      </w:r>
      <w:r>
        <w:t xml:space="preserve">, CG Docket No. 10-44, Report and Order, 26 FCC </w:t>
      </w:r>
      <w:r>
        <w:t>Rcd</w:t>
      </w:r>
      <w:r>
        <w:t xml:space="preserve"> 1594 (2011) (</w:t>
      </w:r>
      <w:r>
        <w:rPr>
          <w:i/>
        </w:rPr>
        <w:t>Procedure Order</w:t>
      </w:r>
      <w:r>
        <w:t>).</w:t>
      </w:r>
    </w:p>
  </w:footnote>
  <w:footnote w:id="4">
    <w:p w:rsidR="00085093" w:rsidP="00085093" w14:paraId="69D3A82A" w14:textId="77777777">
      <w:pPr>
        <w:pStyle w:val="FootnoteText"/>
      </w:pPr>
      <w:r>
        <w:rPr>
          <w:rStyle w:val="FootnoteReference"/>
        </w:rPr>
        <w:footnoteRef/>
      </w:r>
      <w:r>
        <w:t xml:space="preserve"> </w:t>
      </w:r>
      <w:r w:rsidRPr="0058266F">
        <w:rPr>
          <w:i/>
          <w:iCs/>
        </w:rPr>
        <w:t>Id</w:t>
      </w:r>
      <w:r>
        <w:t>. at 1604, para. 23.</w:t>
      </w:r>
    </w:p>
  </w:footnote>
  <w:footnote w:id="5">
    <w:p w:rsidR="00085093" w:rsidP="00085093" w14:paraId="77E73CD4" w14:textId="77777777">
      <w:pPr>
        <w:pStyle w:val="FootnoteText"/>
      </w:pPr>
      <w:r>
        <w:rPr>
          <w:rStyle w:val="FootnoteReference"/>
        </w:rPr>
        <w:footnoteRef/>
      </w:r>
      <w:r>
        <w:t xml:space="preserve"> </w:t>
      </w:r>
      <w:r w:rsidRPr="00ED5CA4">
        <w:rPr>
          <w:i/>
          <w:iCs/>
        </w:rPr>
        <w:t>Id</w:t>
      </w:r>
      <w:r>
        <w:t>.</w:t>
      </w:r>
    </w:p>
  </w:footnote>
  <w:footnote w:id="6">
    <w:p w:rsidR="00085093" w:rsidP="00085093" w14:paraId="7D158E98" w14:textId="77777777">
      <w:pPr>
        <w:pStyle w:val="FootnoteText"/>
      </w:pPr>
      <w:r>
        <w:rPr>
          <w:rStyle w:val="FootnoteReference"/>
        </w:rPr>
        <w:footnoteRef/>
      </w:r>
      <w:r>
        <w:t xml:space="preserve"> </w:t>
      </w:r>
      <w:r>
        <w:rPr>
          <w:i/>
        </w:rPr>
        <w:t>Id</w:t>
      </w:r>
      <w:r w:rsidRPr="0058266F">
        <w:rPr>
          <w:iCs/>
        </w:rPr>
        <w:t>.</w:t>
      </w:r>
      <w:r>
        <w:t xml:space="preserve">  </w:t>
      </w:r>
      <w:r w:rsidRPr="00230F29">
        <w:rPr>
          <w:i/>
          <w:iCs/>
        </w:rPr>
        <w:t>See also</w:t>
      </w:r>
      <w:r>
        <w:t xml:space="preserve"> 47 CFR 0.141(h).</w:t>
      </w:r>
    </w:p>
  </w:footnote>
  <w:footnote w:id="7">
    <w:p w:rsidR="00085093" w:rsidP="00085093" w14:paraId="3F0C478B" w14:textId="77777777">
      <w:pPr>
        <w:pStyle w:val="FootnoteText"/>
        <w:tabs>
          <w:tab w:val="center" w:pos="5400"/>
        </w:tabs>
      </w:pPr>
      <w:r>
        <w:rPr>
          <w:rStyle w:val="FootnoteReference"/>
        </w:rPr>
        <w:footnoteRef/>
      </w:r>
      <w:r>
        <w:t xml:space="preserve"> </w:t>
      </w:r>
      <w:r>
        <w:rPr>
          <w:i/>
        </w:rPr>
        <w:t>Id.</w:t>
      </w:r>
      <w:r>
        <w:t xml:space="preserve"> at 1604, para. 24.       </w:t>
      </w:r>
      <w:r>
        <w:tab/>
      </w:r>
    </w:p>
  </w:footnote>
  <w:footnote w:id="8">
    <w:p w:rsidR="00085093" w:rsidP="00085093" w14:paraId="55216FBE" w14:textId="77777777">
      <w:pPr>
        <w:pStyle w:val="FootnoteText"/>
      </w:pPr>
      <w:r>
        <w:rPr>
          <w:rStyle w:val="FootnoteReference"/>
        </w:rPr>
        <w:footnoteRef/>
      </w:r>
      <w:r>
        <w:t xml:space="preserve"> </w:t>
      </w:r>
      <w:r w:rsidRPr="005D5160">
        <w:rPr>
          <w:i/>
          <w:iCs/>
        </w:rPr>
        <w:t>See</w:t>
      </w:r>
      <w:r>
        <w:t xml:space="preserve"> </w:t>
      </w:r>
      <w:r w:rsidRPr="000533C2">
        <w:rPr>
          <w:i/>
          <w:iCs/>
        </w:rPr>
        <w:t>Eighth Dormant Proceedings Termination Public Notice</w:t>
      </w:r>
      <w:r>
        <w:t>.</w:t>
      </w:r>
    </w:p>
  </w:footnote>
  <w:footnote w:id="9">
    <w:p w:rsidR="00085093" w:rsidP="00085093" w14:paraId="7EC8BA77" w14:textId="77777777">
      <w:pPr>
        <w:pStyle w:val="FootnoteText"/>
      </w:pPr>
      <w:r>
        <w:rPr>
          <w:rStyle w:val="FootnoteReference"/>
        </w:rPr>
        <w:footnoteRef/>
      </w:r>
      <w:r>
        <w:t xml:space="preserve"> </w:t>
      </w:r>
      <w:r w:rsidRPr="00D21A6F">
        <w:rPr>
          <w:i/>
          <w:iCs/>
        </w:rPr>
        <w:t>See id</w:t>
      </w:r>
      <w:r>
        <w:t>. at App. A.</w:t>
      </w:r>
    </w:p>
  </w:footnote>
  <w:footnote w:id="10">
    <w:p w:rsidR="00085093" w:rsidP="00085093" w14:paraId="75A65D64" w14:textId="77777777">
      <w:pPr>
        <w:pStyle w:val="FootnoteText"/>
      </w:pPr>
      <w:r>
        <w:rPr>
          <w:rStyle w:val="FootnoteReference"/>
        </w:rPr>
        <w:footnoteRef/>
      </w:r>
      <w:r>
        <w:t xml:space="preserve"> Termination of Dormant Proceedings, </w:t>
      </w:r>
      <w:r w:rsidRPr="003D2DAA">
        <w:t>85 FR 40287</w:t>
      </w:r>
      <w:r>
        <w:t xml:space="preserve"> (Jul. 6, 2020).</w:t>
      </w:r>
    </w:p>
  </w:footnote>
  <w:footnote w:id="11">
    <w:p w:rsidR="00085093" w:rsidP="00085093" w14:paraId="0A59B067" w14:textId="77777777">
      <w:pPr>
        <w:pStyle w:val="FootnoteText"/>
      </w:pPr>
      <w:r>
        <w:rPr>
          <w:rStyle w:val="FootnoteReference"/>
        </w:rPr>
        <w:footnoteRef/>
      </w:r>
      <w:r>
        <w:t xml:space="preserve"> </w:t>
      </w:r>
      <w:r w:rsidRPr="00CC4541">
        <w:rPr>
          <w:i/>
          <w:iCs/>
        </w:rPr>
        <w:t>Id</w:t>
      </w:r>
      <w:r>
        <w:t>.</w:t>
      </w:r>
    </w:p>
  </w:footnote>
  <w:footnote w:id="12">
    <w:p w:rsidR="00085093" w:rsidP="00085093" w14:paraId="2DD128A0" w14:textId="77777777">
      <w:pPr>
        <w:pStyle w:val="FootnoteText"/>
      </w:pPr>
      <w:r>
        <w:rPr>
          <w:rStyle w:val="FootnoteReference"/>
        </w:rPr>
        <w:footnoteRef/>
      </w:r>
      <w:r>
        <w:t xml:space="preserve"> </w:t>
      </w:r>
      <w:r w:rsidRPr="00B524A2">
        <w:rPr>
          <w:i/>
        </w:rPr>
        <w:t>Termination of Certain Proceedings as Dormant</w:t>
      </w:r>
      <w:r>
        <w:t xml:space="preserve">, CG Docket No. 20-1138, Order, </w:t>
      </w:r>
      <w:r w:rsidRPr="00C0619E">
        <w:t xml:space="preserve">35 FCC </w:t>
      </w:r>
      <w:r w:rsidRPr="00C0619E">
        <w:t>Rcd</w:t>
      </w:r>
      <w:r w:rsidRPr="00C0619E">
        <w:t xml:space="preserve"> 10498</w:t>
      </w:r>
      <w:r>
        <w:t xml:space="preserve"> (2020) (</w:t>
      </w:r>
      <w:r w:rsidRPr="1EEB761B">
        <w:rPr>
          <w:i/>
          <w:iCs/>
        </w:rPr>
        <w:t>Eighth Dormant Proceedings Termination Order</w:t>
      </w:r>
      <w:r>
        <w:t>).</w:t>
      </w:r>
    </w:p>
  </w:footnote>
  <w:footnote w:id="13">
    <w:p w:rsidR="00085093" w:rsidP="00085093" w14:paraId="4C10475C" w14:textId="77777777">
      <w:pPr>
        <w:pStyle w:val="FootnoteText"/>
      </w:pPr>
      <w:r>
        <w:rPr>
          <w:rStyle w:val="FootnoteReference"/>
        </w:rPr>
        <w:footnoteRef/>
      </w:r>
      <w:r>
        <w:t xml:space="preserve"> Termination of Dormant Proceedings, </w:t>
      </w:r>
      <w:r w:rsidRPr="000F4693">
        <w:t>85 FR 68067</w:t>
      </w:r>
      <w:r>
        <w:t xml:space="preserve"> (Oct. 27, 2020).</w:t>
      </w:r>
    </w:p>
  </w:footnote>
  <w:footnote w:id="14">
    <w:p w:rsidR="00085093" w:rsidP="00085093" w14:paraId="278E67F8" w14:textId="77777777">
      <w:pPr>
        <w:pStyle w:val="FootnoteText"/>
      </w:pPr>
      <w:r>
        <w:rPr>
          <w:rStyle w:val="FootnoteReference"/>
        </w:rPr>
        <w:footnoteRef/>
      </w:r>
      <w:r>
        <w:t xml:space="preserve"> Revised Petition for Reconsideration of KSQA, LLC, CG Docket No. 20-158, MB Docket No. 15-11 (filed Nov. 19, 2020) (Petition).</w:t>
      </w:r>
    </w:p>
  </w:footnote>
  <w:footnote w:id="15">
    <w:p w:rsidR="00085093" w:rsidP="00085093" w14:paraId="1D375CE1" w14:textId="77777777">
      <w:pPr>
        <w:pStyle w:val="FootnoteText"/>
      </w:pPr>
      <w:r>
        <w:rPr>
          <w:rStyle w:val="FootnoteReference"/>
        </w:rPr>
        <w:footnoteRef/>
      </w:r>
      <w:r>
        <w:t xml:space="preserve"> Opposition of DIRECTV, LLC, CG Docket No. 20-158, MB Docket No. 15-11 (filed Dec. 3, 2020).</w:t>
      </w:r>
    </w:p>
  </w:footnote>
  <w:footnote w:id="16">
    <w:p w:rsidR="00085093" w:rsidP="00085093" w14:paraId="6FF2D7A9" w14:textId="77777777">
      <w:pPr>
        <w:pStyle w:val="FootnoteText"/>
      </w:pPr>
      <w:r>
        <w:rPr>
          <w:rStyle w:val="FootnoteReference"/>
        </w:rPr>
        <w:footnoteRef/>
      </w:r>
      <w:r>
        <w:t xml:space="preserve"> Reply to Opposition, CG Docket No. 20-158, MB Docket No. 15-11 (filed Dec. 15, 2020).</w:t>
      </w:r>
    </w:p>
  </w:footnote>
  <w:footnote w:id="17">
    <w:p w:rsidR="00085093" w:rsidP="00085093" w14:paraId="524869E0" w14:textId="77777777">
      <w:pPr>
        <w:pStyle w:val="FootnoteText"/>
        <w:widowControl w:val="0"/>
      </w:pPr>
      <w:r w:rsidRPr="003D2FEB">
        <w:rPr>
          <w:rStyle w:val="FootnoteReference"/>
        </w:rPr>
        <w:footnoteRef/>
      </w:r>
      <w:r w:rsidRPr="003D2FEB">
        <w:t xml:space="preserve"> 47 CFR § 1.429(a).</w:t>
      </w:r>
    </w:p>
  </w:footnote>
  <w:footnote w:id="18">
    <w:p w:rsidR="00085093" w:rsidP="00085093" w14:paraId="3F129D67" w14:textId="60612EDB">
      <w:pPr>
        <w:pStyle w:val="CommentText"/>
      </w:pPr>
      <w:r>
        <w:rPr>
          <w:rStyle w:val="FootnoteReference"/>
        </w:rPr>
        <w:footnoteRef/>
      </w:r>
      <w:r>
        <w:t xml:space="preserve"> 47 CFR § 1.429(l).  While KSQA filed the Petition under 47 CFR § 1.429, in an abundance of caution we dismiss the Petition under both 47 CFR § 1.429(l) (applicable to rulemakings) and 47 CFR § 1.106(p) (applicable to adjudications).  Under either rule, dismissal is warranted when a petition plainly does not warrant consideration.  </w:t>
      </w:r>
      <w:r w:rsidRPr="00AE7651">
        <w:rPr>
          <w:i/>
          <w:iCs/>
        </w:rPr>
        <w:t>See</w:t>
      </w:r>
      <w:r w:rsidRPr="00AE7651">
        <w:rPr>
          <w:rStyle w:val="Emphasis"/>
          <w:rFonts w:eastAsiaTheme="majorEastAsia"/>
          <w:color w:val="3D3D3D"/>
          <w:bdr w:val="none" w:sz="0" w:space="0" w:color="auto" w:frame="1"/>
          <w:shd w:val="clear" w:color="auto" w:fill="FFFFFF"/>
        </w:rPr>
        <w:t> </w:t>
      </w:r>
      <w:r w:rsidRPr="003E0BE8">
        <w:rPr>
          <w:rStyle w:val="Emphasis"/>
          <w:rFonts w:eastAsiaTheme="majorEastAsia"/>
          <w:bdr w:val="none" w:sz="0" w:space="0" w:color="auto" w:frame="1"/>
          <w:shd w:val="clear" w:color="auto" w:fill="FFFFFF"/>
        </w:rPr>
        <w:t>Amendment of Certain of the Commission's Part 1 Rules of Practice and Procedure and Part 0 Rules of Commission Organization</w:t>
      </w:r>
      <w:r w:rsidRPr="007E471F">
        <w:rPr>
          <w:rFonts w:eastAsiaTheme="majorEastAsia"/>
          <w:bdr w:val="none" w:sz="0" w:space="0" w:color="auto" w:frame="1"/>
          <w:shd w:val="clear" w:color="auto" w:fill="FFFFFF"/>
        </w:rPr>
        <w:t xml:space="preserve">, Report and Order, 26 FCC </w:t>
      </w:r>
      <w:r w:rsidRPr="007E471F">
        <w:rPr>
          <w:rFonts w:eastAsiaTheme="majorEastAsia"/>
          <w:bdr w:val="none" w:sz="0" w:space="0" w:color="auto" w:frame="1"/>
          <w:shd w:val="clear" w:color="auto" w:fill="FFFFFF"/>
        </w:rPr>
        <w:t>Rcd</w:t>
      </w:r>
      <w:r w:rsidRPr="007E471F">
        <w:rPr>
          <w:rFonts w:eastAsiaTheme="majorEastAsia"/>
          <w:bdr w:val="none" w:sz="0" w:space="0" w:color="auto" w:frame="1"/>
          <w:shd w:val="clear" w:color="auto" w:fill="FFFFFF"/>
        </w:rPr>
        <w:t xml:space="preserve"> 1594, 1606, para. 27 (2011)</w:t>
      </w:r>
      <w:r w:rsidR="007E471F">
        <w:rPr>
          <w:rStyle w:val="Hyperlink"/>
          <w:rFonts w:eastAsiaTheme="majorEastAsia"/>
          <w:color w:val="auto"/>
          <w:u w:val="none"/>
          <w:bdr w:val="none" w:sz="0" w:space="0" w:color="auto" w:frame="1"/>
          <w:shd w:val="clear" w:color="auto" w:fill="FFFFFF"/>
        </w:rPr>
        <w:t xml:space="preserve"> </w:t>
      </w:r>
      <w:r w:rsidRPr="00A966CB">
        <w:rPr>
          <w:shd w:val="clear" w:color="auto" w:fill="FFFFFF"/>
        </w:rPr>
        <w:t>(delegating to the relevant bureaus or offices the authority to dismiss or deny petitions for reconsideration of staff level decisions consistent with Sections 1.106(p) and 1.429(l)).</w:t>
      </w:r>
      <w:r w:rsidRPr="003E0BE8">
        <w:br/>
      </w:r>
    </w:p>
  </w:footnote>
  <w:footnote w:id="19">
    <w:p w:rsidR="00085093" w:rsidP="00085093" w14:paraId="482D48E4" w14:textId="77777777">
      <w:pPr>
        <w:pStyle w:val="FootnoteText"/>
      </w:pPr>
      <w:r>
        <w:rPr>
          <w:rStyle w:val="FootnoteReference"/>
        </w:rPr>
        <w:footnoteRef/>
      </w:r>
      <w:r>
        <w:t xml:space="preserve"> </w:t>
      </w:r>
      <w:r>
        <w:rPr>
          <w:i/>
          <w:iCs/>
        </w:rPr>
        <w:t>See Cable Television Company of Greater San Juan</w:t>
      </w:r>
      <w:r>
        <w:t xml:space="preserve">, 15 FCC </w:t>
      </w:r>
      <w:r>
        <w:t>Rcd</w:t>
      </w:r>
      <w:r>
        <w:t xml:space="preserve"> 4404, para. 9 (CSB, 2000); </w:t>
      </w:r>
      <w:r>
        <w:rPr>
          <w:i/>
          <w:iCs/>
        </w:rPr>
        <w:t>Minority Television Project, Inc</w:t>
      </w:r>
      <w:r>
        <w:t>., Order on Reconsideration, DA 20-1313, para. 7 (MB, 2020). </w:t>
      </w:r>
    </w:p>
  </w:footnote>
  <w:footnote w:id="20">
    <w:p w:rsidR="00085093" w:rsidP="00085093" w14:paraId="0C522FD1" w14:textId="77777777">
      <w:pPr>
        <w:pStyle w:val="FootnoteText"/>
      </w:pPr>
      <w:r>
        <w:rPr>
          <w:rStyle w:val="FootnoteReference"/>
        </w:rPr>
        <w:footnoteRef/>
      </w:r>
      <w:r>
        <w:t xml:space="preserve"> </w:t>
      </w:r>
      <w:r w:rsidRPr="003D2FEB">
        <w:t xml:space="preserve">47 CFR § </w:t>
      </w:r>
      <w:r>
        <w:t>76</w:t>
      </w:r>
      <w:r w:rsidRPr="003D2FEB">
        <w:t>.</w:t>
      </w:r>
      <w:r>
        <w:t>66</w:t>
      </w:r>
      <w:r w:rsidRPr="003D2FEB">
        <w:t>(</w:t>
      </w:r>
      <w:r>
        <w:t>c</w:t>
      </w:r>
      <w:r w:rsidRPr="003D2FEB">
        <w:t>)</w:t>
      </w:r>
      <w:r>
        <w:t>(2)</w:t>
      </w:r>
      <w:r w:rsidRPr="003D2FEB">
        <w:t>.</w:t>
      </w:r>
    </w:p>
  </w:footnote>
  <w:footnote w:id="21">
    <w:p w:rsidR="00085093" w:rsidP="00085093" w14:paraId="4801285C" w14:textId="77777777">
      <w:pPr>
        <w:pStyle w:val="FootnoteText"/>
      </w:pPr>
      <w:r>
        <w:rPr>
          <w:rStyle w:val="FootnoteReference"/>
        </w:rPr>
        <w:footnoteRef/>
      </w:r>
      <w:r>
        <w:t xml:space="preserve"> </w:t>
      </w:r>
      <w:r>
        <w:rPr>
          <w:i/>
          <w:iCs/>
        </w:rPr>
        <w:t>See Electronic Delivery of MVPD Communications; Modernization of Media Regulation Initiative</w:t>
      </w:r>
      <w:r>
        <w:t xml:space="preserve">, MB Docket Nos. 17-105 and 17-317, Report and Order and Further Notice of Proposed Rulemaking, 34 FCC </w:t>
      </w:r>
      <w:r>
        <w:t>Rcd</w:t>
      </w:r>
      <w:r>
        <w:t xml:space="preserve"> 5922 (2019). </w:t>
      </w:r>
    </w:p>
  </w:footnote>
  <w:footnote w:id="22">
    <w:p w:rsidR="00085093" w:rsidP="00085093" w14:paraId="6F763D8A" w14:textId="77777777">
      <w:pPr>
        <w:pStyle w:val="FootnoteText"/>
      </w:pPr>
      <w:r>
        <w:rPr>
          <w:rStyle w:val="FootnoteReference"/>
        </w:rPr>
        <w:footnoteRef/>
      </w:r>
      <w:r>
        <w:t xml:space="preserve"> </w:t>
      </w:r>
      <w:r w:rsidRPr="00F33217">
        <w:rPr>
          <w:i/>
          <w:iCs/>
        </w:rPr>
        <w:t>See</w:t>
      </w:r>
      <w:r>
        <w:t xml:space="preserve"> Opposition of DIRECTV, LLC at 1 (“There has been no activity in this docket since 2015 and KSQA’s mandatory carriage complaint against DIRECTV became moot on December 31, 2017—the end of the election cycle at issue in the Complaint.”)</w:t>
      </w:r>
    </w:p>
  </w:footnote>
  <w:footnote w:id="23">
    <w:p w:rsidR="00085093" w:rsidP="00085093" w14:paraId="2623DB75" w14:textId="77777777">
      <w:pPr>
        <w:pStyle w:val="FootnoteText"/>
      </w:pPr>
      <w:r>
        <w:rPr>
          <w:rStyle w:val="FootnoteReference"/>
        </w:rPr>
        <w:footnoteRef/>
      </w:r>
      <w:r>
        <w:t xml:space="preserve"> </w:t>
      </w:r>
      <w:r w:rsidRPr="008844FC">
        <w:rPr>
          <w:i/>
          <w:iCs/>
        </w:rPr>
        <w:t>See</w:t>
      </w:r>
      <w:r>
        <w:t xml:space="preserve"> Petition at 2-3.</w:t>
      </w:r>
    </w:p>
  </w:footnote>
  <w:footnote w:id="24">
    <w:p w:rsidR="00085093" w:rsidP="00085093" w14:paraId="48A6E8F3" w14:textId="77777777">
      <w:pPr>
        <w:pStyle w:val="FootnoteText"/>
      </w:pPr>
      <w:r>
        <w:rPr>
          <w:rStyle w:val="FootnoteReference"/>
        </w:rPr>
        <w:footnoteRef/>
      </w:r>
      <w:r>
        <w:t xml:space="preserve"> </w:t>
      </w:r>
      <w:r w:rsidRPr="00E46658">
        <w:rPr>
          <w:i/>
          <w:iCs/>
        </w:rPr>
        <w:t>See</w:t>
      </w:r>
      <w:r>
        <w:t xml:space="preserve"> KSQA Reply to Opposition at 2.</w:t>
      </w:r>
    </w:p>
  </w:footnote>
  <w:footnote w:id="25">
    <w:p w:rsidR="00085093" w:rsidP="00085093" w14:paraId="46439D20" w14:textId="77777777">
      <w:pPr>
        <w:pStyle w:val="FootnoteText"/>
      </w:pPr>
      <w:r>
        <w:rPr>
          <w:rStyle w:val="FootnoteReference"/>
        </w:rPr>
        <w:footnoteRef/>
      </w:r>
      <w:r>
        <w:t xml:space="preserve"> </w:t>
      </w:r>
      <w:r w:rsidRPr="0055015E">
        <w:rPr>
          <w:i/>
          <w:iCs/>
        </w:rPr>
        <w:t>See</w:t>
      </w:r>
      <w:r>
        <w:t xml:space="preserve"> KSQA Reply to Opposition at 2-3.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2EB" w:rsidP="00810B6F" w14:paraId="4276B0D4" w14:textId="600410D9">
    <w:pPr>
      <w:pStyle w:val="Header"/>
      <w:rPr>
        <w:b w:val="0"/>
      </w:rPr>
    </w:pPr>
    <w:r>
      <w:tab/>
      <w:t>Federal Communications Commission</w:t>
    </w:r>
    <w:r>
      <w:tab/>
      <w:t xml:space="preserve">DA </w:t>
    </w:r>
    <w:r w:rsidR="00A727BD">
      <w:t>21</w:t>
    </w:r>
    <w:r>
      <w:t>-</w:t>
    </w:r>
    <w:r w:rsidR="00A727BD">
      <w:t>1252</w:t>
    </w:r>
  </w:p>
  <w:p w:rsidR="008452EB" w14:paraId="5E6A97B2"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v:path arrowok="t"/>
              <w10:wrap anchorx="margin"/>
            </v:rect>
          </w:pict>
        </mc:Fallback>
      </mc:AlternateContent>
    </w:r>
  </w:p>
  <w:p w:rsidR="008452EB" w14:paraId="3A4A69F8"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52EB" w:rsidP="00810B6F" w14:paraId="28DE8549" w14:textId="277B4254">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v:path arrowok="t"/>
              <w10:wrap anchorx="margin"/>
            </v:rect>
          </w:pict>
        </mc:Fallback>
      </mc:AlternateContent>
    </w:r>
    <w:r>
      <w:tab/>
      <w:t>Federal Communications Commission</w:t>
    </w:r>
    <w:r>
      <w:tab/>
      <w:t xml:space="preserve">DA </w:t>
    </w:r>
    <w:r w:rsidR="00A727BD">
      <w:t>21</w:t>
    </w:r>
    <w:r>
      <w:t>-</w:t>
    </w:r>
    <w:r w:rsidR="00A727BD">
      <w:t>1252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EE9"/>
    <w:rsid w:val="00002C30"/>
    <w:rsid w:val="00011A33"/>
    <w:rsid w:val="00020112"/>
    <w:rsid w:val="00020432"/>
    <w:rsid w:val="000217A0"/>
    <w:rsid w:val="00022660"/>
    <w:rsid w:val="000229D4"/>
    <w:rsid w:val="000274F6"/>
    <w:rsid w:val="00027F01"/>
    <w:rsid w:val="000353D8"/>
    <w:rsid w:val="00036039"/>
    <w:rsid w:val="0003761D"/>
    <w:rsid w:val="00037950"/>
    <w:rsid w:val="00037F90"/>
    <w:rsid w:val="00040629"/>
    <w:rsid w:val="00040681"/>
    <w:rsid w:val="00041E07"/>
    <w:rsid w:val="0004235C"/>
    <w:rsid w:val="000447A3"/>
    <w:rsid w:val="00046256"/>
    <w:rsid w:val="00047BE9"/>
    <w:rsid w:val="00052653"/>
    <w:rsid w:val="000533C2"/>
    <w:rsid w:val="000565BA"/>
    <w:rsid w:val="00061D83"/>
    <w:rsid w:val="0006221B"/>
    <w:rsid w:val="00066E9A"/>
    <w:rsid w:val="00067F4B"/>
    <w:rsid w:val="00070691"/>
    <w:rsid w:val="000719A5"/>
    <w:rsid w:val="000758B4"/>
    <w:rsid w:val="00076861"/>
    <w:rsid w:val="00076FE6"/>
    <w:rsid w:val="000830C2"/>
    <w:rsid w:val="00085093"/>
    <w:rsid w:val="000875BF"/>
    <w:rsid w:val="000901CC"/>
    <w:rsid w:val="0009170E"/>
    <w:rsid w:val="00091920"/>
    <w:rsid w:val="000936F7"/>
    <w:rsid w:val="00096D8C"/>
    <w:rsid w:val="000A163D"/>
    <w:rsid w:val="000A2881"/>
    <w:rsid w:val="000A3346"/>
    <w:rsid w:val="000A5487"/>
    <w:rsid w:val="000B12A0"/>
    <w:rsid w:val="000B4DDA"/>
    <w:rsid w:val="000B6323"/>
    <w:rsid w:val="000B6815"/>
    <w:rsid w:val="000C0B65"/>
    <w:rsid w:val="000C1C0A"/>
    <w:rsid w:val="000C5FD0"/>
    <w:rsid w:val="000C6669"/>
    <w:rsid w:val="000D00E5"/>
    <w:rsid w:val="000D20DD"/>
    <w:rsid w:val="000D79BA"/>
    <w:rsid w:val="000E05FE"/>
    <w:rsid w:val="000E35E2"/>
    <w:rsid w:val="000E3D42"/>
    <w:rsid w:val="000E4B52"/>
    <w:rsid w:val="000F1456"/>
    <w:rsid w:val="000F4693"/>
    <w:rsid w:val="000F5EC5"/>
    <w:rsid w:val="001124EF"/>
    <w:rsid w:val="00115608"/>
    <w:rsid w:val="00115F01"/>
    <w:rsid w:val="00122BD5"/>
    <w:rsid w:val="001244F6"/>
    <w:rsid w:val="00126493"/>
    <w:rsid w:val="00126837"/>
    <w:rsid w:val="00131542"/>
    <w:rsid w:val="00131DDA"/>
    <w:rsid w:val="00133F79"/>
    <w:rsid w:val="00135C90"/>
    <w:rsid w:val="001407F7"/>
    <w:rsid w:val="0014343E"/>
    <w:rsid w:val="00144D7A"/>
    <w:rsid w:val="001600B0"/>
    <w:rsid w:val="00161957"/>
    <w:rsid w:val="0016571F"/>
    <w:rsid w:val="00167216"/>
    <w:rsid w:val="001673F7"/>
    <w:rsid w:val="001678AC"/>
    <w:rsid w:val="001829B1"/>
    <w:rsid w:val="00184A15"/>
    <w:rsid w:val="00186836"/>
    <w:rsid w:val="00193ABB"/>
    <w:rsid w:val="00194A66"/>
    <w:rsid w:val="001A0625"/>
    <w:rsid w:val="001A19B8"/>
    <w:rsid w:val="001A2661"/>
    <w:rsid w:val="001A28CC"/>
    <w:rsid w:val="001A47BF"/>
    <w:rsid w:val="001A4892"/>
    <w:rsid w:val="001B2863"/>
    <w:rsid w:val="001B2AC6"/>
    <w:rsid w:val="001B5D7D"/>
    <w:rsid w:val="001B6756"/>
    <w:rsid w:val="001C3FF4"/>
    <w:rsid w:val="001D4F96"/>
    <w:rsid w:val="001D57DB"/>
    <w:rsid w:val="001D6BCF"/>
    <w:rsid w:val="001E01CA"/>
    <w:rsid w:val="001E036F"/>
    <w:rsid w:val="001E0A9F"/>
    <w:rsid w:val="001E3056"/>
    <w:rsid w:val="001E459B"/>
    <w:rsid w:val="001E5CBB"/>
    <w:rsid w:val="001F6E28"/>
    <w:rsid w:val="001F718E"/>
    <w:rsid w:val="00200DA3"/>
    <w:rsid w:val="0020213B"/>
    <w:rsid w:val="00202E9E"/>
    <w:rsid w:val="0020684D"/>
    <w:rsid w:val="00207A16"/>
    <w:rsid w:val="002103F3"/>
    <w:rsid w:val="002224E1"/>
    <w:rsid w:val="002228AA"/>
    <w:rsid w:val="00230F29"/>
    <w:rsid w:val="00231D62"/>
    <w:rsid w:val="002347B4"/>
    <w:rsid w:val="002407BD"/>
    <w:rsid w:val="00240ED8"/>
    <w:rsid w:val="002414E5"/>
    <w:rsid w:val="00242186"/>
    <w:rsid w:val="002432FB"/>
    <w:rsid w:val="002438F1"/>
    <w:rsid w:val="0024562D"/>
    <w:rsid w:val="00247007"/>
    <w:rsid w:val="002516F6"/>
    <w:rsid w:val="0025455E"/>
    <w:rsid w:val="00254C4E"/>
    <w:rsid w:val="00256EFC"/>
    <w:rsid w:val="00262AAE"/>
    <w:rsid w:val="00271FEE"/>
    <w:rsid w:val="00275CF5"/>
    <w:rsid w:val="00281EC5"/>
    <w:rsid w:val="0028301F"/>
    <w:rsid w:val="00283C54"/>
    <w:rsid w:val="00283E5C"/>
    <w:rsid w:val="00284C4F"/>
    <w:rsid w:val="00285017"/>
    <w:rsid w:val="00293F64"/>
    <w:rsid w:val="002978C7"/>
    <w:rsid w:val="002A2194"/>
    <w:rsid w:val="002A2D2E"/>
    <w:rsid w:val="002A32B6"/>
    <w:rsid w:val="002A57C5"/>
    <w:rsid w:val="002B2D60"/>
    <w:rsid w:val="002C00E8"/>
    <w:rsid w:val="002C139D"/>
    <w:rsid w:val="002C4743"/>
    <w:rsid w:val="002D0568"/>
    <w:rsid w:val="002D2A22"/>
    <w:rsid w:val="002D3455"/>
    <w:rsid w:val="002D4EF1"/>
    <w:rsid w:val="002D7B47"/>
    <w:rsid w:val="002E019E"/>
    <w:rsid w:val="002E048E"/>
    <w:rsid w:val="002E071E"/>
    <w:rsid w:val="002E1555"/>
    <w:rsid w:val="002E436D"/>
    <w:rsid w:val="002F1774"/>
    <w:rsid w:val="003008B0"/>
    <w:rsid w:val="00300CFC"/>
    <w:rsid w:val="00300D71"/>
    <w:rsid w:val="0030299E"/>
    <w:rsid w:val="003045A1"/>
    <w:rsid w:val="003053A9"/>
    <w:rsid w:val="00306405"/>
    <w:rsid w:val="003108E1"/>
    <w:rsid w:val="00311810"/>
    <w:rsid w:val="003136C6"/>
    <w:rsid w:val="00314312"/>
    <w:rsid w:val="003173F4"/>
    <w:rsid w:val="00323304"/>
    <w:rsid w:val="003256CD"/>
    <w:rsid w:val="0033006A"/>
    <w:rsid w:val="00335AC4"/>
    <w:rsid w:val="00343749"/>
    <w:rsid w:val="003535A8"/>
    <w:rsid w:val="00353D5D"/>
    <w:rsid w:val="00355DC1"/>
    <w:rsid w:val="00357546"/>
    <w:rsid w:val="003660ED"/>
    <w:rsid w:val="00380E59"/>
    <w:rsid w:val="00382300"/>
    <w:rsid w:val="00382B24"/>
    <w:rsid w:val="0038316B"/>
    <w:rsid w:val="00384122"/>
    <w:rsid w:val="00385DE3"/>
    <w:rsid w:val="0039118E"/>
    <w:rsid w:val="003911E0"/>
    <w:rsid w:val="003911EB"/>
    <w:rsid w:val="00393762"/>
    <w:rsid w:val="0039542D"/>
    <w:rsid w:val="003A615F"/>
    <w:rsid w:val="003B0550"/>
    <w:rsid w:val="003B0F15"/>
    <w:rsid w:val="003B198D"/>
    <w:rsid w:val="003B265C"/>
    <w:rsid w:val="003B5707"/>
    <w:rsid w:val="003B5EB7"/>
    <w:rsid w:val="003B694F"/>
    <w:rsid w:val="003C24DB"/>
    <w:rsid w:val="003C640D"/>
    <w:rsid w:val="003C6952"/>
    <w:rsid w:val="003D23CF"/>
    <w:rsid w:val="003D2DAA"/>
    <w:rsid w:val="003D2FEB"/>
    <w:rsid w:val="003E0214"/>
    <w:rsid w:val="003E0604"/>
    <w:rsid w:val="003E0BE8"/>
    <w:rsid w:val="003E10A0"/>
    <w:rsid w:val="003E35BF"/>
    <w:rsid w:val="003F0C28"/>
    <w:rsid w:val="003F171C"/>
    <w:rsid w:val="003F3176"/>
    <w:rsid w:val="003F4C44"/>
    <w:rsid w:val="003F5184"/>
    <w:rsid w:val="003F55B1"/>
    <w:rsid w:val="003F7812"/>
    <w:rsid w:val="00400BA1"/>
    <w:rsid w:val="00403977"/>
    <w:rsid w:val="00404EA7"/>
    <w:rsid w:val="004067B4"/>
    <w:rsid w:val="00411802"/>
    <w:rsid w:val="00411F74"/>
    <w:rsid w:val="00412FC5"/>
    <w:rsid w:val="00414142"/>
    <w:rsid w:val="00414353"/>
    <w:rsid w:val="004152E5"/>
    <w:rsid w:val="004176F7"/>
    <w:rsid w:val="00420842"/>
    <w:rsid w:val="00420E54"/>
    <w:rsid w:val="00422276"/>
    <w:rsid w:val="004235A5"/>
    <w:rsid w:val="004242F1"/>
    <w:rsid w:val="00425B2F"/>
    <w:rsid w:val="00427643"/>
    <w:rsid w:val="00427815"/>
    <w:rsid w:val="0043183A"/>
    <w:rsid w:val="00435030"/>
    <w:rsid w:val="00435F8F"/>
    <w:rsid w:val="00436C22"/>
    <w:rsid w:val="00437BE0"/>
    <w:rsid w:val="00445A00"/>
    <w:rsid w:val="00450AC2"/>
    <w:rsid w:val="00451B0F"/>
    <w:rsid w:val="00453C8E"/>
    <w:rsid w:val="00454ABE"/>
    <w:rsid w:val="00454EE1"/>
    <w:rsid w:val="00456EBD"/>
    <w:rsid w:val="004572A2"/>
    <w:rsid w:val="00464178"/>
    <w:rsid w:val="0046751A"/>
    <w:rsid w:val="004700F6"/>
    <w:rsid w:val="00472183"/>
    <w:rsid w:val="00477742"/>
    <w:rsid w:val="00480EBD"/>
    <w:rsid w:val="00482D28"/>
    <w:rsid w:val="00485462"/>
    <w:rsid w:val="00485B49"/>
    <w:rsid w:val="00485DA6"/>
    <w:rsid w:val="004938F2"/>
    <w:rsid w:val="004963A1"/>
    <w:rsid w:val="00497E73"/>
    <w:rsid w:val="004A2694"/>
    <w:rsid w:val="004A397C"/>
    <w:rsid w:val="004A4973"/>
    <w:rsid w:val="004A5DC3"/>
    <w:rsid w:val="004B67A0"/>
    <w:rsid w:val="004B6A9A"/>
    <w:rsid w:val="004B6CA2"/>
    <w:rsid w:val="004B7000"/>
    <w:rsid w:val="004C2EE3"/>
    <w:rsid w:val="004C6235"/>
    <w:rsid w:val="004C6D94"/>
    <w:rsid w:val="004D1FCA"/>
    <w:rsid w:val="004D545F"/>
    <w:rsid w:val="004E183E"/>
    <w:rsid w:val="004E4A22"/>
    <w:rsid w:val="004F0AB9"/>
    <w:rsid w:val="00500C6B"/>
    <w:rsid w:val="005012D6"/>
    <w:rsid w:val="00501BA4"/>
    <w:rsid w:val="00511968"/>
    <w:rsid w:val="00513E23"/>
    <w:rsid w:val="0051463F"/>
    <w:rsid w:val="00516AB2"/>
    <w:rsid w:val="005204C7"/>
    <w:rsid w:val="00525FC0"/>
    <w:rsid w:val="005309CB"/>
    <w:rsid w:val="005352EF"/>
    <w:rsid w:val="00536445"/>
    <w:rsid w:val="00536686"/>
    <w:rsid w:val="00537710"/>
    <w:rsid w:val="00537A83"/>
    <w:rsid w:val="005412E6"/>
    <w:rsid w:val="00541917"/>
    <w:rsid w:val="005431E4"/>
    <w:rsid w:val="00545841"/>
    <w:rsid w:val="00547CAB"/>
    <w:rsid w:val="0055015E"/>
    <w:rsid w:val="00551465"/>
    <w:rsid w:val="0055614C"/>
    <w:rsid w:val="00561BA6"/>
    <w:rsid w:val="00565BEA"/>
    <w:rsid w:val="005661AD"/>
    <w:rsid w:val="00566D06"/>
    <w:rsid w:val="00570449"/>
    <w:rsid w:val="00571EE9"/>
    <w:rsid w:val="00574E9E"/>
    <w:rsid w:val="00576A7B"/>
    <w:rsid w:val="00577E47"/>
    <w:rsid w:val="00581979"/>
    <w:rsid w:val="00582164"/>
    <w:rsid w:val="0058266F"/>
    <w:rsid w:val="00584E06"/>
    <w:rsid w:val="00591AC0"/>
    <w:rsid w:val="00592DF6"/>
    <w:rsid w:val="005945E3"/>
    <w:rsid w:val="00595C38"/>
    <w:rsid w:val="005A0245"/>
    <w:rsid w:val="005A3C42"/>
    <w:rsid w:val="005A48CA"/>
    <w:rsid w:val="005B1BE3"/>
    <w:rsid w:val="005B318C"/>
    <w:rsid w:val="005B3C7E"/>
    <w:rsid w:val="005B5F15"/>
    <w:rsid w:val="005B79F6"/>
    <w:rsid w:val="005B7A6C"/>
    <w:rsid w:val="005C15CC"/>
    <w:rsid w:val="005C6960"/>
    <w:rsid w:val="005C6D6E"/>
    <w:rsid w:val="005D08E0"/>
    <w:rsid w:val="005D1FD8"/>
    <w:rsid w:val="005D41A1"/>
    <w:rsid w:val="005D5160"/>
    <w:rsid w:val="005D5F3B"/>
    <w:rsid w:val="005E14C2"/>
    <w:rsid w:val="005E2974"/>
    <w:rsid w:val="005E3018"/>
    <w:rsid w:val="005E39A8"/>
    <w:rsid w:val="005E4B54"/>
    <w:rsid w:val="005E6595"/>
    <w:rsid w:val="005E79FB"/>
    <w:rsid w:val="005F6F31"/>
    <w:rsid w:val="00607BA5"/>
    <w:rsid w:val="0061180A"/>
    <w:rsid w:val="00615FD1"/>
    <w:rsid w:val="00616EDE"/>
    <w:rsid w:val="00620D4C"/>
    <w:rsid w:val="006226B6"/>
    <w:rsid w:val="00626EB6"/>
    <w:rsid w:val="0062708C"/>
    <w:rsid w:val="00631952"/>
    <w:rsid w:val="00633AC3"/>
    <w:rsid w:val="00635D12"/>
    <w:rsid w:val="00641A91"/>
    <w:rsid w:val="00641D61"/>
    <w:rsid w:val="006448CA"/>
    <w:rsid w:val="006457BF"/>
    <w:rsid w:val="00651A40"/>
    <w:rsid w:val="00652243"/>
    <w:rsid w:val="006554FD"/>
    <w:rsid w:val="00655D03"/>
    <w:rsid w:val="00655E3B"/>
    <w:rsid w:val="0066126C"/>
    <w:rsid w:val="00670CAA"/>
    <w:rsid w:val="00676B50"/>
    <w:rsid w:val="006770FE"/>
    <w:rsid w:val="006817FB"/>
    <w:rsid w:val="00683388"/>
    <w:rsid w:val="0068342A"/>
    <w:rsid w:val="0068370D"/>
    <w:rsid w:val="00683E60"/>
    <w:rsid w:val="00683F84"/>
    <w:rsid w:val="0069180F"/>
    <w:rsid w:val="00692677"/>
    <w:rsid w:val="00694D66"/>
    <w:rsid w:val="00694E7E"/>
    <w:rsid w:val="006A0C4D"/>
    <w:rsid w:val="006A336E"/>
    <w:rsid w:val="006A39EF"/>
    <w:rsid w:val="006A471C"/>
    <w:rsid w:val="006A47FA"/>
    <w:rsid w:val="006A6A81"/>
    <w:rsid w:val="006B0ACF"/>
    <w:rsid w:val="006B324E"/>
    <w:rsid w:val="006B4BA3"/>
    <w:rsid w:val="006C08A9"/>
    <w:rsid w:val="006C0940"/>
    <w:rsid w:val="006C5614"/>
    <w:rsid w:val="006D09E1"/>
    <w:rsid w:val="006D56DA"/>
    <w:rsid w:val="006D5D6B"/>
    <w:rsid w:val="006D66BD"/>
    <w:rsid w:val="006D6742"/>
    <w:rsid w:val="006D71C2"/>
    <w:rsid w:val="006E7712"/>
    <w:rsid w:val="006F011F"/>
    <w:rsid w:val="006F0547"/>
    <w:rsid w:val="006F379D"/>
    <w:rsid w:val="006F685C"/>
    <w:rsid w:val="006F6E2E"/>
    <w:rsid w:val="006F7393"/>
    <w:rsid w:val="007014B5"/>
    <w:rsid w:val="00701EDC"/>
    <w:rsid w:val="0070224F"/>
    <w:rsid w:val="007035A9"/>
    <w:rsid w:val="00703670"/>
    <w:rsid w:val="00703899"/>
    <w:rsid w:val="00704A6D"/>
    <w:rsid w:val="00705FE7"/>
    <w:rsid w:val="007063A3"/>
    <w:rsid w:val="007115F7"/>
    <w:rsid w:val="00712BB2"/>
    <w:rsid w:val="00714B13"/>
    <w:rsid w:val="00721157"/>
    <w:rsid w:val="00724789"/>
    <w:rsid w:val="007308EA"/>
    <w:rsid w:val="00731BCE"/>
    <w:rsid w:val="0074028C"/>
    <w:rsid w:val="00753F77"/>
    <w:rsid w:val="007573FE"/>
    <w:rsid w:val="007617E2"/>
    <w:rsid w:val="00763CD1"/>
    <w:rsid w:val="007656AE"/>
    <w:rsid w:val="00770BE3"/>
    <w:rsid w:val="00771C63"/>
    <w:rsid w:val="0077277D"/>
    <w:rsid w:val="00780080"/>
    <w:rsid w:val="007809AF"/>
    <w:rsid w:val="00785689"/>
    <w:rsid w:val="00794F76"/>
    <w:rsid w:val="0079754B"/>
    <w:rsid w:val="00797B12"/>
    <w:rsid w:val="007A1E6D"/>
    <w:rsid w:val="007A3EB8"/>
    <w:rsid w:val="007A7CA9"/>
    <w:rsid w:val="007B0EB2"/>
    <w:rsid w:val="007B18FB"/>
    <w:rsid w:val="007B3A92"/>
    <w:rsid w:val="007B5649"/>
    <w:rsid w:val="007C3A43"/>
    <w:rsid w:val="007C540E"/>
    <w:rsid w:val="007C5469"/>
    <w:rsid w:val="007E0A3F"/>
    <w:rsid w:val="007E471F"/>
    <w:rsid w:val="007F3D3F"/>
    <w:rsid w:val="007F3F8B"/>
    <w:rsid w:val="007F5A69"/>
    <w:rsid w:val="00805984"/>
    <w:rsid w:val="00806AD9"/>
    <w:rsid w:val="008077E4"/>
    <w:rsid w:val="00807C36"/>
    <w:rsid w:val="00810B6F"/>
    <w:rsid w:val="00811F1D"/>
    <w:rsid w:val="00812261"/>
    <w:rsid w:val="00812EAD"/>
    <w:rsid w:val="008134F1"/>
    <w:rsid w:val="00822CE0"/>
    <w:rsid w:val="00825EEE"/>
    <w:rsid w:val="00826176"/>
    <w:rsid w:val="008309C2"/>
    <w:rsid w:val="00830B42"/>
    <w:rsid w:val="00831241"/>
    <w:rsid w:val="008312E6"/>
    <w:rsid w:val="00837B9A"/>
    <w:rsid w:val="00841AB1"/>
    <w:rsid w:val="008452EB"/>
    <w:rsid w:val="00846663"/>
    <w:rsid w:val="00846E30"/>
    <w:rsid w:val="00850255"/>
    <w:rsid w:val="00851114"/>
    <w:rsid w:val="0085286C"/>
    <w:rsid w:val="00854BFE"/>
    <w:rsid w:val="00856FB2"/>
    <w:rsid w:val="00860642"/>
    <w:rsid w:val="008607E6"/>
    <w:rsid w:val="00860B89"/>
    <w:rsid w:val="00861C0B"/>
    <w:rsid w:val="008634C3"/>
    <w:rsid w:val="00863658"/>
    <w:rsid w:val="008647E1"/>
    <w:rsid w:val="008648B9"/>
    <w:rsid w:val="008648F4"/>
    <w:rsid w:val="0086639A"/>
    <w:rsid w:val="00867033"/>
    <w:rsid w:val="00867A08"/>
    <w:rsid w:val="00870DE2"/>
    <w:rsid w:val="008721B8"/>
    <w:rsid w:val="008726C0"/>
    <w:rsid w:val="00872CD6"/>
    <w:rsid w:val="00876552"/>
    <w:rsid w:val="00877FAE"/>
    <w:rsid w:val="008844FC"/>
    <w:rsid w:val="00891C6B"/>
    <w:rsid w:val="00892765"/>
    <w:rsid w:val="008A1C2D"/>
    <w:rsid w:val="008A69F0"/>
    <w:rsid w:val="008B6B92"/>
    <w:rsid w:val="008B7124"/>
    <w:rsid w:val="008C0B33"/>
    <w:rsid w:val="008C5CB4"/>
    <w:rsid w:val="008C5E60"/>
    <w:rsid w:val="008C68F1"/>
    <w:rsid w:val="008D08A7"/>
    <w:rsid w:val="008D3A51"/>
    <w:rsid w:val="008D441D"/>
    <w:rsid w:val="008D6C6B"/>
    <w:rsid w:val="008E3A2C"/>
    <w:rsid w:val="008E3C35"/>
    <w:rsid w:val="008F0D55"/>
    <w:rsid w:val="008F12B2"/>
    <w:rsid w:val="008F5D04"/>
    <w:rsid w:val="008F68CC"/>
    <w:rsid w:val="008F693F"/>
    <w:rsid w:val="00906A0D"/>
    <w:rsid w:val="00907976"/>
    <w:rsid w:val="00907F94"/>
    <w:rsid w:val="00910262"/>
    <w:rsid w:val="00910687"/>
    <w:rsid w:val="009127C7"/>
    <w:rsid w:val="009154BD"/>
    <w:rsid w:val="0091612E"/>
    <w:rsid w:val="00916D34"/>
    <w:rsid w:val="00921645"/>
    <w:rsid w:val="00921803"/>
    <w:rsid w:val="00923F09"/>
    <w:rsid w:val="00924782"/>
    <w:rsid w:val="00926503"/>
    <w:rsid w:val="009304CE"/>
    <w:rsid w:val="009368DD"/>
    <w:rsid w:val="00941D87"/>
    <w:rsid w:val="00942DC4"/>
    <w:rsid w:val="00944E94"/>
    <w:rsid w:val="009453D0"/>
    <w:rsid w:val="0095611A"/>
    <w:rsid w:val="00957456"/>
    <w:rsid w:val="00962C67"/>
    <w:rsid w:val="009661DA"/>
    <w:rsid w:val="009726D8"/>
    <w:rsid w:val="0097430C"/>
    <w:rsid w:val="00975D2D"/>
    <w:rsid w:val="00976005"/>
    <w:rsid w:val="00976581"/>
    <w:rsid w:val="00976AA2"/>
    <w:rsid w:val="00976F1A"/>
    <w:rsid w:val="00981DF4"/>
    <w:rsid w:val="00987A72"/>
    <w:rsid w:val="00987A9B"/>
    <w:rsid w:val="009902AB"/>
    <w:rsid w:val="0099359A"/>
    <w:rsid w:val="00996885"/>
    <w:rsid w:val="0099756D"/>
    <w:rsid w:val="009A1BFC"/>
    <w:rsid w:val="009A5C48"/>
    <w:rsid w:val="009A5D88"/>
    <w:rsid w:val="009A5E60"/>
    <w:rsid w:val="009A7405"/>
    <w:rsid w:val="009B02CB"/>
    <w:rsid w:val="009B094A"/>
    <w:rsid w:val="009B41A1"/>
    <w:rsid w:val="009B59BE"/>
    <w:rsid w:val="009C1259"/>
    <w:rsid w:val="009C346D"/>
    <w:rsid w:val="009D5387"/>
    <w:rsid w:val="009D538B"/>
    <w:rsid w:val="009D65FB"/>
    <w:rsid w:val="009D7308"/>
    <w:rsid w:val="009E78F2"/>
    <w:rsid w:val="009F20C1"/>
    <w:rsid w:val="009F3A17"/>
    <w:rsid w:val="009F4729"/>
    <w:rsid w:val="009F4E7E"/>
    <w:rsid w:val="009F521A"/>
    <w:rsid w:val="009F76DB"/>
    <w:rsid w:val="009F7D80"/>
    <w:rsid w:val="00A00A19"/>
    <w:rsid w:val="00A0135C"/>
    <w:rsid w:val="00A02B55"/>
    <w:rsid w:val="00A043BD"/>
    <w:rsid w:val="00A122FF"/>
    <w:rsid w:val="00A1249B"/>
    <w:rsid w:val="00A14622"/>
    <w:rsid w:val="00A16929"/>
    <w:rsid w:val="00A21FF8"/>
    <w:rsid w:val="00A31F61"/>
    <w:rsid w:val="00A32A83"/>
    <w:rsid w:val="00A32C3B"/>
    <w:rsid w:val="00A359AD"/>
    <w:rsid w:val="00A40AF9"/>
    <w:rsid w:val="00A437E6"/>
    <w:rsid w:val="00A44F27"/>
    <w:rsid w:val="00A45F4F"/>
    <w:rsid w:val="00A50D07"/>
    <w:rsid w:val="00A52232"/>
    <w:rsid w:val="00A52276"/>
    <w:rsid w:val="00A55992"/>
    <w:rsid w:val="00A56B70"/>
    <w:rsid w:val="00A57FDB"/>
    <w:rsid w:val="00A600A9"/>
    <w:rsid w:val="00A63587"/>
    <w:rsid w:val="00A67D3C"/>
    <w:rsid w:val="00A7092B"/>
    <w:rsid w:val="00A727BD"/>
    <w:rsid w:val="00A73322"/>
    <w:rsid w:val="00A90D36"/>
    <w:rsid w:val="00A940DD"/>
    <w:rsid w:val="00A954A0"/>
    <w:rsid w:val="00A966CB"/>
    <w:rsid w:val="00AA02A6"/>
    <w:rsid w:val="00AA12CA"/>
    <w:rsid w:val="00AA1FAC"/>
    <w:rsid w:val="00AA3DBA"/>
    <w:rsid w:val="00AA55B7"/>
    <w:rsid w:val="00AA5B9E"/>
    <w:rsid w:val="00AB1827"/>
    <w:rsid w:val="00AB2407"/>
    <w:rsid w:val="00AB35DF"/>
    <w:rsid w:val="00AB502B"/>
    <w:rsid w:val="00AB5331"/>
    <w:rsid w:val="00AB53DF"/>
    <w:rsid w:val="00AB711F"/>
    <w:rsid w:val="00AC04E0"/>
    <w:rsid w:val="00AC4900"/>
    <w:rsid w:val="00AD02A7"/>
    <w:rsid w:val="00AD2F2E"/>
    <w:rsid w:val="00AD36DE"/>
    <w:rsid w:val="00AD3C6D"/>
    <w:rsid w:val="00AD5D22"/>
    <w:rsid w:val="00AD67A2"/>
    <w:rsid w:val="00AD6D9C"/>
    <w:rsid w:val="00AD74A0"/>
    <w:rsid w:val="00AE6CD4"/>
    <w:rsid w:val="00AE7651"/>
    <w:rsid w:val="00AE7B45"/>
    <w:rsid w:val="00AF0935"/>
    <w:rsid w:val="00AF2FCB"/>
    <w:rsid w:val="00AF37EF"/>
    <w:rsid w:val="00AF3F82"/>
    <w:rsid w:val="00AF5070"/>
    <w:rsid w:val="00AF7293"/>
    <w:rsid w:val="00AF7A23"/>
    <w:rsid w:val="00B02D9F"/>
    <w:rsid w:val="00B066F2"/>
    <w:rsid w:val="00B07E5C"/>
    <w:rsid w:val="00B10185"/>
    <w:rsid w:val="00B13436"/>
    <w:rsid w:val="00B14C88"/>
    <w:rsid w:val="00B15DC8"/>
    <w:rsid w:val="00B20195"/>
    <w:rsid w:val="00B203DE"/>
    <w:rsid w:val="00B2344D"/>
    <w:rsid w:val="00B2515B"/>
    <w:rsid w:val="00B30C2A"/>
    <w:rsid w:val="00B31ED2"/>
    <w:rsid w:val="00B323F9"/>
    <w:rsid w:val="00B32A6A"/>
    <w:rsid w:val="00B32EDD"/>
    <w:rsid w:val="00B357C0"/>
    <w:rsid w:val="00B434B0"/>
    <w:rsid w:val="00B43CED"/>
    <w:rsid w:val="00B524A2"/>
    <w:rsid w:val="00B55C38"/>
    <w:rsid w:val="00B6056F"/>
    <w:rsid w:val="00B60904"/>
    <w:rsid w:val="00B62B2D"/>
    <w:rsid w:val="00B811F7"/>
    <w:rsid w:val="00B8187A"/>
    <w:rsid w:val="00B860A7"/>
    <w:rsid w:val="00B864C5"/>
    <w:rsid w:val="00B8717D"/>
    <w:rsid w:val="00B87C91"/>
    <w:rsid w:val="00B930EE"/>
    <w:rsid w:val="00B939C0"/>
    <w:rsid w:val="00B950C9"/>
    <w:rsid w:val="00B9719E"/>
    <w:rsid w:val="00B97845"/>
    <w:rsid w:val="00BA1357"/>
    <w:rsid w:val="00BA1861"/>
    <w:rsid w:val="00BA2046"/>
    <w:rsid w:val="00BA3184"/>
    <w:rsid w:val="00BA4F8B"/>
    <w:rsid w:val="00BA58C4"/>
    <w:rsid w:val="00BA5DC6"/>
    <w:rsid w:val="00BA6196"/>
    <w:rsid w:val="00BA7BA8"/>
    <w:rsid w:val="00BB25BD"/>
    <w:rsid w:val="00BC1D53"/>
    <w:rsid w:val="00BC6D8C"/>
    <w:rsid w:val="00BD02EB"/>
    <w:rsid w:val="00BD1EE1"/>
    <w:rsid w:val="00BD2724"/>
    <w:rsid w:val="00BD4A44"/>
    <w:rsid w:val="00BD77A2"/>
    <w:rsid w:val="00BE008D"/>
    <w:rsid w:val="00BE66D5"/>
    <w:rsid w:val="00BF017E"/>
    <w:rsid w:val="00BF1A00"/>
    <w:rsid w:val="00BF3F9C"/>
    <w:rsid w:val="00BF634C"/>
    <w:rsid w:val="00C03367"/>
    <w:rsid w:val="00C0468F"/>
    <w:rsid w:val="00C0619E"/>
    <w:rsid w:val="00C1253F"/>
    <w:rsid w:val="00C13E93"/>
    <w:rsid w:val="00C23EF2"/>
    <w:rsid w:val="00C25AD9"/>
    <w:rsid w:val="00C34006"/>
    <w:rsid w:val="00C36B4C"/>
    <w:rsid w:val="00C426B1"/>
    <w:rsid w:val="00C43375"/>
    <w:rsid w:val="00C43E09"/>
    <w:rsid w:val="00C47528"/>
    <w:rsid w:val="00C5380F"/>
    <w:rsid w:val="00C62D0C"/>
    <w:rsid w:val="00C66160"/>
    <w:rsid w:val="00C721AC"/>
    <w:rsid w:val="00C7385A"/>
    <w:rsid w:val="00C75C11"/>
    <w:rsid w:val="00C853F2"/>
    <w:rsid w:val="00C90D6A"/>
    <w:rsid w:val="00CA1F93"/>
    <w:rsid w:val="00CA247E"/>
    <w:rsid w:val="00CA29AA"/>
    <w:rsid w:val="00CA6D21"/>
    <w:rsid w:val="00CA70A9"/>
    <w:rsid w:val="00CA7480"/>
    <w:rsid w:val="00CA79A0"/>
    <w:rsid w:val="00CB5637"/>
    <w:rsid w:val="00CC03C0"/>
    <w:rsid w:val="00CC3DE8"/>
    <w:rsid w:val="00CC4541"/>
    <w:rsid w:val="00CC72B6"/>
    <w:rsid w:val="00CD1420"/>
    <w:rsid w:val="00CD34CD"/>
    <w:rsid w:val="00CD444C"/>
    <w:rsid w:val="00CD66D0"/>
    <w:rsid w:val="00CE0072"/>
    <w:rsid w:val="00CE0F5B"/>
    <w:rsid w:val="00CE3369"/>
    <w:rsid w:val="00CE5C04"/>
    <w:rsid w:val="00CE5F1C"/>
    <w:rsid w:val="00CF0B24"/>
    <w:rsid w:val="00CF2A3C"/>
    <w:rsid w:val="00CF4130"/>
    <w:rsid w:val="00CF5A30"/>
    <w:rsid w:val="00D00DCF"/>
    <w:rsid w:val="00D01653"/>
    <w:rsid w:val="00D0218D"/>
    <w:rsid w:val="00D049B3"/>
    <w:rsid w:val="00D051BF"/>
    <w:rsid w:val="00D067A8"/>
    <w:rsid w:val="00D06DF2"/>
    <w:rsid w:val="00D077CE"/>
    <w:rsid w:val="00D14523"/>
    <w:rsid w:val="00D174F7"/>
    <w:rsid w:val="00D20DAE"/>
    <w:rsid w:val="00D21A6F"/>
    <w:rsid w:val="00D25FB5"/>
    <w:rsid w:val="00D2666E"/>
    <w:rsid w:val="00D34B97"/>
    <w:rsid w:val="00D35C27"/>
    <w:rsid w:val="00D377F2"/>
    <w:rsid w:val="00D41970"/>
    <w:rsid w:val="00D44180"/>
    <w:rsid w:val="00D44223"/>
    <w:rsid w:val="00D45411"/>
    <w:rsid w:val="00D4637B"/>
    <w:rsid w:val="00D57388"/>
    <w:rsid w:val="00D60BBA"/>
    <w:rsid w:val="00D63DBB"/>
    <w:rsid w:val="00D646DF"/>
    <w:rsid w:val="00D64916"/>
    <w:rsid w:val="00D64E54"/>
    <w:rsid w:val="00D651DB"/>
    <w:rsid w:val="00D67BC6"/>
    <w:rsid w:val="00D70F7A"/>
    <w:rsid w:val="00D74DA6"/>
    <w:rsid w:val="00D76486"/>
    <w:rsid w:val="00D771D6"/>
    <w:rsid w:val="00D808B3"/>
    <w:rsid w:val="00D8145C"/>
    <w:rsid w:val="00D81B06"/>
    <w:rsid w:val="00D9042F"/>
    <w:rsid w:val="00D92686"/>
    <w:rsid w:val="00D93B09"/>
    <w:rsid w:val="00DA2529"/>
    <w:rsid w:val="00DA3146"/>
    <w:rsid w:val="00DA3882"/>
    <w:rsid w:val="00DB130A"/>
    <w:rsid w:val="00DB2EBB"/>
    <w:rsid w:val="00DB2F15"/>
    <w:rsid w:val="00DB5863"/>
    <w:rsid w:val="00DB6212"/>
    <w:rsid w:val="00DC0560"/>
    <w:rsid w:val="00DC10A1"/>
    <w:rsid w:val="00DC4ADB"/>
    <w:rsid w:val="00DC655F"/>
    <w:rsid w:val="00DC6806"/>
    <w:rsid w:val="00DD0B59"/>
    <w:rsid w:val="00DD601C"/>
    <w:rsid w:val="00DD741E"/>
    <w:rsid w:val="00DD7EBD"/>
    <w:rsid w:val="00DE1AEE"/>
    <w:rsid w:val="00DE48ED"/>
    <w:rsid w:val="00DE5340"/>
    <w:rsid w:val="00DE66B2"/>
    <w:rsid w:val="00DF39B1"/>
    <w:rsid w:val="00DF4AC9"/>
    <w:rsid w:val="00DF62B6"/>
    <w:rsid w:val="00DF7FEA"/>
    <w:rsid w:val="00E07225"/>
    <w:rsid w:val="00E141AD"/>
    <w:rsid w:val="00E1543E"/>
    <w:rsid w:val="00E16881"/>
    <w:rsid w:val="00E207AE"/>
    <w:rsid w:val="00E20F4C"/>
    <w:rsid w:val="00E211F0"/>
    <w:rsid w:val="00E21B3D"/>
    <w:rsid w:val="00E226AC"/>
    <w:rsid w:val="00E30007"/>
    <w:rsid w:val="00E34F4D"/>
    <w:rsid w:val="00E35466"/>
    <w:rsid w:val="00E36575"/>
    <w:rsid w:val="00E41BC2"/>
    <w:rsid w:val="00E46658"/>
    <w:rsid w:val="00E5298F"/>
    <w:rsid w:val="00E52A8F"/>
    <w:rsid w:val="00E5409F"/>
    <w:rsid w:val="00E56821"/>
    <w:rsid w:val="00E5726A"/>
    <w:rsid w:val="00E579D0"/>
    <w:rsid w:val="00E608B9"/>
    <w:rsid w:val="00E619AB"/>
    <w:rsid w:val="00E63950"/>
    <w:rsid w:val="00E652A5"/>
    <w:rsid w:val="00E660E8"/>
    <w:rsid w:val="00E66E91"/>
    <w:rsid w:val="00E75DE6"/>
    <w:rsid w:val="00E76FB5"/>
    <w:rsid w:val="00E77543"/>
    <w:rsid w:val="00E77B15"/>
    <w:rsid w:val="00E849AD"/>
    <w:rsid w:val="00E953E1"/>
    <w:rsid w:val="00EA4E63"/>
    <w:rsid w:val="00EA5256"/>
    <w:rsid w:val="00EA5FBC"/>
    <w:rsid w:val="00EB09D5"/>
    <w:rsid w:val="00EB1F6D"/>
    <w:rsid w:val="00EB570A"/>
    <w:rsid w:val="00EC0DCB"/>
    <w:rsid w:val="00EC2EA4"/>
    <w:rsid w:val="00EC38EB"/>
    <w:rsid w:val="00EC41D6"/>
    <w:rsid w:val="00EC43C0"/>
    <w:rsid w:val="00EC5EF3"/>
    <w:rsid w:val="00ED1337"/>
    <w:rsid w:val="00ED1D01"/>
    <w:rsid w:val="00ED24A6"/>
    <w:rsid w:val="00ED5CA4"/>
    <w:rsid w:val="00ED5FE8"/>
    <w:rsid w:val="00ED79BF"/>
    <w:rsid w:val="00EE26C2"/>
    <w:rsid w:val="00EE3862"/>
    <w:rsid w:val="00EE41BE"/>
    <w:rsid w:val="00EE6488"/>
    <w:rsid w:val="00EF1BA7"/>
    <w:rsid w:val="00EF5647"/>
    <w:rsid w:val="00F021FA"/>
    <w:rsid w:val="00F07954"/>
    <w:rsid w:val="00F13BE2"/>
    <w:rsid w:val="00F13D2F"/>
    <w:rsid w:val="00F14044"/>
    <w:rsid w:val="00F14AF8"/>
    <w:rsid w:val="00F15474"/>
    <w:rsid w:val="00F1698E"/>
    <w:rsid w:val="00F2047E"/>
    <w:rsid w:val="00F2066A"/>
    <w:rsid w:val="00F21E86"/>
    <w:rsid w:val="00F2486B"/>
    <w:rsid w:val="00F3165A"/>
    <w:rsid w:val="00F33217"/>
    <w:rsid w:val="00F37A64"/>
    <w:rsid w:val="00F418BA"/>
    <w:rsid w:val="00F51776"/>
    <w:rsid w:val="00F51BF5"/>
    <w:rsid w:val="00F52FBB"/>
    <w:rsid w:val="00F5680D"/>
    <w:rsid w:val="00F62BF4"/>
    <w:rsid w:val="00F62E97"/>
    <w:rsid w:val="00F64209"/>
    <w:rsid w:val="00F67558"/>
    <w:rsid w:val="00F67EB0"/>
    <w:rsid w:val="00F70F46"/>
    <w:rsid w:val="00F770BF"/>
    <w:rsid w:val="00F8069C"/>
    <w:rsid w:val="00F85F20"/>
    <w:rsid w:val="00F90B65"/>
    <w:rsid w:val="00F91C32"/>
    <w:rsid w:val="00F93BF5"/>
    <w:rsid w:val="00F964D2"/>
    <w:rsid w:val="00F96DBF"/>
    <w:rsid w:val="00FA3D51"/>
    <w:rsid w:val="00FA48CE"/>
    <w:rsid w:val="00FA6761"/>
    <w:rsid w:val="00FB09E4"/>
    <w:rsid w:val="00FB13D5"/>
    <w:rsid w:val="00FB188E"/>
    <w:rsid w:val="00FB3D34"/>
    <w:rsid w:val="00FB47E1"/>
    <w:rsid w:val="00FB6473"/>
    <w:rsid w:val="00FB786F"/>
    <w:rsid w:val="00FC1441"/>
    <w:rsid w:val="00FC1C18"/>
    <w:rsid w:val="00FD18BA"/>
    <w:rsid w:val="00FE0D88"/>
    <w:rsid w:val="00FE2461"/>
    <w:rsid w:val="00FE4A7A"/>
    <w:rsid w:val="00FE6707"/>
    <w:rsid w:val="1EEB761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D97F8CB"/>
  <w15:chartTrackingRefBased/>
  <w15:docId w15:val="{7DF566E2-E456-4D5D-9245-4D3AED40D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085093"/>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 Char Char,Footnote Text Char Char Char Char Char Char1,Footnote Text Char1,Footnote Text Char1 Char Char,Footnote Text Char1 Char Char Char Char1,Footnote Text Char2 Char,f,fn,fn Ch"/>
    <w:link w:val="FootnoteTextChar2"/>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ALTS FOOTNOTE Char,FOOTNOTE Char,Footnote Text Char Char Char Char Char,Footnote Text Char1 Char,Footnote Text Char1 Char Char Char,Footnote Text Char1 Char Char Char Char1 Char,Footnote Text Char2 Char Char,f Char,fn Ch Char,fn Char"/>
    <w:link w:val="FootnoteText"/>
    <w:locked/>
    <w:rsid w:val="00D049B3"/>
  </w:style>
  <w:style w:type="character" w:customStyle="1" w:styleId="ParaNumChar1">
    <w:name w:val="ParaNum Char1"/>
    <w:link w:val="ParaNum"/>
    <w:rsid w:val="00D049B3"/>
    <w:rPr>
      <w:snapToGrid w:val="0"/>
      <w:kern w:val="28"/>
      <w:sz w:val="22"/>
    </w:rPr>
  </w:style>
  <w:style w:type="character" w:customStyle="1" w:styleId="ng-binding">
    <w:name w:val="ng-binding"/>
    <w:rsid w:val="00D049B3"/>
  </w:style>
  <w:style w:type="character" w:customStyle="1" w:styleId="HeaderChar">
    <w:name w:val="Header Char"/>
    <w:link w:val="Header"/>
    <w:locked/>
    <w:rsid w:val="00D049B3"/>
    <w:rPr>
      <w:b/>
      <w:snapToGrid w:val="0"/>
      <w:kern w:val="28"/>
      <w:sz w:val="22"/>
    </w:rPr>
  </w:style>
  <w:style w:type="character" w:customStyle="1" w:styleId="Heading1Char">
    <w:name w:val="Heading 1 Char"/>
    <w:link w:val="Heading1"/>
    <w:locked/>
    <w:rsid w:val="00D049B3"/>
    <w:rPr>
      <w:rFonts w:ascii="Times New Roman Bold" w:hAnsi="Times New Roman Bold"/>
      <w:b/>
      <w:caps/>
      <w:snapToGrid w:val="0"/>
      <w:kern w:val="28"/>
      <w:sz w:val="22"/>
    </w:rPr>
  </w:style>
  <w:style w:type="character" w:styleId="CommentReference">
    <w:name w:val="annotation reference"/>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snapToGrid w:val="0"/>
      <w:kern w:val="28"/>
    </w:rPr>
  </w:style>
  <w:style w:type="paragraph" w:styleId="BalloonText">
    <w:name w:val="Balloon Text"/>
    <w:basedOn w:val="Normal"/>
    <w:link w:val="BalloonTextChar"/>
    <w:rsid w:val="002D0568"/>
    <w:rPr>
      <w:rFonts w:ascii="Segoe UI" w:hAnsi="Segoe UI" w:cs="Segoe UI"/>
      <w:sz w:val="18"/>
      <w:szCs w:val="18"/>
    </w:rPr>
  </w:style>
  <w:style w:type="character" w:customStyle="1" w:styleId="BalloonTextChar">
    <w:name w:val="Balloon Text Char"/>
    <w:basedOn w:val="DefaultParagraphFont"/>
    <w:link w:val="BalloonText"/>
    <w:rsid w:val="002D0568"/>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A90D36"/>
    <w:rPr>
      <w:b/>
      <w:bCs/>
    </w:rPr>
  </w:style>
  <w:style w:type="character" w:customStyle="1" w:styleId="CommentSubjectChar">
    <w:name w:val="Comment Subject Char"/>
    <w:basedOn w:val="CommentTextChar"/>
    <w:link w:val="CommentSubject"/>
    <w:rsid w:val="00A90D36"/>
    <w:rPr>
      <w:b/>
      <w:bCs/>
      <w:snapToGrid w:val="0"/>
      <w:kern w:val="28"/>
    </w:rPr>
  </w:style>
  <w:style w:type="paragraph" w:styleId="Revision">
    <w:name w:val="Revision"/>
    <w:hidden/>
    <w:uiPriority w:val="99"/>
    <w:semiHidden/>
    <w:rsid w:val="00167216"/>
    <w:rPr>
      <w:snapToGrid w:val="0"/>
      <w:kern w:val="28"/>
      <w:sz w:val="22"/>
    </w:rPr>
  </w:style>
  <w:style w:type="character" w:customStyle="1" w:styleId="UnresolvedMention">
    <w:name w:val="Unresolved Mention"/>
    <w:basedOn w:val="DefaultParagraphFont"/>
    <w:uiPriority w:val="99"/>
    <w:semiHidden/>
    <w:unhideWhenUsed/>
    <w:rsid w:val="005E39A8"/>
    <w:rPr>
      <w:color w:val="605E5C"/>
      <w:shd w:val="clear" w:color="auto" w:fill="E1DFDD"/>
    </w:rPr>
  </w:style>
  <w:style w:type="character" w:customStyle="1" w:styleId="Heading2Char">
    <w:name w:val="Heading 2 Char"/>
    <w:basedOn w:val="DefaultParagraphFont"/>
    <w:link w:val="Heading2"/>
    <w:rsid w:val="00085093"/>
    <w:rPr>
      <w:b/>
      <w:snapToGrid w:val="0"/>
      <w:kern w:val="28"/>
      <w:sz w:val="22"/>
    </w:rPr>
  </w:style>
  <w:style w:type="character" w:customStyle="1" w:styleId="ParaNumChar">
    <w:name w:val="ParaNum Char"/>
    <w:locked/>
    <w:rsid w:val="00085093"/>
    <w:rPr>
      <w:snapToGrid w:val="0"/>
      <w:kern w:val="28"/>
      <w:sz w:val="22"/>
    </w:rPr>
  </w:style>
  <w:style w:type="character" w:styleId="Emphasis">
    <w:name w:val="Emphasis"/>
    <w:basedOn w:val="DefaultParagraphFont"/>
    <w:uiPriority w:val="20"/>
    <w:qFormat/>
    <w:rsid w:val="000850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