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B313DE" w:rsidP="00013A8B" w14:paraId="42C3B010" w14:textId="39BC5B39">
      <w:pPr>
        <w:jc w:val="right"/>
        <w:rPr>
          <w:b/>
          <w:szCs w:val="22"/>
        </w:rPr>
      </w:pPr>
      <w:bookmarkStart w:id="0" w:name="_GoBack"/>
      <w:bookmarkEnd w:id="0"/>
      <w:r w:rsidRPr="00B313DE">
        <w:rPr>
          <w:b/>
          <w:szCs w:val="22"/>
        </w:rPr>
        <w:t xml:space="preserve">DA </w:t>
      </w:r>
      <w:r w:rsidR="00AF10F9">
        <w:rPr>
          <w:b/>
          <w:szCs w:val="22"/>
        </w:rPr>
        <w:t>2</w:t>
      </w:r>
      <w:r w:rsidR="00AD3EF9">
        <w:rPr>
          <w:b/>
          <w:szCs w:val="22"/>
        </w:rPr>
        <w:t>1</w:t>
      </w:r>
      <w:r w:rsidRPr="00B313DE">
        <w:rPr>
          <w:b/>
          <w:szCs w:val="22"/>
        </w:rPr>
        <w:t>-</w:t>
      </w:r>
      <w:r w:rsidR="00AD3EF9">
        <w:rPr>
          <w:b/>
          <w:szCs w:val="22"/>
        </w:rPr>
        <w:t>125</w:t>
      </w:r>
    </w:p>
    <w:p w:rsidR="00013A8B" w:rsidRPr="00B313DE" w:rsidP="00013A8B" w14:paraId="684630A0" w14:textId="2DB3F4C9">
      <w:pPr>
        <w:spacing w:before="60"/>
        <w:jc w:val="right"/>
        <w:rPr>
          <w:b/>
          <w:szCs w:val="22"/>
        </w:rPr>
      </w:pPr>
      <w:r w:rsidRPr="00B313DE">
        <w:rPr>
          <w:b/>
          <w:szCs w:val="22"/>
        </w:rPr>
        <w:t xml:space="preserve">Released:  </w:t>
      </w:r>
      <w:bookmarkStart w:id="1" w:name="_Hlk31625261"/>
      <w:r w:rsidR="00166E3F">
        <w:rPr>
          <w:b/>
          <w:szCs w:val="22"/>
        </w:rPr>
        <w:t xml:space="preserve">February </w:t>
      </w:r>
      <w:r w:rsidR="00AD3EF9">
        <w:rPr>
          <w:b/>
          <w:szCs w:val="22"/>
        </w:rPr>
        <w:t>1</w:t>
      </w:r>
      <w:r w:rsidR="00146BCE">
        <w:rPr>
          <w:b/>
          <w:szCs w:val="22"/>
        </w:rPr>
        <w:t>2</w:t>
      </w:r>
      <w:r w:rsidR="00C078B3">
        <w:rPr>
          <w:b/>
          <w:szCs w:val="22"/>
        </w:rPr>
        <w:t>,</w:t>
      </w:r>
      <w:r w:rsidRPr="00B313DE" w:rsidR="00C73E90">
        <w:rPr>
          <w:b/>
          <w:szCs w:val="22"/>
        </w:rPr>
        <w:t xml:space="preserve"> 20</w:t>
      </w:r>
      <w:r w:rsidR="00AF10F9">
        <w:rPr>
          <w:b/>
          <w:szCs w:val="22"/>
        </w:rPr>
        <w:t>2</w:t>
      </w:r>
      <w:r w:rsidR="00166E3F">
        <w:rPr>
          <w:b/>
          <w:szCs w:val="22"/>
        </w:rPr>
        <w:t>1</w:t>
      </w:r>
      <w:bookmarkEnd w:id="1"/>
    </w:p>
    <w:p w:rsidR="00013A8B" w:rsidP="00D15FD8" w14:paraId="67C449A8" w14:textId="77777777">
      <w:pPr>
        <w:jc w:val="center"/>
        <w:rPr>
          <w:sz w:val="24"/>
        </w:rPr>
      </w:pPr>
    </w:p>
    <w:p w:rsidR="0025149D" w:rsidP="00D15FD8" w14:paraId="704AA292" w14:textId="77777777">
      <w:pPr>
        <w:jc w:val="center"/>
        <w:rPr>
          <w:b/>
          <w:caps/>
          <w:szCs w:val="22"/>
        </w:rPr>
      </w:pPr>
      <w:r w:rsidRPr="0005776F">
        <w:rPr>
          <w:b/>
          <w:caps/>
          <w:szCs w:val="22"/>
        </w:rPr>
        <w:t xml:space="preserve">wireless telecommunications bureau seeks comment on </w:t>
      </w:r>
    </w:p>
    <w:p w:rsidR="004E2131" w:rsidP="00D15FD8" w14:paraId="7A4BB47F" w14:textId="77777777">
      <w:pPr>
        <w:jc w:val="center"/>
        <w:rPr>
          <w:b/>
          <w:caps/>
          <w:szCs w:val="22"/>
        </w:rPr>
      </w:pPr>
      <w:r>
        <w:rPr>
          <w:b/>
          <w:caps/>
          <w:szCs w:val="22"/>
        </w:rPr>
        <w:t xml:space="preserve">the commonwealth of </w:t>
      </w:r>
      <w:r w:rsidR="00D744F7">
        <w:rPr>
          <w:b/>
          <w:caps/>
          <w:szCs w:val="22"/>
        </w:rPr>
        <w:t>V</w:t>
      </w:r>
      <w:r>
        <w:rPr>
          <w:b/>
          <w:caps/>
          <w:szCs w:val="22"/>
        </w:rPr>
        <w:t>irginia</w:t>
      </w:r>
      <w:r w:rsidR="00B30F5F">
        <w:rPr>
          <w:b/>
          <w:caps/>
          <w:szCs w:val="22"/>
        </w:rPr>
        <w:t>,</w:t>
      </w:r>
      <w:r>
        <w:rPr>
          <w:b/>
          <w:caps/>
          <w:szCs w:val="22"/>
        </w:rPr>
        <w:t xml:space="preserve"> department of</w:t>
      </w:r>
      <w:r w:rsidR="00D744F7">
        <w:rPr>
          <w:b/>
          <w:caps/>
          <w:szCs w:val="22"/>
        </w:rPr>
        <w:t xml:space="preserve"> STA</w:t>
      </w:r>
      <w:r>
        <w:rPr>
          <w:b/>
          <w:caps/>
          <w:szCs w:val="22"/>
        </w:rPr>
        <w:t>te police</w:t>
      </w:r>
    </w:p>
    <w:p w:rsidR="0008528C" w:rsidP="004E2131" w14:paraId="455856E9" w14:textId="0A0CACDC">
      <w:pPr>
        <w:jc w:val="center"/>
        <w:rPr>
          <w:b/>
          <w:caps/>
          <w:szCs w:val="22"/>
        </w:rPr>
      </w:pPr>
      <w:r>
        <w:rPr>
          <w:b/>
          <w:caps/>
          <w:szCs w:val="22"/>
        </w:rPr>
        <w:t>REQUEST</w:t>
      </w:r>
      <w:r w:rsidR="00DA2C64">
        <w:rPr>
          <w:b/>
          <w:caps/>
          <w:szCs w:val="22"/>
        </w:rPr>
        <w:t xml:space="preserve"> for waiver </w:t>
      </w:r>
      <w:r>
        <w:rPr>
          <w:b/>
          <w:caps/>
          <w:szCs w:val="22"/>
        </w:rPr>
        <w:t>OF</w:t>
      </w:r>
      <w:r w:rsidR="004E2131">
        <w:rPr>
          <w:b/>
          <w:caps/>
          <w:szCs w:val="22"/>
        </w:rPr>
        <w:t xml:space="preserve"> section 22.565(</w:t>
      </w:r>
      <w:r w:rsidR="004E2131">
        <w:rPr>
          <w:b/>
          <w:szCs w:val="22"/>
        </w:rPr>
        <w:t xml:space="preserve">f) OF THE COMMISSION’S RULES TO INCREASE MOBILE TRANSMITTER </w:t>
      </w:r>
      <w:r w:rsidR="007267F7">
        <w:rPr>
          <w:b/>
          <w:szCs w:val="22"/>
        </w:rPr>
        <w:t xml:space="preserve">OUTPUT </w:t>
      </w:r>
      <w:r w:rsidR="004E2131">
        <w:rPr>
          <w:b/>
          <w:szCs w:val="22"/>
        </w:rPr>
        <w:t>POWER FROM 60 TO 100 WATTS</w:t>
      </w:r>
    </w:p>
    <w:p w:rsidR="00D15FD8" w:rsidP="00D15FD8" w14:paraId="690AFC56" w14:textId="200067BF">
      <w:pPr>
        <w:jc w:val="center"/>
        <w:rPr>
          <w:b/>
          <w:caps/>
          <w:szCs w:val="22"/>
        </w:rPr>
      </w:pPr>
    </w:p>
    <w:p w:rsidR="00601521" w:rsidRPr="00B41D65" w:rsidP="00D15FD8" w14:paraId="4A98CC06" w14:textId="7D689DB3">
      <w:pPr>
        <w:jc w:val="center"/>
        <w:rPr>
          <w:b/>
          <w:caps/>
          <w:szCs w:val="22"/>
        </w:rPr>
      </w:pPr>
      <w:r w:rsidRPr="00B41D65">
        <w:rPr>
          <w:b/>
          <w:szCs w:val="22"/>
        </w:rPr>
        <w:t>W</w:t>
      </w:r>
      <w:r>
        <w:rPr>
          <w:b/>
          <w:szCs w:val="22"/>
        </w:rPr>
        <w:t>T Docket N</w:t>
      </w:r>
      <w:r w:rsidRPr="00B41D65">
        <w:rPr>
          <w:b/>
          <w:szCs w:val="22"/>
        </w:rPr>
        <w:t>o. 20-24</w:t>
      </w:r>
      <w:r w:rsidRPr="00B41D65">
        <w:rPr>
          <w:b/>
          <w:caps/>
          <w:szCs w:val="22"/>
        </w:rPr>
        <w:t>1</w:t>
      </w:r>
    </w:p>
    <w:p w:rsidR="00601521" w:rsidRPr="0005776F" w:rsidP="00D15FD8" w14:paraId="0ECCF5BB" w14:textId="77777777">
      <w:pPr>
        <w:jc w:val="center"/>
        <w:rPr>
          <w:b/>
          <w:caps/>
          <w:szCs w:val="22"/>
        </w:rPr>
      </w:pPr>
    </w:p>
    <w:p w:rsidR="0008528C" w:rsidRPr="0005776F" w:rsidP="0008528C" w14:paraId="64452132" w14:textId="77777777">
      <w:pPr>
        <w:rPr>
          <w:szCs w:val="22"/>
        </w:rPr>
      </w:pPr>
    </w:p>
    <w:p w:rsidR="00D15FD8" w:rsidP="0008528C" w14:paraId="4B177765" w14:textId="65D2149F">
      <w:pPr>
        <w:tabs>
          <w:tab w:val="right" w:pos="9360"/>
        </w:tabs>
        <w:rPr>
          <w:b/>
          <w:szCs w:val="22"/>
        </w:rPr>
      </w:pPr>
      <w:r w:rsidRPr="0005776F">
        <w:rPr>
          <w:b/>
          <w:szCs w:val="22"/>
        </w:rPr>
        <w:t xml:space="preserve">Comment Date: </w:t>
      </w:r>
      <w:r w:rsidR="00166E3F">
        <w:rPr>
          <w:b/>
          <w:szCs w:val="22"/>
        </w:rPr>
        <w:t xml:space="preserve">March </w:t>
      </w:r>
      <w:r w:rsidR="00AD3EF9">
        <w:rPr>
          <w:b/>
          <w:szCs w:val="22"/>
        </w:rPr>
        <w:t>15</w:t>
      </w:r>
      <w:r w:rsidRPr="00B313DE" w:rsidR="000D3965">
        <w:rPr>
          <w:b/>
          <w:szCs w:val="22"/>
        </w:rPr>
        <w:t>, 20</w:t>
      </w:r>
      <w:r w:rsidR="000D3965">
        <w:rPr>
          <w:b/>
          <w:szCs w:val="22"/>
        </w:rPr>
        <w:t>2</w:t>
      </w:r>
      <w:r w:rsidR="00166E3F">
        <w:rPr>
          <w:b/>
          <w:szCs w:val="22"/>
        </w:rPr>
        <w:t>1</w:t>
      </w:r>
      <w:r w:rsidR="004C214E">
        <w:rPr>
          <w:b/>
          <w:szCs w:val="22"/>
        </w:rPr>
        <w:t xml:space="preserve"> </w:t>
      </w:r>
    </w:p>
    <w:p w:rsidR="0008528C" w:rsidRPr="0005776F" w:rsidP="0008528C" w14:paraId="5E4C3DAC" w14:textId="64B71A9E">
      <w:pPr>
        <w:tabs>
          <w:tab w:val="right" w:pos="9360"/>
        </w:tabs>
        <w:rPr>
          <w:b/>
          <w:szCs w:val="22"/>
        </w:rPr>
      </w:pPr>
      <w:r w:rsidRPr="0005776F">
        <w:rPr>
          <w:b/>
          <w:szCs w:val="22"/>
        </w:rPr>
        <w:t xml:space="preserve">Reply </w:t>
      </w:r>
      <w:r w:rsidRPr="0005776F" w:rsidR="00D15FD8">
        <w:rPr>
          <w:b/>
          <w:szCs w:val="22"/>
        </w:rPr>
        <w:t xml:space="preserve">Comment </w:t>
      </w:r>
      <w:r w:rsidRPr="0005776F">
        <w:rPr>
          <w:b/>
          <w:szCs w:val="22"/>
        </w:rPr>
        <w:t xml:space="preserve">Date:  </w:t>
      </w:r>
      <w:r w:rsidR="00166E3F">
        <w:rPr>
          <w:b/>
          <w:szCs w:val="22"/>
        </w:rPr>
        <w:t xml:space="preserve">March </w:t>
      </w:r>
      <w:r w:rsidR="00AD3EF9">
        <w:rPr>
          <w:b/>
          <w:szCs w:val="22"/>
        </w:rPr>
        <w:t>30</w:t>
      </w:r>
      <w:r w:rsidRPr="00B313DE" w:rsidR="000D3965">
        <w:rPr>
          <w:b/>
          <w:szCs w:val="22"/>
        </w:rPr>
        <w:t>, 20</w:t>
      </w:r>
      <w:r w:rsidR="000D3965">
        <w:rPr>
          <w:b/>
          <w:szCs w:val="22"/>
        </w:rPr>
        <w:t>2</w:t>
      </w:r>
      <w:r w:rsidR="00166E3F">
        <w:rPr>
          <w:b/>
          <w:szCs w:val="22"/>
        </w:rPr>
        <w:t>1</w:t>
      </w:r>
      <w:r w:rsidR="004C214E">
        <w:rPr>
          <w:b/>
          <w:szCs w:val="22"/>
        </w:rPr>
        <w:t xml:space="preserve"> </w:t>
      </w:r>
    </w:p>
    <w:p w:rsidR="0008528C" w:rsidRPr="0005776F" w:rsidP="00D15FD8" w14:paraId="2DE6E37A" w14:textId="77777777">
      <w:pPr>
        <w:tabs>
          <w:tab w:val="right" w:pos="8640"/>
        </w:tabs>
        <w:spacing w:after="120"/>
        <w:rPr>
          <w:szCs w:val="22"/>
        </w:rPr>
      </w:pPr>
    </w:p>
    <w:p w:rsidR="00CF692C" w:rsidP="00B631B8" w14:paraId="703B9A18" w14:textId="78AB6752">
      <w:pPr>
        <w:widowControl/>
        <w:autoSpaceDE w:val="0"/>
        <w:autoSpaceDN w:val="0"/>
        <w:adjustRightInd w:val="0"/>
        <w:spacing w:after="120" w:line="276" w:lineRule="auto"/>
        <w:ind w:firstLine="720"/>
        <w:rPr>
          <w:rFonts w:eastAsia="Calibri"/>
          <w:snapToGrid/>
          <w:kern w:val="0"/>
          <w:szCs w:val="22"/>
        </w:rPr>
      </w:pPr>
      <w:r w:rsidRPr="00B631B8">
        <w:rPr>
          <w:rFonts w:eastAsia="Calibri"/>
          <w:snapToGrid/>
          <w:kern w:val="0"/>
          <w:szCs w:val="22"/>
        </w:rPr>
        <w:t xml:space="preserve">By this </w:t>
      </w:r>
      <w:r w:rsidRPr="00B631B8">
        <w:rPr>
          <w:rFonts w:eastAsia="Calibri"/>
          <w:i/>
          <w:snapToGrid/>
          <w:kern w:val="0"/>
          <w:szCs w:val="22"/>
        </w:rPr>
        <w:t>Public Notice</w:t>
      </w:r>
      <w:r w:rsidRPr="00B631B8">
        <w:rPr>
          <w:rFonts w:eastAsia="Calibri"/>
          <w:snapToGrid/>
          <w:kern w:val="0"/>
          <w:szCs w:val="22"/>
        </w:rPr>
        <w:t xml:space="preserve">, we seek comment on a request by </w:t>
      </w:r>
      <w:r w:rsidR="004E2131">
        <w:rPr>
          <w:rFonts w:eastAsia="Calibri"/>
          <w:snapToGrid/>
          <w:kern w:val="0"/>
          <w:szCs w:val="22"/>
        </w:rPr>
        <w:t xml:space="preserve">the Commonwealth of </w:t>
      </w:r>
      <w:r w:rsidRPr="00B631B8">
        <w:rPr>
          <w:rFonts w:eastAsia="Calibri"/>
          <w:snapToGrid/>
          <w:kern w:val="0"/>
          <w:szCs w:val="22"/>
        </w:rPr>
        <w:t>V</w:t>
      </w:r>
      <w:r w:rsidR="004E2131">
        <w:rPr>
          <w:rFonts w:eastAsia="Calibri"/>
          <w:snapToGrid/>
          <w:kern w:val="0"/>
          <w:szCs w:val="22"/>
        </w:rPr>
        <w:t>irginia</w:t>
      </w:r>
      <w:r w:rsidR="00B30F5F">
        <w:rPr>
          <w:rFonts w:eastAsia="Calibri"/>
          <w:snapToGrid/>
          <w:kern w:val="0"/>
          <w:szCs w:val="22"/>
        </w:rPr>
        <w:t>, Department of</w:t>
      </w:r>
      <w:r w:rsidRPr="00B631B8">
        <w:rPr>
          <w:rFonts w:eastAsia="Calibri"/>
          <w:snapToGrid/>
          <w:kern w:val="0"/>
          <w:szCs w:val="22"/>
        </w:rPr>
        <w:t xml:space="preserve"> Sta</w:t>
      </w:r>
      <w:r w:rsidR="00B30F5F">
        <w:rPr>
          <w:rFonts w:eastAsia="Calibri"/>
          <w:snapToGrid/>
          <w:kern w:val="0"/>
          <w:szCs w:val="22"/>
        </w:rPr>
        <w:t>te Police (</w:t>
      </w:r>
      <w:r w:rsidRPr="00B631B8">
        <w:rPr>
          <w:rFonts w:eastAsia="Calibri"/>
          <w:snapToGrid/>
          <w:kern w:val="0"/>
          <w:szCs w:val="22"/>
        </w:rPr>
        <w:t>V</w:t>
      </w:r>
      <w:r w:rsidR="00B30F5F">
        <w:rPr>
          <w:rFonts w:eastAsia="Calibri"/>
          <w:snapToGrid/>
          <w:kern w:val="0"/>
          <w:szCs w:val="22"/>
        </w:rPr>
        <w:t>A</w:t>
      </w:r>
      <w:r w:rsidRPr="00B631B8">
        <w:rPr>
          <w:rFonts w:eastAsia="Calibri"/>
          <w:snapToGrid/>
          <w:kern w:val="0"/>
          <w:szCs w:val="22"/>
        </w:rPr>
        <w:t xml:space="preserve"> Sta</w:t>
      </w:r>
      <w:r w:rsidR="00B30F5F">
        <w:rPr>
          <w:rFonts w:eastAsia="Calibri"/>
          <w:snapToGrid/>
          <w:kern w:val="0"/>
          <w:szCs w:val="22"/>
        </w:rPr>
        <w:t>te Police</w:t>
      </w:r>
      <w:r w:rsidRPr="00B631B8">
        <w:rPr>
          <w:rFonts w:eastAsia="Calibri"/>
          <w:snapToGrid/>
          <w:kern w:val="0"/>
          <w:szCs w:val="22"/>
        </w:rPr>
        <w:t xml:space="preserve">) for waiver of </w:t>
      </w:r>
      <w:r w:rsidR="00290C2C">
        <w:rPr>
          <w:rFonts w:eastAsia="Calibri"/>
          <w:snapToGrid/>
          <w:kern w:val="0"/>
          <w:szCs w:val="22"/>
        </w:rPr>
        <w:t>section 22.565(f) of the Commission’s rules to increase the existing limit on its Part 22 transmitter power output for its mobile transmitters from 60 watts to 100 watts, using a maximum effective radiated power (ERP) of 150 watts</w:t>
      </w:r>
      <w:r w:rsidRPr="00B631B8">
        <w:rPr>
          <w:rFonts w:eastAsia="Calibri"/>
          <w:snapToGrid/>
          <w:kern w:val="0"/>
          <w:szCs w:val="22"/>
        </w:rPr>
        <w:t>.</w:t>
      </w:r>
      <w:r>
        <w:rPr>
          <w:rFonts w:eastAsia="Calibri"/>
          <w:snapToGrid/>
          <w:kern w:val="0"/>
          <w:szCs w:val="22"/>
          <w:vertAlign w:val="superscript"/>
        </w:rPr>
        <w:footnoteReference w:id="3"/>
      </w:r>
      <w:r w:rsidRPr="00B631B8">
        <w:rPr>
          <w:rFonts w:eastAsia="Calibri"/>
          <w:snapToGrid/>
          <w:kern w:val="0"/>
          <w:szCs w:val="22"/>
        </w:rPr>
        <w:t xml:space="preserve"> </w:t>
      </w:r>
      <w:r w:rsidR="00290C2C">
        <w:rPr>
          <w:rFonts w:eastAsia="Calibri"/>
          <w:snapToGrid/>
          <w:kern w:val="0"/>
          <w:szCs w:val="22"/>
        </w:rPr>
        <w:t xml:space="preserve"> VA State Police </w:t>
      </w:r>
      <w:r>
        <w:rPr>
          <w:rFonts w:eastAsia="Calibri"/>
          <w:snapToGrid/>
          <w:kern w:val="0"/>
          <w:szCs w:val="22"/>
        </w:rPr>
        <w:t xml:space="preserve">seeks </w:t>
      </w:r>
      <w:r w:rsidRPr="00B631B8">
        <w:rPr>
          <w:rFonts w:eastAsia="Calibri"/>
          <w:snapToGrid/>
          <w:kern w:val="0"/>
          <w:szCs w:val="22"/>
        </w:rPr>
        <w:t>to</w:t>
      </w:r>
      <w:r>
        <w:rPr>
          <w:rFonts w:eastAsia="Calibri"/>
          <w:snapToGrid/>
          <w:kern w:val="0"/>
          <w:szCs w:val="22"/>
        </w:rPr>
        <w:t xml:space="preserve"> increase the capacity of its existing land mobile radio network</w:t>
      </w:r>
      <w:r w:rsidR="00B03CA0">
        <w:rPr>
          <w:rFonts w:eastAsia="Calibri"/>
          <w:snapToGrid/>
          <w:kern w:val="0"/>
          <w:szCs w:val="22"/>
        </w:rPr>
        <w:t xml:space="preserve"> (LMR)</w:t>
      </w:r>
      <w:r w:rsidR="007267F7">
        <w:rPr>
          <w:rFonts w:eastAsia="Calibri"/>
          <w:snapToGrid/>
          <w:kern w:val="0"/>
          <w:szCs w:val="22"/>
        </w:rPr>
        <w:t xml:space="preserve">, referred to as </w:t>
      </w:r>
      <w:r w:rsidR="007267F7">
        <w:t>the Statewide Agencies Radio System (STARS),</w:t>
      </w:r>
      <w:r w:rsidR="007267F7">
        <w:rPr>
          <w:rFonts w:eastAsia="Calibri"/>
          <w:snapToGrid/>
          <w:kern w:val="0"/>
          <w:szCs w:val="22"/>
        </w:rPr>
        <w:t xml:space="preserve"> </w:t>
      </w:r>
      <w:r>
        <w:rPr>
          <w:rFonts w:eastAsia="Calibri"/>
          <w:snapToGrid/>
          <w:kern w:val="0"/>
          <w:szCs w:val="22"/>
        </w:rPr>
        <w:t>by upgrading it to use Time-Division Multiple Access (TDMA) technology</w:t>
      </w:r>
      <w:r w:rsidR="00B03CA0">
        <w:rPr>
          <w:rFonts w:eastAsia="Calibri"/>
          <w:snapToGrid/>
          <w:kern w:val="0"/>
          <w:szCs w:val="22"/>
        </w:rPr>
        <w:t>,</w:t>
      </w:r>
      <w:r>
        <w:rPr>
          <w:rFonts w:eastAsia="Calibri"/>
          <w:snapToGrid/>
          <w:kern w:val="0"/>
          <w:szCs w:val="22"/>
        </w:rPr>
        <w:t xml:space="preserve"> while maintaining the existing geographic coverage on which the STARS public safety communication system currently depends.</w:t>
      </w:r>
      <w:r w:rsidR="002C441A">
        <w:rPr>
          <w:rFonts w:eastAsia="Calibri"/>
          <w:snapToGrid/>
          <w:kern w:val="0"/>
          <w:szCs w:val="22"/>
        </w:rPr>
        <w:t xml:space="preserve">  VA State Police asserts </w:t>
      </w:r>
      <w:r w:rsidR="00AF0D61">
        <w:rPr>
          <w:rFonts w:eastAsia="Calibri"/>
          <w:snapToGrid/>
          <w:kern w:val="0"/>
          <w:szCs w:val="22"/>
        </w:rPr>
        <w:t xml:space="preserve">that </w:t>
      </w:r>
      <w:r w:rsidR="002C441A">
        <w:rPr>
          <w:rFonts w:eastAsia="Calibri"/>
          <w:snapToGrid/>
          <w:kern w:val="0"/>
          <w:szCs w:val="22"/>
        </w:rPr>
        <w:t xml:space="preserve">it has investigated </w:t>
      </w:r>
      <w:r w:rsidR="003E0F95">
        <w:rPr>
          <w:rFonts w:eastAsia="Calibri"/>
          <w:snapToGrid/>
          <w:kern w:val="0"/>
          <w:szCs w:val="22"/>
        </w:rPr>
        <w:t xml:space="preserve">other </w:t>
      </w:r>
      <w:r w:rsidR="002C441A">
        <w:rPr>
          <w:rFonts w:eastAsia="Calibri"/>
          <w:snapToGrid/>
          <w:kern w:val="0"/>
          <w:szCs w:val="22"/>
        </w:rPr>
        <w:t>spectrum and technology options and found no viable alternative for addressing its security and public</w:t>
      </w:r>
      <w:r w:rsidR="003E0F95">
        <w:rPr>
          <w:rFonts w:eastAsia="Calibri"/>
          <w:snapToGrid/>
          <w:kern w:val="0"/>
          <w:szCs w:val="22"/>
        </w:rPr>
        <w:t xml:space="preserve"> safety responsibilities.</w:t>
      </w:r>
      <w:r>
        <w:rPr>
          <w:rFonts w:eastAsia="Calibri"/>
          <w:snapToGrid/>
          <w:kern w:val="0"/>
          <w:szCs w:val="22"/>
          <w:vertAlign w:val="superscript"/>
        </w:rPr>
        <w:footnoteReference w:id="4"/>
      </w:r>
    </w:p>
    <w:p w:rsidR="00B8103A" w:rsidP="00B631B8" w14:paraId="0FB983B5" w14:textId="1D78AEAF">
      <w:pPr>
        <w:widowControl/>
        <w:autoSpaceDE w:val="0"/>
        <w:autoSpaceDN w:val="0"/>
        <w:adjustRightInd w:val="0"/>
        <w:spacing w:after="120" w:line="276" w:lineRule="auto"/>
        <w:ind w:firstLine="720"/>
        <w:rPr>
          <w:rFonts w:eastAsia="Calibri"/>
          <w:snapToGrid/>
          <w:kern w:val="0"/>
          <w:szCs w:val="22"/>
        </w:rPr>
      </w:pPr>
      <w:r>
        <w:rPr>
          <w:rFonts w:eastAsia="Calibri"/>
          <w:snapToGrid/>
          <w:kern w:val="0"/>
          <w:szCs w:val="22"/>
        </w:rPr>
        <w:t>STARS is a statewide shared LMR system utilizing Part 90 public safety channels,</w:t>
      </w:r>
      <w:r>
        <w:rPr>
          <w:rStyle w:val="FootnoteReference"/>
          <w:rFonts w:eastAsia="Calibri"/>
          <w:snapToGrid/>
          <w:kern w:val="0"/>
          <w:szCs w:val="22"/>
        </w:rPr>
        <w:footnoteReference w:id="5"/>
      </w:r>
      <w:r>
        <w:rPr>
          <w:rFonts w:eastAsia="Calibri"/>
          <w:snapToGrid/>
          <w:kern w:val="0"/>
          <w:szCs w:val="22"/>
        </w:rPr>
        <w:t xml:space="preserve"> Part 80 VHF Public Coast channels,</w:t>
      </w:r>
      <w:r>
        <w:rPr>
          <w:rStyle w:val="FootnoteReference"/>
          <w:rFonts w:eastAsia="Calibri"/>
          <w:snapToGrid/>
          <w:kern w:val="0"/>
          <w:szCs w:val="22"/>
        </w:rPr>
        <w:footnoteReference w:id="6"/>
      </w:r>
      <w:r w:rsidR="006648E1">
        <w:rPr>
          <w:rFonts w:eastAsia="Calibri"/>
          <w:snapToGrid/>
          <w:kern w:val="0"/>
          <w:szCs w:val="22"/>
        </w:rPr>
        <w:t xml:space="preserve"> and Part 22</w:t>
      </w:r>
      <w:r w:rsidRPr="00AF0D61" w:rsidR="00AF0D61">
        <w:rPr>
          <w:rFonts w:eastAsia="Calibri"/>
          <w:snapToGrid/>
          <w:kern w:val="0"/>
          <w:szCs w:val="22"/>
        </w:rPr>
        <w:t xml:space="preserve"> </w:t>
      </w:r>
      <w:r w:rsidR="00AF0D61">
        <w:rPr>
          <w:rFonts w:eastAsia="Calibri"/>
          <w:snapToGrid/>
          <w:kern w:val="0"/>
          <w:szCs w:val="22"/>
        </w:rPr>
        <w:t>VHF paging channels</w:t>
      </w:r>
      <w:r w:rsidR="006648E1">
        <w:rPr>
          <w:rFonts w:eastAsia="Calibri"/>
          <w:snapToGrid/>
          <w:kern w:val="0"/>
          <w:szCs w:val="22"/>
        </w:rPr>
        <w:t xml:space="preserve"> </w:t>
      </w:r>
      <w:r w:rsidR="00AF0D61">
        <w:rPr>
          <w:rFonts w:eastAsia="Calibri"/>
          <w:snapToGrid/>
          <w:kern w:val="0"/>
          <w:szCs w:val="22"/>
        </w:rPr>
        <w:t xml:space="preserve">licensed by </w:t>
      </w:r>
      <w:r w:rsidR="002862A2">
        <w:rPr>
          <w:rFonts w:eastAsia="Calibri"/>
          <w:snapToGrid/>
          <w:kern w:val="0"/>
          <w:szCs w:val="22"/>
        </w:rPr>
        <w:t>Basic</w:t>
      </w:r>
      <w:r w:rsidR="002213FC">
        <w:rPr>
          <w:rFonts w:eastAsia="Calibri"/>
          <w:snapToGrid/>
          <w:kern w:val="0"/>
          <w:szCs w:val="22"/>
        </w:rPr>
        <w:t xml:space="preserve"> Economic A</w:t>
      </w:r>
      <w:r w:rsidR="002862A2">
        <w:rPr>
          <w:rFonts w:eastAsia="Calibri"/>
          <w:snapToGrid/>
          <w:kern w:val="0"/>
          <w:szCs w:val="22"/>
        </w:rPr>
        <w:t>rea</w:t>
      </w:r>
      <w:r w:rsidR="002213FC">
        <w:rPr>
          <w:rFonts w:eastAsia="Calibri"/>
          <w:snapToGrid/>
          <w:kern w:val="0"/>
          <w:szCs w:val="22"/>
        </w:rPr>
        <w:t xml:space="preserve"> </w:t>
      </w:r>
      <w:r w:rsidR="006648E1">
        <w:rPr>
          <w:rFonts w:eastAsia="Calibri"/>
          <w:snapToGrid/>
          <w:kern w:val="0"/>
          <w:szCs w:val="22"/>
        </w:rPr>
        <w:t>(BEA) market</w:t>
      </w:r>
      <w:r w:rsidR="00AF0D61">
        <w:rPr>
          <w:rFonts w:eastAsia="Calibri"/>
          <w:snapToGrid/>
          <w:kern w:val="0"/>
          <w:szCs w:val="22"/>
        </w:rPr>
        <w:t>s</w:t>
      </w:r>
      <w:r w:rsidR="006648E1">
        <w:rPr>
          <w:rFonts w:eastAsia="Calibri"/>
          <w:snapToGrid/>
          <w:kern w:val="0"/>
          <w:szCs w:val="22"/>
        </w:rPr>
        <w:t>.</w:t>
      </w:r>
      <w:r>
        <w:rPr>
          <w:rStyle w:val="FootnoteReference"/>
          <w:rFonts w:eastAsia="Calibri"/>
          <w:snapToGrid/>
          <w:kern w:val="0"/>
          <w:szCs w:val="22"/>
        </w:rPr>
        <w:footnoteReference w:id="7"/>
      </w:r>
      <w:r w:rsidR="000B6901">
        <w:rPr>
          <w:rFonts w:eastAsia="Calibri"/>
          <w:snapToGrid/>
          <w:kern w:val="0"/>
          <w:szCs w:val="22"/>
        </w:rPr>
        <w:t xml:space="preserve">  VA State Police states that the Commonwealth of Virginia concluded that the only practical </w:t>
      </w:r>
      <w:r w:rsidR="000B6901">
        <w:rPr>
          <w:rFonts w:eastAsia="Calibri"/>
          <w:snapToGrid/>
          <w:kern w:val="0"/>
          <w:szCs w:val="22"/>
        </w:rPr>
        <w:t>way to meet the increasing capacity needs of its STARS LMR network is to upgrade from its existing Frequency-Division Multiple Access technology to TDMA technology.  VA State Police asserts that the upgrade will create an imbalance between talk-in and talk-out coverage</w:t>
      </w:r>
      <w:r w:rsidR="009357F3">
        <w:rPr>
          <w:rFonts w:eastAsia="Calibri"/>
          <w:snapToGrid/>
          <w:kern w:val="0"/>
          <w:szCs w:val="22"/>
        </w:rPr>
        <w:t>,</w:t>
      </w:r>
      <w:r w:rsidR="000B6901">
        <w:rPr>
          <w:rFonts w:eastAsia="Calibri"/>
          <w:snapToGrid/>
          <w:kern w:val="0"/>
          <w:szCs w:val="22"/>
        </w:rPr>
        <w:t xml:space="preserve"> result</w:t>
      </w:r>
      <w:r w:rsidR="008A2476">
        <w:rPr>
          <w:rFonts w:eastAsia="Calibri"/>
          <w:snapToGrid/>
          <w:kern w:val="0"/>
          <w:szCs w:val="22"/>
        </w:rPr>
        <w:t>ing</w:t>
      </w:r>
      <w:r w:rsidR="000B6901">
        <w:rPr>
          <w:rFonts w:eastAsia="Calibri"/>
          <w:snapToGrid/>
          <w:kern w:val="0"/>
          <w:szCs w:val="22"/>
        </w:rPr>
        <w:t xml:space="preserve"> in a loss of geographical coverage</w:t>
      </w:r>
      <w:r w:rsidR="008A2476">
        <w:rPr>
          <w:rFonts w:eastAsia="Calibri"/>
          <w:snapToGrid/>
          <w:kern w:val="0"/>
          <w:szCs w:val="22"/>
        </w:rPr>
        <w:t xml:space="preserve"> that can best be </w:t>
      </w:r>
      <w:r w:rsidR="000B6901">
        <w:rPr>
          <w:rFonts w:eastAsia="Calibri"/>
          <w:snapToGrid/>
          <w:kern w:val="0"/>
          <w:szCs w:val="22"/>
        </w:rPr>
        <w:t>addressed by increasing the Part 22 mobile transmitter power from 60 watts to 100 watts.</w:t>
      </w:r>
      <w:r>
        <w:rPr>
          <w:rStyle w:val="FootnoteReference"/>
          <w:rFonts w:eastAsia="Calibri"/>
          <w:snapToGrid/>
          <w:kern w:val="0"/>
          <w:szCs w:val="22"/>
        </w:rPr>
        <w:footnoteReference w:id="8"/>
      </w:r>
      <w:r w:rsidR="00D96D51">
        <w:rPr>
          <w:rFonts w:eastAsia="Calibri"/>
          <w:snapToGrid/>
          <w:kern w:val="0"/>
          <w:szCs w:val="22"/>
        </w:rPr>
        <w:t xml:space="preserve">  VA State Police further claim</w:t>
      </w:r>
      <w:r w:rsidR="008E731C">
        <w:rPr>
          <w:rFonts w:eastAsia="Calibri"/>
          <w:snapToGrid/>
          <w:kern w:val="0"/>
          <w:szCs w:val="22"/>
        </w:rPr>
        <w:t>s</w:t>
      </w:r>
      <w:r w:rsidR="00D96D51">
        <w:rPr>
          <w:rFonts w:eastAsia="Calibri"/>
          <w:snapToGrid/>
          <w:kern w:val="0"/>
          <w:szCs w:val="22"/>
        </w:rPr>
        <w:t xml:space="preserve"> that </w:t>
      </w:r>
      <w:r w:rsidR="008E731C">
        <w:rPr>
          <w:rFonts w:eastAsia="Calibri"/>
          <w:snapToGrid/>
          <w:kern w:val="0"/>
          <w:szCs w:val="22"/>
        </w:rPr>
        <w:t>its</w:t>
      </w:r>
      <w:r w:rsidR="00D96D51">
        <w:rPr>
          <w:rFonts w:eastAsia="Calibri"/>
          <w:snapToGrid/>
          <w:kern w:val="0"/>
          <w:szCs w:val="22"/>
        </w:rPr>
        <w:t xml:space="preserve"> operation at this increased power level will not cause any interference to others operating o</w:t>
      </w:r>
      <w:r w:rsidR="008E731C">
        <w:rPr>
          <w:rFonts w:eastAsia="Calibri"/>
          <w:snapToGrid/>
          <w:kern w:val="0"/>
          <w:szCs w:val="22"/>
        </w:rPr>
        <w:t>n</w:t>
      </w:r>
      <w:r w:rsidR="00D96D51">
        <w:rPr>
          <w:rFonts w:eastAsia="Calibri"/>
          <w:snapToGrid/>
          <w:kern w:val="0"/>
          <w:szCs w:val="22"/>
        </w:rPr>
        <w:t xml:space="preserve"> adjacent channels.</w:t>
      </w:r>
      <w:r>
        <w:rPr>
          <w:rStyle w:val="FootnoteReference"/>
          <w:rFonts w:eastAsia="Calibri"/>
          <w:snapToGrid/>
          <w:kern w:val="0"/>
          <w:szCs w:val="22"/>
        </w:rPr>
        <w:footnoteReference w:id="9"/>
      </w:r>
      <w:r w:rsidR="00D96D51">
        <w:rPr>
          <w:rFonts w:eastAsia="Calibri"/>
          <w:snapToGrid/>
          <w:kern w:val="0"/>
          <w:szCs w:val="22"/>
        </w:rPr>
        <w:t xml:space="preserve"> </w:t>
      </w:r>
    </w:p>
    <w:p w:rsidR="00B631B8" w:rsidRPr="00B631B8" w:rsidP="00B631B8" w14:paraId="5B6A58FC" w14:textId="300F38D3">
      <w:pPr>
        <w:widowControl/>
        <w:autoSpaceDE w:val="0"/>
        <w:autoSpaceDN w:val="0"/>
        <w:adjustRightInd w:val="0"/>
        <w:spacing w:after="120" w:line="276" w:lineRule="auto"/>
        <w:ind w:firstLine="720"/>
        <w:rPr>
          <w:rFonts w:eastAsia="Calibri"/>
          <w:snapToGrid/>
          <w:kern w:val="0"/>
          <w:szCs w:val="22"/>
        </w:rPr>
      </w:pPr>
      <w:r w:rsidRPr="00B631B8">
        <w:rPr>
          <w:rFonts w:eastAsia="Calibri"/>
          <w:snapToGrid/>
          <w:kern w:val="0"/>
          <w:szCs w:val="22"/>
        </w:rPr>
        <w:t>We seek comment on the waiver request, especially from any parties whose operations could be impacted by grant of the waiver</w:t>
      </w:r>
      <w:r w:rsidR="00C226C0">
        <w:rPr>
          <w:rFonts w:eastAsia="Calibri"/>
          <w:snapToGrid/>
          <w:kern w:val="0"/>
          <w:szCs w:val="22"/>
        </w:rPr>
        <w:t xml:space="preserve"> request</w:t>
      </w:r>
      <w:r w:rsidRPr="00B631B8">
        <w:rPr>
          <w:rFonts w:eastAsia="Calibri"/>
          <w:snapToGrid/>
          <w:kern w:val="0"/>
          <w:szCs w:val="22"/>
        </w:rPr>
        <w:t>.</w:t>
      </w:r>
    </w:p>
    <w:p w:rsidR="0008528C" w:rsidRPr="0005776F" w:rsidP="00D15FD8" w14:paraId="19E4AC51" w14:textId="45733136">
      <w:pPr>
        <w:spacing w:before="120" w:after="120"/>
        <w:rPr>
          <w:b/>
          <w:szCs w:val="22"/>
        </w:rPr>
      </w:pPr>
      <w:r w:rsidRPr="0005776F">
        <w:rPr>
          <w:b/>
          <w:szCs w:val="22"/>
        </w:rPr>
        <w:t>Procedural Matters</w:t>
      </w:r>
    </w:p>
    <w:p w:rsidR="0008528C" w:rsidRPr="005D2B63" w:rsidP="00D15FD8" w14:paraId="74B3610F" w14:textId="77777777">
      <w:pPr>
        <w:pStyle w:val="ParaNum"/>
        <w:numPr>
          <w:ilvl w:val="0"/>
          <w:numId w:val="0"/>
        </w:numPr>
        <w:ind w:firstLine="720"/>
      </w:pPr>
      <w:r w:rsidRPr="005D2B63">
        <w:t xml:space="preserve">Interested parties may file comments and reply comments in response to the waiver request on or before the dates listed on the first page of this </w:t>
      </w:r>
      <w:r w:rsidRPr="005D2B63">
        <w:rPr>
          <w:i/>
        </w:rPr>
        <w:t>Public Notice</w:t>
      </w:r>
      <w:r w:rsidRPr="005D2B63">
        <w:t xml:space="preserve">.  All pleadings must reference </w:t>
      </w:r>
      <w:r w:rsidRPr="005D2B63">
        <w:rPr>
          <w:color w:val="000000"/>
          <w:szCs w:val="22"/>
        </w:rPr>
        <w:t xml:space="preserve">the </w:t>
      </w:r>
      <w:r w:rsidRPr="00601521">
        <w:rPr>
          <w:color w:val="000000"/>
          <w:szCs w:val="22"/>
        </w:rPr>
        <w:t>docket number</w:t>
      </w:r>
      <w:r>
        <w:rPr>
          <w:color w:val="000000"/>
          <w:szCs w:val="22"/>
        </w:rPr>
        <w:t xml:space="preserve"> appearing on the first page of this </w:t>
      </w:r>
      <w:r w:rsidRPr="005D2B63">
        <w:rPr>
          <w:i/>
          <w:color w:val="000000"/>
          <w:szCs w:val="22"/>
        </w:rPr>
        <w:t>Public Notice</w:t>
      </w:r>
      <w:r w:rsidRPr="005D2B63">
        <w:t>.  Parties may file comments using (1) the Commission’s Electronic Comment Filing System (ECFS), (2) the Federal Government’s eRulemaking Portal, or (3) by filing paper copies.</w:t>
      </w:r>
      <w:r>
        <w:rPr>
          <w:vertAlign w:val="superscript"/>
        </w:rPr>
        <w:footnoteReference w:id="10"/>
      </w:r>
    </w:p>
    <w:p w:rsidR="0008528C" w:rsidRPr="005D2B63" w:rsidP="00D15FD8" w14:paraId="209F8126" w14:textId="77777777">
      <w:pPr>
        <w:widowControl/>
        <w:numPr>
          <w:ilvl w:val="0"/>
          <w:numId w:val="11"/>
        </w:numPr>
        <w:tabs>
          <w:tab w:val="left" w:pos="-720"/>
        </w:tabs>
        <w:suppressAutoHyphens/>
        <w:spacing w:after="120"/>
      </w:pPr>
      <w:r w:rsidRPr="005D2B63">
        <w:t>Electronic Filers:  File comments electronically using the Internet by accessing the ECFS:  http://www.fcc.gov/cgb/ecfs/ or the Federal eRulemaking Portal:  http://www.regulations.gov.  Filers should follow the instructions provided on the website for submitting comments.</w:t>
      </w:r>
    </w:p>
    <w:p w:rsidR="0008528C" w:rsidRPr="005D2B63" w:rsidP="00D15FD8" w14:paraId="222A5CA8" w14:textId="77777777">
      <w:pPr>
        <w:widowControl/>
        <w:numPr>
          <w:ilvl w:val="0"/>
          <w:numId w:val="11"/>
        </w:numPr>
        <w:tabs>
          <w:tab w:val="left" w:pos="-720"/>
        </w:tabs>
        <w:suppressAutoHyphens/>
        <w:spacing w:after="120"/>
      </w:pPr>
      <w:r w:rsidRPr="005D2B63">
        <w:t xml:space="preserve">In completing the transmittal screen, filers should include their full name, U.S. Postal Service mailing address, and the applicable </w:t>
      </w:r>
      <w:r w:rsidRPr="00601521">
        <w:t>docket</w:t>
      </w:r>
      <w:r w:rsidRPr="005D2B63">
        <w:t xml:space="preserve"> or rulemaking number.  Parties may also submit an electronic comment by Internet e-mail. </w:t>
      </w:r>
      <w:r>
        <w:t xml:space="preserve"> </w:t>
      </w:r>
      <w:r w:rsidRPr="005D2B63">
        <w:t>To get filing instructions, filers should send an e-mail to ecfs@fcc.gov, and include the following words in the body of the message, “get form.”  A sample form and directions will be sent in response.</w:t>
      </w:r>
    </w:p>
    <w:p w:rsidR="0008528C" w:rsidRPr="005D2B63" w:rsidP="00D15FD8" w14:paraId="4E31684E" w14:textId="142CE0AC">
      <w:pPr>
        <w:widowControl/>
        <w:numPr>
          <w:ilvl w:val="0"/>
          <w:numId w:val="11"/>
        </w:numPr>
        <w:tabs>
          <w:tab w:val="left" w:pos="-720"/>
        </w:tabs>
        <w:suppressAutoHyphens/>
        <w:spacing w:after="120"/>
      </w:pPr>
      <w:r w:rsidRPr="005D2B63">
        <w:t xml:space="preserve">Paper Filers:  Parties who choose to file by paper must file an original and </w:t>
      </w:r>
      <w:r>
        <w:t>one</w:t>
      </w:r>
      <w:r w:rsidRPr="005D2B63">
        <w:t xml:space="preserve"> cop</w:t>
      </w:r>
      <w:r>
        <w:t>y</w:t>
      </w:r>
      <w:r w:rsidRPr="005D2B63">
        <w:t xml:space="preserve"> of each filing.  </w:t>
      </w:r>
      <w:r w:rsidRPr="00297921" w:rsidR="00297921">
        <w:t>Filings can be sent by hand or messenger delivery, by commercial overnight courier, or by first-class or overnight U.S. Postal Service mail.  All filings must be addressed to the Commission’s Secretary, Office of the Secretary, Federal Communications Commission.</w:t>
      </w:r>
    </w:p>
    <w:p w:rsidR="0008528C" w:rsidRPr="005D2B63" w:rsidP="00D15FD8" w14:paraId="0F0F0E62" w14:textId="5238D313">
      <w:pPr>
        <w:widowControl/>
        <w:numPr>
          <w:ilvl w:val="0"/>
          <w:numId w:val="13"/>
        </w:numPr>
        <w:tabs>
          <w:tab w:val="left" w:pos="-720"/>
        </w:tabs>
        <w:suppressAutoHyphens/>
        <w:spacing w:after="120"/>
      </w:pPr>
      <w:r w:rsidRPr="00297921">
        <w:t>As of March 19, 2020, the FCC is no longer accepting hand-delivered or messenger-delivered paper filings at FCC Headquarters due to the COVID-19 pandemic.</w:t>
      </w:r>
      <w:r>
        <w:rPr>
          <w:vertAlign w:val="superscript"/>
        </w:rPr>
        <w:footnoteReference w:id="11"/>
      </w:r>
      <w:r w:rsidRPr="00297921">
        <w:t xml:space="preserve">  Furthermore, after COVID-19 restrictions are lifted the new filing location for paper documents will be 9050 Junction Drive, Annapolis Junction, MD 20701.</w:t>
      </w:r>
      <w:r>
        <w:rPr>
          <w:vertAlign w:val="superscript"/>
        </w:rPr>
        <w:footnoteReference w:id="12"/>
      </w:r>
    </w:p>
    <w:p w:rsidR="0008528C" w:rsidRPr="005D2B63" w:rsidP="00D15FD8" w14:paraId="4FA7855D" w14:textId="616239D7">
      <w:pPr>
        <w:widowControl/>
        <w:numPr>
          <w:ilvl w:val="0"/>
          <w:numId w:val="13"/>
        </w:numPr>
        <w:tabs>
          <w:tab w:val="left" w:pos="-720"/>
        </w:tabs>
        <w:suppressAutoHyphens/>
        <w:spacing w:after="120"/>
      </w:pPr>
      <w:r w:rsidRPr="00297921">
        <w:t>Commercial overnight mail (other than U.S. Postal Service Express Mail and Priority Mail) must be sent to 9050 Junction Drive, Annapolis Junction, MD 20701.</w:t>
      </w:r>
    </w:p>
    <w:p w:rsidR="0008528C" w:rsidRPr="005D2B63" w:rsidP="00D15FD8" w14:paraId="68B430BA" w14:textId="5F5D2E17">
      <w:pPr>
        <w:widowControl/>
        <w:numPr>
          <w:ilvl w:val="0"/>
          <w:numId w:val="13"/>
        </w:numPr>
        <w:tabs>
          <w:tab w:val="left" w:pos="-720"/>
        </w:tabs>
        <w:suppressAutoHyphens/>
        <w:spacing w:after="120"/>
      </w:pPr>
      <w:r w:rsidRPr="00297921">
        <w:t>U.S. Postal Service first-class, Express, and Priority mail must be addressed to 445 12</w:t>
      </w:r>
      <w:r w:rsidRPr="00297921">
        <w:rPr>
          <w:vertAlign w:val="superscript"/>
        </w:rPr>
        <w:t>th</w:t>
      </w:r>
      <w:r w:rsidRPr="00297921">
        <w:t xml:space="preserve"> Street, SW, Washington DC  20554.</w:t>
      </w:r>
    </w:p>
    <w:p w:rsidR="0008528C" w:rsidRPr="005D2B63" w:rsidP="00D15FD8" w14:paraId="63BE37A5" w14:textId="61F1E579">
      <w:pPr>
        <w:pStyle w:val="ParaNum"/>
        <w:numPr>
          <w:ilvl w:val="0"/>
          <w:numId w:val="0"/>
        </w:numPr>
        <w:ind w:firstLine="720"/>
      </w:pPr>
      <w:r w:rsidRPr="005D2B63">
        <w:t xml:space="preserve">The request, and comments and reply comments filed in response to this </w:t>
      </w:r>
      <w:r w:rsidRPr="005D2B63">
        <w:rPr>
          <w:i/>
        </w:rPr>
        <w:t>Public Notice</w:t>
      </w:r>
      <w:r w:rsidRPr="005D2B63">
        <w:t xml:space="preserve"> are available for viewing via the Commission’s Electronic Comment Filing System (ECFS) by entering </w:t>
      </w:r>
      <w:bookmarkStart w:id="2" w:name="_Hlk498696300"/>
      <w:r w:rsidRPr="005D2B63">
        <w:t xml:space="preserve">the </w:t>
      </w:r>
      <w:r w:rsidRPr="00601521">
        <w:t>docket number</w:t>
      </w:r>
      <w:r>
        <w:t xml:space="preserve"> appearing on the first page of this </w:t>
      </w:r>
      <w:r w:rsidRPr="005D2B63">
        <w:rPr>
          <w:i/>
        </w:rPr>
        <w:t>Public Notice</w:t>
      </w:r>
      <w:bookmarkEnd w:id="2"/>
      <w:r w:rsidRPr="005D2B63">
        <w:t xml:space="preserve">.  </w:t>
      </w:r>
      <w:r>
        <w:t xml:space="preserve">Reference Information Center business hours are available at </w:t>
      </w:r>
      <w:hyperlink r:id="rId5" w:history="1">
        <w:r w:rsidRPr="00E637AF">
          <w:rPr>
            <w:rStyle w:val="Hyperlink"/>
            <w:szCs w:val="22"/>
          </w:rPr>
          <w:t>https://www.fcc.gov/general/fcc-reference-information-center</w:t>
        </w:r>
      </w:hyperlink>
      <w:r>
        <w:t xml:space="preserve">. </w:t>
      </w:r>
    </w:p>
    <w:p w:rsidR="0008528C" w:rsidRPr="005D2B63" w:rsidP="00D15FD8" w14:paraId="13699A3F" w14:textId="214D37D4">
      <w:pPr>
        <w:pStyle w:val="ParaNum"/>
        <w:numPr>
          <w:ilvl w:val="0"/>
          <w:numId w:val="0"/>
        </w:numPr>
        <w:ind w:firstLine="720"/>
      </w:pPr>
      <w:r>
        <w:rPr>
          <w:szCs w:val="22"/>
        </w:rPr>
        <w:t xml:space="preserve">People with Disabilities:  To request materials in accessible formats for people with disabilities (braille, large print, electronic files, audio format), send an e-mail to </w:t>
      </w:r>
      <w:hyperlink r:id="rId6" w:history="1">
        <w:r>
          <w:rPr>
            <w:color w:val="0000FF"/>
            <w:szCs w:val="22"/>
            <w:u w:val="single"/>
          </w:rPr>
          <w:t>fcc504@fcc.gov</w:t>
        </w:r>
      </w:hyperlink>
      <w:r>
        <w:rPr>
          <w:szCs w:val="22"/>
        </w:rPr>
        <w:t xml:space="preserve"> or call the Consumer &amp; Governmental Affairs Bureau at 202-418-0530 (voice), 202-418-0432 (tty).</w:t>
      </w:r>
      <w:r w:rsidRPr="005D2B63" w:rsidR="00D744F7">
        <w:t xml:space="preserve"> </w:t>
      </w:r>
    </w:p>
    <w:p w:rsidR="0008528C" w:rsidRPr="005D2B63" w:rsidP="00D15FD8" w14:paraId="554F2C8A" w14:textId="77777777">
      <w:pPr>
        <w:pStyle w:val="ParaNum"/>
        <w:numPr>
          <w:ilvl w:val="0"/>
          <w:numId w:val="0"/>
        </w:numPr>
        <w:ind w:firstLine="720"/>
        <w:rPr>
          <w:szCs w:val="22"/>
        </w:rPr>
      </w:pPr>
      <w:r w:rsidRPr="005D2B63">
        <w:rPr>
          <w:szCs w:val="22"/>
        </w:rPr>
        <w:t xml:space="preserve">This proceeding has been designated as a “permit-but-disclose” proceeding in accordance with the Commission's </w:t>
      </w:r>
      <w:r w:rsidRPr="005D2B63">
        <w:rPr>
          <w:i/>
          <w:szCs w:val="22"/>
        </w:rPr>
        <w:t>ex parte</w:t>
      </w:r>
      <w:r w:rsidRPr="005D2B63">
        <w:rPr>
          <w:szCs w:val="22"/>
        </w:rPr>
        <w:t xml:space="preserve"> rules.</w:t>
      </w:r>
      <w:r>
        <w:rPr>
          <w:szCs w:val="22"/>
          <w:vertAlign w:val="superscript"/>
        </w:rPr>
        <w:footnoteReference w:id="13"/>
      </w:r>
      <w:r w:rsidRPr="005D2B63">
        <w:rPr>
          <w:szCs w:val="22"/>
        </w:rPr>
        <w:t xml:space="preserve">  Persons making </w:t>
      </w:r>
      <w:r w:rsidRPr="005D2B63">
        <w:rPr>
          <w:i/>
          <w:szCs w:val="22"/>
        </w:rPr>
        <w:t xml:space="preserve">ex parte </w:t>
      </w:r>
      <w:r w:rsidRPr="005D2B63">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D2B63">
        <w:rPr>
          <w:i/>
          <w:iCs/>
          <w:szCs w:val="22"/>
        </w:rPr>
        <w:t xml:space="preserve">ex parte </w:t>
      </w:r>
      <w:r w:rsidRPr="005D2B63">
        <w:rPr>
          <w:szCs w:val="22"/>
        </w:rPr>
        <w:t xml:space="preserve">presentations are reminded that memoranda summarizing the presentation must (1) list all persons attending or otherwise participating in the meeting at which the </w:t>
      </w:r>
      <w:r w:rsidRPr="005D2B63">
        <w:rPr>
          <w:i/>
          <w:iCs/>
          <w:szCs w:val="22"/>
        </w:rPr>
        <w:t xml:space="preserve">ex parte </w:t>
      </w:r>
      <w:r w:rsidRPr="005D2B63">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D2B63">
        <w:rPr>
          <w:i/>
          <w:iCs/>
          <w:szCs w:val="22"/>
        </w:rPr>
        <w:t xml:space="preserve">ex parte </w:t>
      </w:r>
      <w:r w:rsidRPr="005D2B63">
        <w:rPr>
          <w:szCs w:val="22"/>
        </w:rPr>
        <w:t xml:space="preserve">meetings are deemed to be written </w:t>
      </w:r>
      <w:r w:rsidRPr="005D2B63">
        <w:rPr>
          <w:i/>
          <w:iCs/>
          <w:szCs w:val="22"/>
        </w:rPr>
        <w:t>ex parte</w:t>
      </w:r>
      <w:r w:rsidRPr="005D2B63">
        <w:rPr>
          <w:szCs w:val="22"/>
        </w:rPr>
        <w:t xml:space="preserve"> presentations and must be filed consistent with rule 1.1206(b).  In proceedings governed by rule 1.49(f) or for which the Commission has made available a method of electronic filing, written </w:t>
      </w:r>
      <w:r w:rsidRPr="005D2B63">
        <w:rPr>
          <w:i/>
          <w:iCs/>
          <w:szCs w:val="22"/>
        </w:rPr>
        <w:t xml:space="preserve">ex parte </w:t>
      </w:r>
      <w:r w:rsidRPr="005D2B63">
        <w:rPr>
          <w:szCs w:val="22"/>
        </w:rPr>
        <w:t xml:space="preserve">presentations and memoranda summarizing oral </w:t>
      </w:r>
      <w:r w:rsidRPr="005D2B63">
        <w:rPr>
          <w:i/>
          <w:iCs/>
          <w:szCs w:val="22"/>
        </w:rPr>
        <w:t xml:space="preserve">ex parte </w:t>
      </w:r>
      <w:r w:rsidRPr="005D2B63">
        <w:rPr>
          <w:szCs w:val="22"/>
        </w:rPr>
        <w:t>presentations, and all attachments thereto, must be filed through the electronic comment filing system available for that proceeding, and must be filed in their native format (</w:t>
      </w:r>
      <w:r w:rsidRPr="005D2B63">
        <w:rPr>
          <w:i/>
          <w:iCs/>
          <w:szCs w:val="22"/>
        </w:rPr>
        <w:t>e.g.</w:t>
      </w:r>
      <w:r w:rsidRPr="005D2B63">
        <w:rPr>
          <w:szCs w:val="22"/>
        </w:rPr>
        <w:t xml:space="preserve">, .doc, .xml, .ppt, searchable .pdf).  Participants in this proceeding should familiarize themselves with the Commission’s </w:t>
      </w:r>
      <w:r w:rsidRPr="005D2B63">
        <w:rPr>
          <w:i/>
          <w:iCs/>
          <w:szCs w:val="22"/>
        </w:rPr>
        <w:t xml:space="preserve">ex parte </w:t>
      </w:r>
      <w:r w:rsidRPr="005D2B63">
        <w:rPr>
          <w:szCs w:val="22"/>
        </w:rPr>
        <w:t>rules.</w:t>
      </w:r>
    </w:p>
    <w:p w:rsidR="00F973A3" w:rsidP="00D15FD8" w14:paraId="596C992D" w14:textId="0294DF72">
      <w:pPr>
        <w:pStyle w:val="ParaNum"/>
        <w:numPr>
          <w:ilvl w:val="0"/>
          <w:numId w:val="0"/>
        </w:numPr>
        <w:ind w:firstLine="720"/>
        <w:rPr>
          <w:szCs w:val="22"/>
        </w:rPr>
      </w:pPr>
      <w:r w:rsidRPr="005D2B63">
        <w:rPr>
          <w:szCs w:val="22"/>
        </w:rPr>
        <w:t xml:space="preserve">For further information, contact </w:t>
      </w:r>
      <w:r w:rsidR="00E033DD">
        <w:rPr>
          <w:szCs w:val="22"/>
        </w:rPr>
        <w:t>Wilbert Nixon</w:t>
      </w:r>
      <w:r w:rsidRPr="005D2B63">
        <w:rPr>
          <w:szCs w:val="22"/>
        </w:rPr>
        <w:t xml:space="preserve"> of the Wireless Telecommunications Bureau, Mobility Division, at (202) 418-</w:t>
      </w:r>
      <w:r w:rsidR="00E033DD">
        <w:rPr>
          <w:szCs w:val="22"/>
        </w:rPr>
        <w:t>0985</w:t>
      </w:r>
      <w:r w:rsidRPr="005D2B63">
        <w:rPr>
          <w:szCs w:val="22"/>
        </w:rPr>
        <w:t xml:space="preserve">, </w:t>
      </w:r>
      <w:hyperlink r:id="rId7" w:history="1">
        <w:r w:rsidRPr="00AD57E2" w:rsidR="00AD57E2">
          <w:rPr>
            <w:rStyle w:val="Hyperlink"/>
            <w:szCs w:val="22"/>
          </w:rPr>
          <w:t>Wilbert.</w:t>
        </w:r>
        <w:r w:rsidRPr="00944141" w:rsidR="00AD57E2">
          <w:rPr>
            <w:rStyle w:val="Hyperlink"/>
            <w:szCs w:val="22"/>
          </w:rPr>
          <w:t>Nixon@fcc.gov</w:t>
        </w:r>
      </w:hyperlink>
      <w:r w:rsidRPr="005D2B63">
        <w:rPr>
          <w:szCs w:val="22"/>
        </w:rPr>
        <w:t>.</w:t>
      </w:r>
    </w:p>
    <w:p w:rsidR="0008528C" w:rsidRPr="00F973A3" w:rsidP="00812396" w14:paraId="363D3488" w14:textId="77777777">
      <w:pPr>
        <w:pStyle w:val="ParaNum"/>
        <w:numPr>
          <w:ilvl w:val="0"/>
          <w:numId w:val="0"/>
        </w:numPr>
        <w:ind w:firstLine="720"/>
        <w:rPr>
          <w:szCs w:val="22"/>
        </w:rPr>
      </w:pPr>
      <w:r w:rsidRPr="005D2B63">
        <w:t>Action by the Chief, Mobility Division, Wireless Telecommunications Bureau.</w:t>
      </w:r>
    </w:p>
    <w:p w:rsidR="006A2104" w:rsidP="00D15FD8" w14:paraId="65150F6F" w14:textId="77777777">
      <w:pPr>
        <w:tabs>
          <w:tab w:val="left" w:pos="6480"/>
          <w:tab w:val="left" w:pos="6660"/>
        </w:tabs>
        <w:spacing w:before="60"/>
        <w:rPr>
          <w:szCs w:val="22"/>
        </w:rPr>
      </w:pPr>
    </w:p>
    <w:p w:rsidR="0008528C" w:rsidP="00D15FD8" w14:paraId="73FE00D8" w14:textId="77777777">
      <w:pPr>
        <w:jc w:val="center"/>
        <w:rPr>
          <w:sz w:val="24"/>
        </w:rPr>
      </w:pPr>
      <w:r>
        <w:t xml:space="preserve">- </w:t>
      </w:r>
      <w:r w:rsidRPr="00D15FD8">
        <w:rPr>
          <w:b/>
        </w:rPr>
        <w:t>FCC</w:t>
      </w:r>
      <w:r>
        <w:t xml:space="preserve"> -</w:t>
      </w:r>
    </w:p>
    <w:sectPr w:rsidSect="00D15FD8">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13FC" w:rsidP="0055614C" w14:paraId="353607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2213FC" w14:paraId="74DCEA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13FC" w:rsidP="00301C23" w14:paraId="4368DC49"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sidR="009C4CC8">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13FC" w:rsidP="00301C23" w14:paraId="3851F265" w14:textId="77777777">
    <w:pPr>
      <w:pStyle w:val="Footer"/>
      <w:tabs>
        <w:tab w:val="clear" w:pos="4320"/>
        <w:tab w:val="center" w:pos="468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97586" w14:paraId="5C96B17A" w14:textId="77777777">
      <w:r>
        <w:separator/>
      </w:r>
    </w:p>
  </w:footnote>
  <w:footnote w:type="continuationSeparator" w:id="1">
    <w:p w:rsidR="00797586" w14:paraId="15C59112" w14:textId="77777777">
      <w:pPr>
        <w:rPr>
          <w:sz w:val="20"/>
        </w:rPr>
      </w:pPr>
      <w:r>
        <w:rPr>
          <w:sz w:val="20"/>
        </w:rPr>
        <w:t xml:space="preserve">(Continued from previous page)  </w:t>
      </w:r>
      <w:r>
        <w:rPr>
          <w:sz w:val="20"/>
        </w:rPr>
        <w:separator/>
      </w:r>
    </w:p>
  </w:footnote>
  <w:footnote w:type="continuationNotice" w:id="2">
    <w:p w:rsidR="00797586" w:rsidP="00910F12" w14:paraId="5D3743A4" w14:textId="77777777">
      <w:pPr>
        <w:jc w:val="right"/>
        <w:rPr>
          <w:sz w:val="20"/>
        </w:rPr>
      </w:pPr>
      <w:r>
        <w:rPr>
          <w:sz w:val="20"/>
        </w:rPr>
        <w:t>(continued….)</w:t>
      </w:r>
    </w:p>
  </w:footnote>
  <w:footnote w:id="3">
    <w:p w:rsidR="00601521" w:rsidRPr="005514B1" w:rsidP="00601521" w14:paraId="743CD598" w14:textId="3176CC32">
      <w:pPr>
        <w:pStyle w:val="FootnoteText"/>
      </w:pPr>
      <w:r w:rsidRPr="005514B1">
        <w:rPr>
          <w:rStyle w:val="FootnoteReference"/>
          <w:sz w:val="20"/>
        </w:rPr>
        <w:footnoteRef/>
      </w:r>
      <w:r w:rsidRPr="005514B1">
        <w:t xml:space="preserve"> </w:t>
      </w:r>
      <w:r>
        <w:t xml:space="preserve">Commonwealth of Virginia, Department of State Police, Request for Waiver, WT Docket No. 20-241 </w:t>
      </w:r>
      <w:r w:rsidRPr="00B8103A">
        <w:t>(filed June 25, 2020) (Request).</w:t>
      </w:r>
    </w:p>
  </w:footnote>
  <w:footnote w:id="4">
    <w:p w:rsidR="002213FC" w:rsidRPr="005514B1" w:rsidP="003E0F95" w14:paraId="79AEC6C5" w14:textId="6484BE66">
      <w:pPr>
        <w:pStyle w:val="FootnoteText"/>
      </w:pPr>
      <w:r w:rsidRPr="005514B1">
        <w:rPr>
          <w:rStyle w:val="FootnoteReference"/>
          <w:sz w:val="20"/>
        </w:rPr>
        <w:footnoteRef/>
      </w:r>
      <w:r w:rsidRPr="005514B1">
        <w:t xml:space="preserve"> </w:t>
      </w:r>
      <w:r>
        <w:t>Request at 5-6.</w:t>
      </w:r>
    </w:p>
  </w:footnote>
  <w:footnote w:id="5">
    <w:p w:rsidR="002213FC" w14:paraId="25A77559" w14:textId="547B57DF">
      <w:pPr>
        <w:pStyle w:val="FootnoteText"/>
      </w:pPr>
      <w:r w:rsidRPr="009C4CC8">
        <w:rPr>
          <w:rStyle w:val="FootnoteReference"/>
          <w:sz w:val="20"/>
        </w:rPr>
        <w:footnoteRef/>
      </w:r>
      <w:r>
        <w:t xml:space="preserve"> 47 CFR Part 90.  </w:t>
      </w:r>
      <w:r>
        <w:rPr>
          <w:w w:val="105"/>
        </w:rPr>
        <w:t>STARS</w:t>
      </w:r>
      <w:r>
        <w:rPr>
          <w:spacing w:val="-20"/>
          <w:w w:val="105"/>
        </w:rPr>
        <w:t xml:space="preserve"> </w:t>
      </w:r>
      <w:r>
        <w:rPr>
          <w:w w:val="105"/>
        </w:rPr>
        <w:t>uses</w:t>
      </w:r>
      <w:r>
        <w:rPr>
          <w:spacing w:val="-8"/>
          <w:w w:val="105"/>
        </w:rPr>
        <w:t xml:space="preserve"> </w:t>
      </w:r>
      <w:r>
        <w:rPr>
          <w:w w:val="105"/>
        </w:rPr>
        <w:t>statewide</w:t>
      </w:r>
      <w:r>
        <w:rPr>
          <w:spacing w:val="-21"/>
          <w:w w:val="105"/>
        </w:rPr>
        <w:t xml:space="preserve"> </w:t>
      </w:r>
      <w:r>
        <w:rPr>
          <w:w w:val="105"/>
        </w:rPr>
        <w:t>mobile</w:t>
      </w:r>
      <w:r>
        <w:rPr>
          <w:spacing w:val="-14"/>
          <w:w w:val="105"/>
        </w:rPr>
        <w:t xml:space="preserve"> </w:t>
      </w:r>
      <w:r>
        <w:rPr>
          <w:w w:val="105"/>
        </w:rPr>
        <w:t>FCC</w:t>
      </w:r>
      <w:r>
        <w:rPr>
          <w:spacing w:val="-13"/>
          <w:w w:val="105"/>
        </w:rPr>
        <w:t xml:space="preserve"> </w:t>
      </w:r>
      <w:r>
        <w:rPr>
          <w:w w:val="105"/>
        </w:rPr>
        <w:t>Part</w:t>
      </w:r>
      <w:r>
        <w:rPr>
          <w:spacing w:val="-9"/>
          <w:w w:val="105"/>
        </w:rPr>
        <w:t xml:space="preserve"> </w:t>
      </w:r>
      <w:r>
        <w:rPr>
          <w:w w:val="105"/>
        </w:rPr>
        <w:t>90</w:t>
      </w:r>
      <w:r>
        <w:rPr>
          <w:spacing w:val="-21"/>
          <w:w w:val="105"/>
        </w:rPr>
        <w:t xml:space="preserve"> </w:t>
      </w:r>
      <w:r>
        <w:rPr>
          <w:w w:val="105"/>
        </w:rPr>
        <w:t>Public</w:t>
      </w:r>
      <w:r>
        <w:rPr>
          <w:spacing w:val="-12"/>
          <w:w w:val="105"/>
        </w:rPr>
        <w:t xml:space="preserve"> </w:t>
      </w:r>
      <w:r>
        <w:rPr>
          <w:w w:val="105"/>
        </w:rPr>
        <w:t>Safety</w:t>
      </w:r>
      <w:r>
        <w:rPr>
          <w:spacing w:val="-27"/>
          <w:w w:val="105"/>
        </w:rPr>
        <w:t xml:space="preserve"> </w:t>
      </w:r>
      <w:r>
        <w:rPr>
          <w:w w:val="105"/>
        </w:rPr>
        <w:t>pool</w:t>
      </w:r>
      <w:r>
        <w:rPr>
          <w:spacing w:val="-12"/>
          <w:w w:val="105"/>
        </w:rPr>
        <w:t xml:space="preserve"> </w:t>
      </w:r>
      <w:r>
        <w:rPr>
          <w:w w:val="105"/>
        </w:rPr>
        <w:t>trunked</w:t>
      </w:r>
      <w:r>
        <w:rPr>
          <w:spacing w:val="-9"/>
          <w:w w:val="105"/>
        </w:rPr>
        <w:t xml:space="preserve"> </w:t>
      </w:r>
      <w:r>
        <w:rPr>
          <w:w w:val="105"/>
        </w:rPr>
        <w:t>frequencies</w:t>
      </w:r>
      <w:r>
        <w:rPr>
          <w:spacing w:val="-7"/>
          <w:w w:val="105"/>
        </w:rPr>
        <w:t xml:space="preserve"> </w:t>
      </w:r>
      <w:r>
        <w:rPr>
          <w:w w:val="105"/>
        </w:rPr>
        <w:t>to</w:t>
      </w:r>
      <w:r>
        <w:rPr>
          <w:w w:val="102"/>
        </w:rPr>
        <w:t xml:space="preserve"> </w:t>
      </w:r>
      <w:r>
        <w:rPr>
          <w:w w:val="105"/>
        </w:rPr>
        <w:t>transmit</w:t>
      </w:r>
      <w:r>
        <w:rPr>
          <w:spacing w:val="-9"/>
          <w:w w:val="105"/>
        </w:rPr>
        <w:t xml:space="preserve"> </w:t>
      </w:r>
      <w:r>
        <w:rPr>
          <w:w w:val="105"/>
        </w:rPr>
        <w:t>talk-in</w:t>
      </w:r>
      <w:r>
        <w:rPr>
          <w:spacing w:val="-11"/>
          <w:w w:val="105"/>
        </w:rPr>
        <w:t xml:space="preserve"> </w:t>
      </w:r>
      <w:r>
        <w:rPr>
          <w:w w:val="105"/>
        </w:rPr>
        <w:t>to</w:t>
      </w:r>
      <w:r>
        <w:rPr>
          <w:spacing w:val="-18"/>
          <w:w w:val="105"/>
        </w:rPr>
        <w:t xml:space="preserve"> </w:t>
      </w:r>
      <w:r>
        <w:rPr>
          <w:w w:val="105"/>
        </w:rPr>
        <w:t>base</w:t>
      </w:r>
      <w:r>
        <w:rPr>
          <w:spacing w:val="-10"/>
          <w:w w:val="105"/>
        </w:rPr>
        <w:t xml:space="preserve"> </w:t>
      </w:r>
      <w:r>
        <w:rPr>
          <w:w w:val="105"/>
        </w:rPr>
        <w:t>stations.</w:t>
      </w:r>
      <w:r>
        <w:rPr>
          <w:spacing w:val="-12"/>
          <w:w w:val="105"/>
        </w:rPr>
        <w:t xml:space="preserve"> </w:t>
      </w:r>
      <w:r>
        <w:rPr>
          <w:w w:val="105"/>
        </w:rPr>
        <w:t>The</w:t>
      </w:r>
      <w:r>
        <w:rPr>
          <w:spacing w:val="-22"/>
          <w:w w:val="105"/>
        </w:rPr>
        <w:t xml:space="preserve"> </w:t>
      </w:r>
      <w:r>
        <w:rPr>
          <w:w w:val="105"/>
        </w:rPr>
        <w:t>majority</w:t>
      </w:r>
      <w:r w:rsidR="00B41D65">
        <w:rPr>
          <w:spacing w:val="-7"/>
          <w:w w:val="105"/>
        </w:rPr>
        <w:t xml:space="preserve"> </w:t>
      </w:r>
      <w:r>
        <w:rPr>
          <w:w w:val="105"/>
        </w:rPr>
        <w:t>of</w:t>
      </w:r>
      <w:r>
        <w:rPr>
          <w:spacing w:val="-20"/>
          <w:w w:val="105"/>
        </w:rPr>
        <w:t xml:space="preserve"> </w:t>
      </w:r>
      <w:r>
        <w:rPr>
          <w:w w:val="105"/>
        </w:rPr>
        <w:t>these</w:t>
      </w:r>
      <w:r>
        <w:rPr>
          <w:spacing w:val="-13"/>
          <w:w w:val="105"/>
        </w:rPr>
        <w:t xml:space="preserve"> </w:t>
      </w:r>
      <w:r>
        <w:rPr>
          <w:w w:val="105"/>
        </w:rPr>
        <w:t>frequencies</w:t>
      </w:r>
      <w:r>
        <w:rPr>
          <w:spacing w:val="-3"/>
          <w:w w:val="105"/>
        </w:rPr>
        <w:t xml:space="preserve"> </w:t>
      </w:r>
      <w:r>
        <w:rPr>
          <w:w w:val="105"/>
        </w:rPr>
        <w:t>are</w:t>
      </w:r>
      <w:r>
        <w:rPr>
          <w:spacing w:val="-20"/>
          <w:w w:val="105"/>
        </w:rPr>
        <w:t xml:space="preserve"> </w:t>
      </w:r>
      <w:r>
        <w:rPr>
          <w:w w:val="105"/>
        </w:rPr>
        <w:t>authorized</w:t>
      </w:r>
      <w:r>
        <w:rPr>
          <w:spacing w:val="-2"/>
          <w:w w:val="105"/>
        </w:rPr>
        <w:t xml:space="preserve"> </w:t>
      </w:r>
      <w:r>
        <w:rPr>
          <w:w w:val="105"/>
        </w:rPr>
        <w:t>for</w:t>
      </w:r>
      <w:r>
        <w:rPr>
          <w:spacing w:val="-19"/>
          <w:w w:val="105"/>
        </w:rPr>
        <w:t xml:space="preserve"> </w:t>
      </w:r>
      <w:r w:rsidR="004B4603">
        <w:rPr>
          <w:w w:val="105"/>
        </w:rPr>
        <w:t>a</w:t>
      </w:r>
      <w:r w:rsidR="004B4603">
        <w:rPr>
          <w:w w:val="101"/>
        </w:rPr>
        <w:t xml:space="preserve"> </w:t>
      </w:r>
      <w:r>
        <w:rPr>
          <w:w w:val="105"/>
        </w:rPr>
        <w:t>mobile</w:t>
      </w:r>
      <w:r>
        <w:rPr>
          <w:spacing w:val="-14"/>
          <w:w w:val="105"/>
        </w:rPr>
        <w:t xml:space="preserve"> </w:t>
      </w:r>
      <w:r>
        <w:rPr>
          <w:w w:val="105"/>
        </w:rPr>
        <w:t>maximum</w:t>
      </w:r>
      <w:r>
        <w:rPr>
          <w:spacing w:val="-4"/>
          <w:w w:val="105"/>
        </w:rPr>
        <w:t xml:space="preserve"> transmitter power output</w:t>
      </w:r>
      <w:r>
        <w:rPr>
          <w:spacing w:val="-14"/>
          <w:w w:val="105"/>
        </w:rPr>
        <w:t xml:space="preserve"> </w:t>
      </w:r>
      <w:r>
        <w:rPr>
          <w:w w:val="105"/>
        </w:rPr>
        <w:t>of</w:t>
      </w:r>
      <w:r>
        <w:rPr>
          <w:spacing w:val="-5"/>
          <w:w w:val="105"/>
        </w:rPr>
        <w:t xml:space="preserve"> </w:t>
      </w:r>
      <w:r>
        <w:rPr>
          <w:w w:val="105"/>
        </w:rPr>
        <w:t>125</w:t>
      </w:r>
      <w:r>
        <w:rPr>
          <w:spacing w:val="-32"/>
          <w:w w:val="105"/>
        </w:rPr>
        <w:t xml:space="preserve"> </w:t>
      </w:r>
      <w:r>
        <w:rPr>
          <w:w w:val="105"/>
        </w:rPr>
        <w:t>watts,</w:t>
      </w:r>
      <w:r>
        <w:rPr>
          <w:spacing w:val="-7"/>
          <w:w w:val="105"/>
        </w:rPr>
        <w:t xml:space="preserve"> </w:t>
      </w:r>
      <w:r>
        <w:rPr>
          <w:w w:val="105"/>
        </w:rPr>
        <w:t>and</w:t>
      </w:r>
      <w:r>
        <w:rPr>
          <w:spacing w:val="-9"/>
          <w:w w:val="105"/>
        </w:rPr>
        <w:t xml:space="preserve"> </w:t>
      </w:r>
      <w:r>
        <w:rPr>
          <w:w w:val="105"/>
        </w:rPr>
        <w:t>a</w:t>
      </w:r>
      <w:r>
        <w:rPr>
          <w:spacing w:val="-24"/>
          <w:w w:val="105"/>
        </w:rPr>
        <w:t xml:space="preserve"> </w:t>
      </w:r>
      <w:r>
        <w:rPr>
          <w:w w:val="105"/>
        </w:rPr>
        <w:t>maximum</w:t>
      </w:r>
      <w:r>
        <w:rPr>
          <w:spacing w:val="-4"/>
          <w:w w:val="105"/>
        </w:rPr>
        <w:t xml:space="preserve"> </w:t>
      </w:r>
      <w:r>
        <w:rPr>
          <w:w w:val="105"/>
        </w:rPr>
        <w:t>ERP</w:t>
      </w:r>
      <w:r>
        <w:rPr>
          <w:spacing w:val="-5"/>
          <w:w w:val="105"/>
        </w:rPr>
        <w:t xml:space="preserve"> </w:t>
      </w:r>
      <w:r>
        <w:rPr>
          <w:w w:val="105"/>
        </w:rPr>
        <w:t>of</w:t>
      </w:r>
      <w:r>
        <w:rPr>
          <w:spacing w:val="-19"/>
          <w:w w:val="105"/>
        </w:rPr>
        <w:t xml:space="preserve"> </w:t>
      </w:r>
      <w:r>
        <w:rPr>
          <w:w w:val="105"/>
        </w:rPr>
        <w:t>250</w:t>
      </w:r>
      <w:r>
        <w:rPr>
          <w:spacing w:val="-18"/>
          <w:w w:val="105"/>
        </w:rPr>
        <w:t xml:space="preserve"> </w:t>
      </w:r>
      <w:r>
        <w:rPr>
          <w:w w:val="105"/>
        </w:rPr>
        <w:t>watts.</w:t>
      </w:r>
      <w:r>
        <w:rPr>
          <w:spacing w:val="-7"/>
          <w:w w:val="105"/>
        </w:rPr>
        <w:t xml:space="preserve"> </w:t>
      </w:r>
      <w:r>
        <w:rPr>
          <w:w w:val="105"/>
        </w:rPr>
        <w:t>Request at 4.</w:t>
      </w:r>
    </w:p>
  </w:footnote>
  <w:footnote w:id="6">
    <w:p w:rsidR="002213FC" w:rsidRPr="006648E1" w:rsidP="00B03CA0" w14:paraId="018E96A3" w14:textId="795D5B8F">
      <w:pPr>
        <w:pStyle w:val="FootnoteText"/>
      </w:pPr>
      <w:r w:rsidRPr="009C4CC8">
        <w:rPr>
          <w:rStyle w:val="FootnoteReference"/>
          <w:sz w:val="20"/>
        </w:rPr>
        <w:footnoteRef/>
      </w:r>
      <w:r>
        <w:t xml:space="preserve"> </w:t>
      </w:r>
      <w:r w:rsidRPr="006648E1">
        <w:t xml:space="preserve">47 CFR Part 80.  </w:t>
      </w:r>
      <w:r w:rsidRPr="00B631B8" w:rsidR="004B4603">
        <w:rPr>
          <w:rFonts w:eastAsia="Calibri"/>
          <w:szCs w:val="22"/>
        </w:rPr>
        <w:t>V</w:t>
      </w:r>
      <w:r w:rsidR="004B4603">
        <w:rPr>
          <w:rFonts w:eastAsia="Calibri"/>
          <w:szCs w:val="22"/>
        </w:rPr>
        <w:t>A</w:t>
      </w:r>
      <w:r w:rsidRPr="00B631B8" w:rsidR="004B4603">
        <w:rPr>
          <w:rFonts w:eastAsia="Calibri"/>
          <w:szCs w:val="22"/>
        </w:rPr>
        <w:t xml:space="preserve"> Sta</w:t>
      </w:r>
      <w:r w:rsidR="004B4603">
        <w:rPr>
          <w:rFonts w:eastAsia="Calibri"/>
          <w:szCs w:val="22"/>
        </w:rPr>
        <w:t>te Police</w:t>
      </w:r>
      <w:r w:rsidRPr="006648E1" w:rsidR="004B4603">
        <w:t xml:space="preserve"> </w:t>
      </w:r>
      <w:r w:rsidR="00166E3F">
        <w:t xml:space="preserve">acquired </w:t>
      </w:r>
      <w:r w:rsidR="004B4603">
        <w:t xml:space="preserve">auctioned </w:t>
      </w:r>
      <w:r w:rsidRPr="006648E1">
        <w:t>spectrum for two FCC Part 80 Public Coast Stations.  These Part 80 licensed mobile transmit frequencies have a maximum mobile</w:t>
      </w:r>
      <w:r w:rsidRPr="00B03CA0">
        <w:rPr>
          <w:spacing w:val="-4"/>
          <w:w w:val="105"/>
        </w:rPr>
        <w:t xml:space="preserve"> </w:t>
      </w:r>
      <w:r>
        <w:rPr>
          <w:spacing w:val="-4"/>
          <w:w w:val="105"/>
        </w:rPr>
        <w:t>transmitter power output</w:t>
      </w:r>
      <w:r w:rsidRPr="006648E1">
        <w:t xml:space="preserve"> of 125 watts and maximum ERP of 285 watts, based upon </w:t>
      </w:r>
      <w:r w:rsidRPr="00166E3F" w:rsidR="00AD57E2">
        <w:rPr>
          <w:i/>
          <w:iCs/>
        </w:rPr>
        <w:t>Commonwealth of Virginia</w:t>
      </w:r>
      <w:r w:rsidR="00AD57E2">
        <w:t xml:space="preserve">, Order, 19 FCC Rcd 15454 (2004) </w:t>
      </w:r>
      <w:r w:rsidRPr="006648E1">
        <w:t>(grant</w:t>
      </w:r>
      <w:r w:rsidR="004B4603">
        <w:t>ing</w:t>
      </w:r>
      <w:r w:rsidRPr="006648E1">
        <w:t xml:space="preserve"> Virginia's request for a waiver of Part 80 of the Commission's Rules to permit its public safety operations on </w:t>
      </w:r>
      <w:r>
        <w:t>VHF Public Coast (</w:t>
      </w:r>
      <w:r w:rsidRPr="006648E1">
        <w:t>VPC</w:t>
      </w:r>
      <w:r>
        <w:t>)</w:t>
      </w:r>
      <w:r w:rsidRPr="006648E1">
        <w:t xml:space="preserve"> spectrum to be governed by Part 90 of the Commission'</w:t>
      </w:r>
      <w:r>
        <w:t>s Rules).</w:t>
      </w:r>
    </w:p>
  </w:footnote>
  <w:footnote w:id="7">
    <w:p w:rsidR="002213FC" w:rsidRPr="006A3178" w14:paraId="015DD7F5" w14:textId="2EBFB94F">
      <w:pPr>
        <w:pStyle w:val="FootnoteText"/>
        <w:rPr>
          <w:iCs/>
        </w:rPr>
      </w:pPr>
      <w:r w:rsidRPr="00166E3F">
        <w:rPr>
          <w:rStyle w:val="FootnoteReference"/>
          <w:sz w:val="20"/>
        </w:rPr>
        <w:footnoteRef/>
      </w:r>
      <w:r w:rsidRPr="00B03CA0">
        <w:t xml:space="preserve"> </w:t>
      </w:r>
      <w:r w:rsidR="006A3178">
        <w:t xml:space="preserve">In addition to holding Part 90 and Part 80 licenses, </w:t>
      </w:r>
      <w:r w:rsidR="004B4603">
        <w:rPr>
          <w:rFonts w:eastAsia="Calibri"/>
          <w:szCs w:val="22"/>
        </w:rPr>
        <w:t xml:space="preserve">VA State Police </w:t>
      </w:r>
      <w:r w:rsidR="006A3178">
        <w:t>acquired</w:t>
      </w:r>
      <w:r w:rsidRPr="00B03CA0">
        <w:t xml:space="preserve"> sixty-four Part 22 paging authorizations</w:t>
      </w:r>
      <w:r w:rsidR="006A3178">
        <w:t xml:space="preserve"> (lead call sign WPVE519)</w:t>
      </w:r>
      <w:r w:rsidRPr="00B03CA0">
        <w:t>, for whic</w:t>
      </w:r>
      <w:r w:rsidR="006A3178">
        <w:t>h the instant</w:t>
      </w:r>
      <w:r w:rsidRPr="00B03CA0">
        <w:t xml:space="preserve"> waiver is requested. </w:t>
      </w:r>
      <w:r w:rsidR="006A3178">
        <w:t xml:space="preserve"> </w:t>
      </w:r>
      <w:r w:rsidRPr="006A3178" w:rsidR="006A3178">
        <w:rPr>
          <w:iCs/>
        </w:rPr>
        <w:t>Request at 4-5.</w:t>
      </w:r>
    </w:p>
  </w:footnote>
  <w:footnote w:id="8">
    <w:p w:rsidR="002213FC" w:rsidRPr="00B03CA0" w14:paraId="56D6288F" w14:textId="71A457FA">
      <w:pPr>
        <w:pStyle w:val="FootnoteText"/>
      </w:pPr>
      <w:r w:rsidRPr="009C4CC8">
        <w:rPr>
          <w:rStyle w:val="FootnoteReference"/>
          <w:sz w:val="20"/>
        </w:rPr>
        <w:footnoteRef/>
      </w:r>
      <w:r w:rsidRPr="00B03CA0">
        <w:rPr>
          <w:rStyle w:val="FootnoteReference"/>
          <w:sz w:val="20"/>
          <w:vertAlign w:val="baseline"/>
        </w:rPr>
        <w:t xml:space="preserve"> </w:t>
      </w:r>
      <w:r w:rsidRPr="00B03CA0">
        <w:t>Request</w:t>
      </w:r>
      <w:r>
        <w:t xml:space="preserve"> at 3.</w:t>
      </w:r>
    </w:p>
  </w:footnote>
  <w:footnote w:id="9">
    <w:p w:rsidR="00D96D51" w14:paraId="00AD30B9" w14:textId="2B3D72F0">
      <w:pPr>
        <w:pStyle w:val="FootnoteText"/>
      </w:pPr>
      <w:r w:rsidRPr="009C4CC8">
        <w:rPr>
          <w:rStyle w:val="FootnoteReference"/>
          <w:sz w:val="20"/>
        </w:rPr>
        <w:footnoteRef/>
      </w:r>
      <w:r>
        <w:t xml:space="preserve"> Request at 8 and Exhibit A (Ballard analysis).</w:t>
      </w:r>
    </w:p>
  </w:footnote>
  <w:footnote w:id="10">
    <w:p w:rsidR="002213FC" w:rsidP="0008528C" w14:paraId="6D2ABCE9" w14:textId="77777777">
      <w:pPr>
        <w:pStyle w:val="FootnoteText"/>
      </w:pPr>
      <w:r w:rsidRPr="00166E3F">
        <w:rPr>
          <w:rStyle w:val="FootnoteReference"/>
          <w:sz w:val="20"/>
        </w:rPr>
        <w:footnoteRef/>
      </w:r>
      <w:r>
        <w:t xml:space="preserve"> </w:t>
      </w:r>
      <w:r w:rsidRPr="00166E3F">
        <w:rPr>
          <w:i/>
          <w:iCs/>
        </w:rPr>
        <w:t>See</w:t>
      </w:r>
      <w:r w:rsidRPr="006648E1">
        <w:t xml:space="preserve"> </w:t>
      </w:r>
      <w:r w:rsidRPr="00166E3F">
        <w:rPr>
          <w:i/>
          <w:iCs/>
        </w:rPr>
        <w:t>Electronic Filing of Documents in Rulemaking Proceedings</w:t>
      </w:r>
      <w:r>
        <w:t xml:space="preserve">, </w:t>
      </w:r>
      <w:r w:rsidRPr="00EE24FF">
        <w:t>Report and Order</w:t>
      </w:r>
      <w:r>
        <w:t>, 13 FCC Rcd 11322 (1998).</w:t>
      </w:r>
    </w:p>
  </w:footnote>
  <w:footnote w:id="11">
    <w:p w:rsidR="00297921" w:rsidP="00297921" w14:paraId="690670BE" w14:textId="77777777">
      <w:pPr>
        <w:pStyle w:val="FootnoteText"/>
      </w:pPr>
      <w:r w:rsidRPr="009C4CC8">
        <w:rPr>
          <w:rStyle w:val="FootnoteReference"/>
          <w:sz w:val="20"/>
        </w:rPr>
        <w:footnoteRef/>
      </w:r>
      <w:r>
        <w:t xml:space="preserve"> </w:t>
      </w:r>
      <w:r w:rsidRPr="006E5F2B">
        <w:rPr>
          <w:i/>
          <w:iCs/>
        </w:rPr>
        <w:t>FCC Announces Closure of FCC Headquarters Open Window and Change in Hand-Delivery Filing</w:t>
      </w:r>
      <w:r>
        <w:t xml:space="preserve">, Public Notice, DA 20-304 (OMD Mar. 19, 2020).  </w:t>
      </w:r>
    </w:p>
  </w:footnote>
  <w:footnote w:id="12">
    <w:p w:rsidR="00297921" w:rsidP="00297921" w14:paraId="372017FE" w14:textId="77777777">
      <w:pPr>
        <w:pStyle w:val="FootnoteText"/>
      </w:pPr>
      <w:r w:rsidRPr="009C4CC8">
        <w:rPr>
          <w:rStyle w:val="FootnoteReference"/>
          <w:sz w:val="20"/>
        </w:rPr>
        <w:footnoteRef/>
      </w:r>
      <w:r>
        <w:t xml:space="preserve"> </w:t>
      </w:r>
      <w:r w:rsidRPr="006E5F2B">
        <w:rPr>
          <w:i/>
          <w:iCs/>
        </w:rPr>
        <w:t>FCC Announces Clos</w:t>
      </w:r>
      <w:r>
        <w:rPr>
          <w:i/>
          <w:iCs/>
        </w:rPr>
        <w:t>ing</w:t>
      </w:r>
      <w:r w:rsidRPr="006E5F2B">
        <w:rPr>
          <w:i/>
          <w:iCs/>
        </w:rPr>
        <w:t xml:space="preserve"> of </w:t>
      </w:r>
      <w:r>
        <w:rPr>
          <w:i/>
          <w:iCs/>
        </w:rPr>
        <w:t xml:space="preserve">Filing Window at </w:t>
      </w:r>
      <w:r w:rsidRPr="006E5F2B">
        <w:rPr>
          <w:i/>
          <w:iCs/>
        </w:rPr>
        <w:t xml:space="preserve">FCC Headquarters </w:t>
      </w:r>
      <w:r>
        <w:rPr>
          <w:i/>
          <w:iCs/>
        </w:rPr>
        <w:t>and Permanent Change in the Location and Hours for Receiving Hand-Carried Filings</w:t>
      </w:r>
      <w:r>
        <w:t xml:space="preserve">, Public Notice (OMD July 7, 2020). </w:t>
      </w:r>
    </w:p>
  </w:footnote>
  <w:footnote w:id="13">
    <w:p w:rsidR="002213FC" w:rsidP="0008528C" w14:paraId="1B9E223E" w14:textId="77777777">
      <w:pPr>
        <w:pStyle w:val="FootnoteText"/>
      </w:pPr>
      <w:r w:rsidRPr="00166E3F">
        <w:rPr>
          <w:rStyle w:val="FootnoteReference"/>
          <w:sz w:val="20"/>
        </w:rPr>
        <w:footnoteRef/>
      </w:r>
      <w:r w:rsidRPr="00166E3F">
        <w:rPr>
          <w:rStyle w:val="FootnoteReference"/>
          <w:sz w:val="20"/>
        </w:rPr>
        <w:t xml:space="preserve"> </w:t>
      </w:r>
      <w:r w:rsidRPr="00812396">
        <w:rPr>
          <w:i/>
          <w:iCs/>
        </w:rPr>
        <w:t>See</w:t>
      </w:r>
      <w:r>
        <w:t xml:space="preserve"> 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13FC" w:rsidRPr="009838BC" w:rsidP="009838BC" w14:paraId="4086580C" w14:textId="0E14EB69">
    <w:pPr>
      <w:tabs>
        <w:tab w:val="center" w:pos="4680"/>
        <w:tab w:val="right" w:pos="9360"/>
      </w:tabs>
    </w:pPr>
    <w:r w:rsidRPr="009838BC">
      <w:rPr>
        <w:b/>
      </w:rPr>
      <w:tab/>
      <w:t>Federal Communications Commission</w:t>
    </w:r>
    <w:r w:rsidRPr="009838BC">
      <w:rPr>
        <w:b/>
      </w:rPr>
      <w:tab/>
    </w:r>
    <w:r>
      <w:rPr>
        <w:b/>
      </w:rPr>
      <w:t>DA 2</w:t>
    </w:r>
    <w:r w:rsidR="00AD3EF9">
      <w:rPr>
        <w:b/>
      </w:rPr>
      <w:t>1</w:t>
    </w:r>
    <w:r>
      <w:rPr>
        <w:b/>
      </w:rPr>
      <w:t>-</w:t>
    </w:r>
    <w:r w:rsidR="00AD3EF9">
      <w:rPr>
        <w:b/>
      </w:rPr>
      <w:t>125</w:t>
    </w:r>
  </w:p>
  <w:p w:rsidR="002213FC" w:rsidRPr="009838BC" w:rsidP="009838BC" w14:paraId="7CEC8B8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336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w10:wrap anchorx="margin"/>
            </v:rect>
          </w:pict>
        </mc:Fallback>
      </mc:AlternateContent>
    </w:r>
  </w:p>
  <w:p w:rsidR="002213FC" w:rsidRPr="009838BC" w:rsidP="009838BC" w14:paraId="19B21C6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13FC" w:rsidRPr="00A866AC" w:rsidP="009838BC" w14:paraId="76565AC6"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2213FC" w:rsidP="009838BC" w14:textId="77777777">
                          <w:pPr>
                            <w:rPr>
                              <w:rFonts w:ascii="Arial" w:hAnsi="Arial"/>
                              <w:b/>
                            </w:rPr>
                          </w:pPr>
                          <w:r>
                            <w:rPr>
                              <w:rFonts w:ascii="Arial" w:hAnsi="Arial"/>
                              <w:b/>
                            </w:rPr>
                            <w:t>Federal Communications Commission</w:t>
                          </w:r>
                        </w:p>
                        <w:p w:rsidR="002213F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213F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2213FC" w:rsidP="009838BC" w14:paraId="06CF1253" w14:textId="77777777">
                    <w:pPr>
                      <w:rPr>
                        <w:rFonts w:ascii="Arial" w:hAnsi="Arial"/>
                        <w:b/>
                      </w:rPr>
                    </w:pPr>
                    <w:r>
                      <w:rPr>
                        <w:rFonts w:ascii="Arial" w:hAnsi="Arial"/>
                        <w:b/>
                      </w:rPr>
                      <w:t>Federal Communications Commission</w:t>
                    </w:r>
                  </w:p>
                  <w:p w:rsidR="002213FC" w:rsidP="009838BC" w14:paraId="50FEAE1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213FC" w:rsidP="009838BC" w14:paraId="55690A6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79435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2213FC" w:rsidRPr="00357D50" w:rsidP="009838BC" w14:paraId="69E54687" w14:textId="77777777">
    <w:pPr>
      <w:spacing w:before="40"/>
      <w:rPr>
        <w:rFonts w:ascii="Arial" w:hAnsi="Arial" w:cs="Arial"/>
        <w:b/>
        <w:sz w:val="96"/>
      </w:rPr>
    </w:pPr>
    <w:r>
      <w:rPr>
        <w:noProof/>
      </w:rPr>
      <mc:AlternateContent>
        <mc:Choice Requires="wps">
          <w:drawing>
            <wp:anchor distT="0" distB="0" distL="114300" distR="114300" simplePos="0" relativeHeight="251665408" behindDoc="0" locked="0" layoutInCell="0" allowOverlap="1">
              <wp:simplePos x="0" y="0"/>
              <wp:positionH relativeFrom="column">
                <wp:posOffset>3400425</wp:posOffset>
              </wp:positionH>
              <wp:positionV relativeFrom="paragraph">
                <wp:posOffset>130810</wp:posOffset>
              </wp:positionV>
              <wp:extent cx="2640965" cy="447675"/>
              <wp:effectExtent l="0" t="0" r="0" b="2540"/>
              <wp:wrapNone/>
              <wp:docPr id="2"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2213FC" w:rsidP="009838BC" w14:textId="77777777">
                          <w:pPr>
                            <w:spacing w:before="40"/>
                            <w:jc w:val="right"/>
                            <w:rPr>
                              <w:rFonts w:ascii="Arial" w:hAnsi="Arial"/>
                              <w:b/>
                              <w:sz w:val="16"/>
                            </w:rPr>
                          </w:pPr>
                          <w:r>
                            <w:rPr>
                              <w:rFonts w:ascii="Arial" w:hAnsi="Arial"/>
                              <w:b/>
                              <w:sz w:val="16"/>
                            </w:rPr>
                            <w:t>News Media Information 202 / 418-0500</w:t>
                          </w:r>
                        </w:p>
                        <w:p w:rsidR="002213F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2213F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0.3pt;margin-left:267.7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2213FC" w:rsidP="009838BC" w14:paraId="1E4948F7" w14:textId="77777777">
                    <w:pPr>
                      <w:spacing w:before="40"/>
                      <w:jc w:val="right"/>
                      <w:rPr>
                        <w:rFonts w:ascii="Arial" w:hAnsi="Arial"/>
                        <w:b/>
                        <w:sz w:val="16"/>
                      </w:rPr>
                    </w:pPr>
                    <w:r>
                      <w:rPr>
                        <w:rFonts w:ascii="Arial" w:hAnsi="Arial"/>
                        <w:b/>
                        <w:sz w:val="16"/>
                      </w:rPr>
                      <w:t>News Media Information 202 / 418-0500</w:t>
                    </w:r>
                  </w:p>
                  <w:p w:rsidR="002213FC" w:rsidP="009838BC" w14:paraId="7C80E25A"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2213FC" w:rsidP="009838BC" w14:paraId="7778807E" w14:textId="77777777">
                    <w:pPr>
                      <w:jc w:val="right"/>
                    </w:pPr>
                    <w:r>
                      <w:rPr>
                        <w:rFonts w:ascii="Arial" w:hAnsi="Arial"/>
                        <w:b/>
                        <w:sz w:val="16"/>
                      </w:rPr>
                      <w:t>TTY: 1-888-835-5322</w:t>
                    </w:r>
                  </w:p>
                </w:txbxContent>
              </v:textbox>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7620" t="5715" r="11430" b="13335"/>
              <wp:wrapNone/>
              <wp:docPr id="1"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2"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p>
  <w:p w:rsidR="002213FC" w:rsidRPr="009838BC" w:rsidP="00D15FD8" w14:paraId="1BCF98C3" w14:textId="77777777">
    <w:pPr>
      <w:pStyle w:val="Header"/>
      <w:ind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80480F"/>
    <w:multiLevelType w:val="hybridMultilevel"/>
    <w:tmpl w:val="8DAECBD2"/>
    <w:lvl w:ilvl="0">
      <w:start w:val="1"/>
      <w:numFmt w:val="decimal"/>
      <w:lvlText w:val="%1."/>
      <w:lvlJc w:val="left"/>
      <w:pPr>
        <w:tabs>
          <w:tab w:val="num" w:pos="1170"/>
        </w:tabs>
        <w:ind w:left="90" w:firstLine="720"/>
      </w:pPr>
      <w:rPr>
        <w:rFonts w:hint="default"/>
        <w:b w:val="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A52DC0"/>
    <w:multiLevelType w:val="hybridMultilevel"/>
    <w:tmpl w:val="B278309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5522003"/>
    <w:multiLevelType w:val="hybridMultilevel"/>
    <w:tmpl w:val="8388A2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News Gothic MT"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News Gothic MT"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News Gothic MT"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4"/>
  </w:num>
  <w:num w:numId="2">
    <w:abstractNumId w:val="10"/>
  </w:num>
  <w:num w:numId="3">
    <w:abstractNumId w:val="6"/>
  </w:num>
  <w:num w:numId="4">
    <w:abstractNumId w:val="8"/>
  </w:num>
  <w:num w:numId="5">
    <w:abstractNumId w:val="5"/>
  </w:num>
  <w:num w:numId="6">
    <w:abstractNumId w:val="1"/>
  </w:num>
  <w:num w:numId="7">
    <w:abstractNumId w:val="2"/>
  </w:num>
  <w:num w:numId="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8C"/>
    <w:rsid w:val="000072CE"/>
    <w:rsid w:val="00013A8B"/>
    <w:rsid w:val="00021445"/>
    <w:rsid w:val="00025A3C"/>
    <w:rsid w:val="00036039"/>
    <w:rsid w:val="00037F90"/>
    <w:rsid w:val="00043881"/>
    <w:rsid w:val="000554CA"/>
    <w:rsid w:val="0005571A"/>
    <w:rsid w:val="0005776F"/>
    <w:rsid w:val="00070D62"/>
    <w:rsid w:val="0008528C"/>
    <w:rsid w:val="000875BF"/>
    <w:rsid w:val="00096D8C"/>
    <w:rsid w:val="000A7EF8"/>
    <w:rsid w:val="000B6901"/>
    <w:rsid w:val="000C0B65"/>
    <w:rsid w:val="000D29FB"/>
    <w:rsid w:val="000D3965"/>
    <w:rsid w:val="000E0F20"/>
    <w:rsid w:val="000E3D42"/>
    <w:rsid w:val="000E5884"/>
    <w:rsid w:val="00122BD5"/>
    <w:rsid w:val="001302A9"/>
    <w:rsid w:val="00146BCE"/>
    <w:rsid w:val="0015341D"/>
    <w:rsid w:val="00166E3F"/>
    <w:rsid w:val="001737EA"/>
    <w:rsid w:val="001979D9"/>
    <w:rsid w:val="001C2110"/>
    <w:rsid w:val="001D5933"/>
    <w:rsid w:val="001D6B7C"/>
    <w:rsid w:val="001D6BCF"/>
    <w:rsid w:val="001E01CA"/>
    <w:rsid w:val="001F3413"/>
    <w:rsid w:val="002060D9"/>
    <w:rsid w:val="00215819"/>
    <w:rsid w:val="002213FC"/>
    <w:rsid w:val="00226822"/>
    <w:rsid w:val="00236169"/>
    <w:rsid w:val="0024702E"/>
    <w:rsid w:val="0025149D"/>
    <w:rsid w:val="00260594"/>
    <w:rsid w:val="00262C0E"/>
    <w:rsid w:val="00283B64"/>
    <w:rsid w:val="00285017"/>
    <w:rsid w:val="002862A2"/>
    <w:rsid w:val="00290C2C"/>
    <w:rsid w:val="00297921"/>
    <w:rsid w:val="002A2D2E"/>
    <w:rsid w:val="002B00B9"/>
    <w:rsid w:val="002C441A"/>
    <w:rsid w:val="002C6111"/>
    <w:rsid w:val="002E1873"/>
    <w:rsid w:val="002E4BA1"/>
    <w:rsid w:val="00301C23"/>
    <w:rsid w:val="00327AD5"/>
    <w:rsid w:val="00337F9F"/>
    <w:rsid w:val="00343749"/>
    <w:rsid w:val="0034519D"/>
    <w:rsid w:val="00357D50"/>
    <w:rsid w:val="003720DF"/>
    <w:rsid w:val="003878C4"/>
    <w:rsid w:val="003925DC"/>
    <w:rsid w:val="003A561D"/>
    <w:rsid w:val="003B0550"/>
    <w:rsid w:val="003B694F"/>
    <w:rsid w:val="003E0F95"/>
    <w:rsid w:val="003F171C"/>
    <w:rsid w:val="004032A7"/>
    <w:rsid w:val="00406761"/>
    <w:rsid w:val="00411F1B"/>
    <w:rsid w:val="00412FC5"/>
    <w:rsid w:val="0041519D"/>
    <w:rsid w:val="0042053A"/>
    <w:rsid w:val="00422276"/>
    <w:rsid w:val="004242F1"/>
    <w:rsid w:val="0042677B"/>
    <w:rsid w:val="004338E1"/>
    <w:rsid w:val="00441905"/>
    <w:rsid w:val="00445A00"/>
    <w:rsid w:val="00451B0F"/>
    <w:rsid w:val="00454CEF"/>
    <w:rsid w:val="0046125F"/>
    <w:rsid w:val="00463A75"/>
    <w:rsid w:val="00480488"/>
    <w:rsid w:val="00483F2F"/>
    <w:rsid w:val="00487524"/>
    <w:rsid w:val="00496106"/>
    <w:rsid w:val="004B2340"/>
    <w:rsid w:val="004B4603"/>
    <w:rsid w:val="004C12D0"/>
    <w:rsid w:val="004C214E"/>
    <w:rsid w:val="004C2B88"/>
    <w:rsid w:val="004C2EE3"/>
    <w:rsid w:val="004E2131"/>
    <w:rsid w:val="004E4A22"/>
    <w:rsid w:val="004E7CE1"/>
    <w:rsid w:val="00511968"/>
    <w:rsid w:val="005514B1"/>
    <w:rsid w:val="00555276"/>
    <w:rsid w:val="0055614C"/>
    <w:rsid w:val="0057011B"/>
    <w:rsid w:val="0059024B"/>
    <w:rsid w:val="005C2E7C"/>
    <w:rsid w:val="005C331E"/>
    <w:rsid w:val="005C6020"/>
    <w:rsid w:val="005D2B63"/>
    <w:rsid w:val="006002D3"/>
    <w:rsid w:val="00601521"/>
    <w:rsid w:val="00607BA5"/>
    <w:rsid w:val="00626EB6"/>
    <w:rsid w:val="006353A3"/>
    <w:rsid w:val="00651EF0"/>
    <w:rsid w:val="00655D03"/>
    <w:rsid w:val="006648E1"/>
    <w:rsid w:val="0067245B"/>
    <w:rsid w:val="0067515D"/>
    <w:rsid w:val="00683F84"/>
    <w:rsid w:val="00684914"/>
    <w:rsid w:val="00684980"/>
    <w:rsid w:val="00691CB7"/>
    <w:rsid w:val="00697055"/>
    <w:rsid w:val="006A2104"/>
    <w:rsid w:val="006A3178"/>
    <w:rsid w:val="006A5878"/>
    <w:rsid w:val="006A6A81"/>
    <w:rsid w:val="006B39E9"/>
    <w:rsid w:val="006C1DD7"/>
    <w:rsid w:val="006E26AF"/>
    <w:rsid w:val="006E5F2B"/>
    <w:rsid w:val="006F7393"/>
    <w:rsid w:val="0070224F"/>
    <w:rsid w:val="007115F7"/>
    <w:rsid w:val="007155BA"/>
    <w:rsid w:val="00720D7D"/>
    <w:rsid w:val="007267F7"/>
    <w:rsid w:val="007777A4"/>
    <w:rsid w:val="00785689"/>
    <w:rsid w:val="00793D4E"/>
    <w:rsid w:val="0079754B"/>
    <w:rsid w:val="00797586"/>
    <w:rsid w:val="007A1E6D"/>
    <w:rsid w:val="007A362A"/>
    <w:rsid w:val="00802432"/>
    <w:rsid w:val="00802486"/>
    <w:rsid w:val="00812396"/>
    <w:rsid w:val="0082186A"/>
    <w:rsid w:val="00822CE0"/>
    <w:rsid w:val="00837C62"/>
    <w:rsid w:val="00841AB1"/>
    <w:rsid w:val="008A2476"/>
    <w:rsid w:val="008B4DA2"/>
    <w:rsid w:val="008C22FD"/>
    <w:rsid w:val="008E731C"/>
    <w:rsid w:val="008F081C"/>
    <w:rsid w:val="00906C20"/>
    <w:rsid w:val="00910F12"/>
    <w:rsid w:val="009122FF"/>
    <w:rsid w:val="00926503"/>
    <w:rsid w:val="0092706F"/>
    <w:rsid w:val="00930ECF"/>
    <w:rsid w:val="009314E3"/>
    <w:rsid w:val="009357F3"/>
    <w:rsid w:val="00944038"/>
    <w:rsid w:val="00944141"/>
    <w:rsid w:val="00963918"/>
    <w:rsid w:val="009776DC"/>
    <w:rsid w:val="009838BC"/>
    <w:rsid w:val="009C0834"/>
    <w:rsid w:val="009C4CC8"/>
    <w:rsid w:val="009F13D0"/>
    <w:rsid w:val="00A0747D"/>
    <w:rsid w:val="00A41668"/>
    <w:rsid w:val="00A45783"/>
    <w:rsid w:val="00A45F4F"/>
    <w:rsid w:val="00A5567D"/>
    <w:rsid w:val="00A600A9"/>
    <w:rsid w:val="00A852D6"/>
    <w:rsid w:val="00A866AC"/>
    <w:rsid w:val="00A876C2"/>
    <w:rsid w:val="00A9107E"/>
    <w:rsid w:val="00AA55B7"/>
    <w:rsid w:val="00AA5885"/>
    <w:rsid w:val="00AA5B9E"/>
    <w:rsid w:val="00AB2407"/>
    <w:rsid w:val="00AB53DF"/>
    <w:rsid w:val="00AD10AA"/>
    <w:rsid w:val="00AD3EF9"/>
    <w:rsid w:val="00AD57E2"/>
    <w:rsid w:val="00AF0D61"/>
    <w:rsid w:val="00AF10F9"/>
    <w:rsid w:val="00B03CA0"/>
    <w:rsid w:val="00B07E5C"/>
    <w:rsid w:val="00B2196A"/>
    <w:rsid w:val="00B30F5F"/>
    <w:rsid w:val="00B313DE"/>
    <w:rsid w:val="00B326E3"/>
    <w:rsid w:val="00B37F81"/>
    <w:rsid w:val="00B41D65"/>
    <w:rsid w:val="00B46EB2"/>
    <w:rsid w:val="00B631B8"/>
    <w:rsid w:val="00B8103A"/>
    <w:rsid w:val="00B811F7"/>
    <w:rsid w:val="00BA5DC6"/>
    <w:rsid w:val="00BA6196"/>
    <w:rsid w:val="00BB0007"/>
    <w:rsid w:val="00BC4077"/>
    <w:rsid w:val="00BC6D8C"/>
    <w:rsid w:val="00BD32FB"/>
    <w:rsid w:val="00C078B3"/>
    <w:rsid w:val="00C16AF2"/>
    <w:rsid w:val="00C17604"/>
    <w:rsid w:val="00C226C0"/>
    <w:rsid w:val="00C34006"/>
    <w:rsid w:val="00C426B1"/>
    <w:rsid w:val="00C5578E"/>
    <w:rsid w:val="00C73E90"/>
    <w:rsid w:val="00C82B6B"/>
    <w:rsid w:val="00C84604"/>
    <w:rsid w:val="00C90D6A"/>
    <w:rsid w:val="00CC3DB0"/>
    <w:rsid w:val="00CC72B6"/>
    <w:rsid w:val="00CD4364"/>
    <w:rsid w:val="00CE02F1"/>
    <w:rsid w:val="00CF692C"/>
    <w:rsid w:val="00D0218D"/>
    <w:rsid w:val="00D15FD8"/>
    <w:rsid w:val="00D216CD"/>
    <w:rsid w:val="00D7321B"/>
    <w:rsid w:val="00D744F7"/>
    <w:rsid w:val="00D92E1D"/>
    <w:rsid w:val="00D94E69"/>
    <w:rsid w:val="00D96D51"/>
    <w:rsid w:val="00DA2529"/>
    <w:rsid w:val="00DA2C64"/>
    <w:rsid w:val="00DB130A"/>
    <w:rsid w:val="00DC10A1"/>
    <w:rsid w:val="00DC655F"/>
    <w:rsid w:val="00DD7EBD"/>
    <w:rsid w:val="00DF0B7D"/>
    <w:rsid w:val="00DF62B6"/>
    <w:rsid w:val="00E033DD"/>
    <w:rsid w:val="00E07225"/>
    <w:rsid w:val="00E155B7"/>
    <w:rsid w:val="00E5409F"/>
    <w:rsid w:val="00E637AF"/>
    <w:rsid w:val="00EA2038"/>
    <w:rsid w:val="00EC0185"/>
    <w:rsid w:val="00EC1A74"/>
    <w:rsid w:val="00EC32D6"/>
    <w:rsid w:val="00EC78A2"/>
    <w:rsid w:val="00EE24FF"/>
    <w:rsid w:val="00F021FA"/>
    <w:rsid w:val="00F0600D"/>
    <w:rsid w:val="00F13CB1"/>
    <w:rsid w:val="00F15966"/>
    <w:rsid w:val="00F36346"/>
    <w:rsid w:val="00F57ACA"/>
    <w:rsid w:val="00F62E97"/>
    <w:rsid w:val="00F64209"/>
    <w:rsid w:val="00F661F7"/>
    <w:rsid w:val="00F67644"/>
    <w:rsid w:val="00F93BF5"/>
    <w:rsid w:val="00F96F63"/>
    <w:rsid w:val="00F973A3"/>
    <w:rsid w:val="00FF09F2"/>
    <w:rsid w:val="00FF5F4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495BCEBB-55EF-4FC1-98C6-9E86C442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D62"/>
    <w:pPr>
      <w:widowControl w:val="0"/>
    </w:pPr>
    <w:rPr>
      <w:snapToGrid w:val="0"/>
      <w:kern w:val="28"/>
      <w:sz w:val="22"/>
    </w:rPr>
  </w:style>
  <w:style w:type="paragraph" w:styleId="Heading1">
    <w:name w:val="heading 1"/>
    <w:basedOn w:val="Normal"/>
    <w:next w:val="ParaNum"/>
    <w:qFormat/>
    <w:rsid w:val="00070D6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70D62"/>
    <w:pPr>
      <w:keepNext/>
      <w:numPr>
        <w:ilvl w:val="1"/>
        <w:numId w:val="3"/>
      </w:numPr>
      <w:spacing w:after="120"/>
      <w:outlineLvl w:val="1"/>
    </w:pPr>
    <w:rPr>
      <w:b/>
    </w:rPr>
  </w:style>
  <w:style w:type="paragraph" w:styleId="Heading3">
    <w:name w:val="heading 3"/>
    <w:aliases w:val="1,3,31,?? 3,Titre 3,Titre 31"/>
    <w:basedOn w:val="Normal"/>
    <w:next w:val="ParaNum"/>
    <w:qFormat/>
    <w:rsid w:val="00070D62"/>
    <w:pPr>
      <w:keepNext/>
      <w:numPr>
        <w:ilvl w:val="2"/>
        <w:numId w:val="3"/>
      </w:numPr>
      <w:tabs>
        <w:tab w:val="left" w:pos="2160"/>
      </w:tabs>
      <w:spacing w:after="120"/>
      <w:outlineLvl w:val="2"/>
    </w:pPr>
    <w:rPr>
      <w:b/>
    </w:rPr>
  </w:style>
  <w:style w:type="paragraph" w:styleId="Heading4">
    <w:name w:val="heading 4"/>
    <w:basedOn w:val="Normal"/>
    <w:next w:val="ParaNum"/>
    <w:qFormat/>
    <w:rsid w:val="00070D62"/>
    <w:pPr>
      <w:keepNext/>
      <w:numPr>
        <w:ilvl w:val="3"/>
        <w:numId w:val="3"/>
      </w:numPr>
      <w:tabs>
        <w:tab w:val="left" w:pos="2880"/>
      </w:tabs>
      <w:spacing w:after="120"/>
      <w:outlineLvl w:val="3"/>
    </w:pPr>
    <w:rPr>
      <w:b/>
    </w:rPr>
  </w:style>
  <w:style w:type="paragraph" w:styleId="Heading5">
    <w:name w:val="heading 5"/>
    <w:basedOn w:val="Normal"/>
    <w:next w:val="ParaNum"/>
    <w:qFormat/>
    <w:rsid w:val="00070D6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70D62"/>
    <w:pPr>
      <w:numPr>
        <w:ilvl w:val="5"/>
        <w:numId w:val="3"/>
      </w:numPr>
      <w:tabs>
        <w:tab w:val="left" w:pos="4320"/>
      </w:tabs>
      <w:spacing w:after="120"/>
      <w:outlineLvl w:val="5"/>
    </w:pPr>
    <w:rPr>
      <w:b/>
    </w:rPr>
  </w:style>
  <w:style w:type="paragraph" w:styleId="Heading7">
    <w:name w:val="heading 7"/>
    <w:basedOn w:val="Normal"/>
    <w:next w:val="ParaNum"/>
    <w:qFormat/>
    <w:rsid w:val="00070D6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70D6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70D6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070D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70D62"/>
  </w:style>
  <w:style w:type="paragraph" w:customStyle="1" w:styleId="ParaNum">
    <w:name w:val="ParaNum"/>
    <w:basedOn w:val="Normal"/>
    <w:link w:val="ParaNumChar"/>
    <w:rsid w:val="00070D62"/>
    <w:pPr>
      <w:numPr>
        <w:numId w:val="2"/>
      </w:numPr>
      <w:tabs>
        <w:tab w:val="clear" w:pos="1080"/>
        <w:tab w:val="num" w:pos="1440"/>
      </w:tabs>
      <w:spacing w:after="120"/>
    </w:pPr>
  </w:style>
  <w:style w:type="paragraph" w:styleId="EndnoteText">
    <w:name w:val="endnote text"/>
    <w:basedOn w:val="Normal"/>
    <w:semiHidden/>
    <w:rsid w:val="00070D62"/>
    <w:rPr>
      <w:sz w:val="20"/>
    </w:rPr>
  </w:style>
  <w:style w:type="character" w:styleId="EndnoteReference">
    <w:name w:val="endnote reference"/>
    <w:semiHidden/>
    <w:rsid w:val="00070D62"/>
    <w:rPr>
      <w:vertAlign w:val="superscript"/>
    </w:r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link w:val="FootnoteTextChar"/>
    <w:rsid w:val="00070D6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070D62"/>
    <w:rPr>
      <w:rFonts w:ascii="Times New Roman" w:hAnsi="Times New Roman"/>
      <w:dstrike w:val="0"/>
      <w:color w:val="auto"/>
      <w:sz w:val="22"/>
      <w:vertAlign w:val="superscript"/>
    </w:rPr>
  </w:style>
  <w:style w:type="paragraph" w:styleId="TOC1">
    <w:name w:val="toc 1"/>
    <w:basedOn w:val="Normal"/>
    <w:next w:val="Normal"/>
    <w:uiPriority w:val="39"/>
    <w:rsid w:val="00070D6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70D62"/>
    <w:pPr>
      <w:tabs>
        <w:tab w:val="left" w:pos="720"/>
        <w:tab w:val="right" w:leader="dot" w:pos="9360"/>
      </w:tabs>
      <w:suppressAutoHyphens/>
      <w:ind w:left="720" w:right="720" w:hanging="360"/>
    </w:pPr>
    <w:rPr>
      <w:noProof/>
    </w:rPr>
  </w:style>
  <w:style w:type="paragraph" w:styleId="TOC3">
    <w:name w:val="toc 3"/>
    <w:basedOn w:val="Normal"/>
    <w:next w:val="Normal"/>
    <w:semiHidden/>
    <w:rsid w:val="00070D6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70D6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70D6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70D6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70D6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70D6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70D6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70D62"/>
    <w:pPr>
      <w:tabs>
        <w:tab w:val="right" w:pos="9360"/>
      </w:tabs>
      <w:suppressAutoHyphens/>
    </w:pPr>
  </w:style>
  <w:style w:type="character" w:customStyle="1" w:styleId="EquationCaption">
    <w:name w:val="_Equation Caption"/>
    <w:rsid w:val="00070D62"/>
  </w:style>
  <w:style w:type="paragraph" w:styleId="Header">
    <w:name w:val="header"/>
    <w:basedOn w:val="Normal"/>
    <w:autoRedefine/>
    <w:rsid w:val="00070D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070D62"/>
    <w:pPr>
      <w:tabs>
        <w:tab w:val="center" w:pos="4320"/>
        <w:tab w:val="right" w:pos="8640"/>
      </w:tabs>
    </w:pPr>
  </w:style>
  <w:style w:type="character" w:styleId="PageNumber">
    <w:name w:val="page number"/>
    <w:basedOn w:val="DefaultParagraphFont"/>
    <w:rsid w:val="00070D62"/>
  </w:style>
  <w:style w:type="paragraph" w:styleId="BlockText">
    <w:name w:val="Block Text"/>
    <w:basedOn w:val="Normal"/>
    <w:rsid w:val="00070D62"/>
    <w:pPr>
      <w:spacing w:after="240"/>
      <w:ind w:left="1440" w:right="1440"/>
    </w:pPr>
  </w:style>
  <w:style w:type="paragraph" w:customStyle="1" w:styleId="Paratitle">
    <w:name w:val="Para title"/>
    <w:basedOn w:val="Normal"/>
    <w:rsid w:val="00070D62"/>
    <w:pPr>
      <w:tabs>
        <w:tab w:val="center" w:pos="9270"/>
      </w:tabs>
      <w:spacing w:after="240"/>
    </w:pPr>
    <w:rPr>
      <w:spacing w:val="-2"/>
    </w:rPr>
  </w:style>
  <w:style w:type="paragraph" w:customStyle="1" w:styleId="Bullet">
    <w:name w:val="Bullet"/>
    <w:basedOn w:val="Normal"/>
    <w:rsid w:val="00070D62"/>
    <w:pPr>
      <w:numPr>
        <w:numId w:val="1"/>
      </w:numPr>
      <w:tabs>
        <w:tab w:val="clear" w:pos="360"/>
        <w:tab w:val="left" w:pos="2160"/>
      </w:tabs>
      <w:spacing w:after="220"/>
      <w:ind w:left="2160" w:hanging="720"/>
    </w:pPr>
  </w:style>
  <w:style w:type="paragraph" w:customStyle="1" w:styleId="TableFormat">
    <w:name w:val="TableFormat"/>
    <w:basedOn w:val="Bullet"/>
    <w:rsid w:val="00070D62"/>
    <w:pPr>
      <w:numPr>
        <w:numId w:val="0"/>
      </w:numPr>
      <w:tabs>
        <w:tab w:val="clear" w:pos="2160"/>
        <w:tab w:val="left" w:pos="5040"/>
      </w:tabs>
      <w:ind w:left="5040" w:hanging="3600"/>
    </w:pPr>
  </w:style>
  <w:style w:type="paragraph" w:customStyle="1" w:styleId="TOCTitle">
    <w:name w:val="TOC Title"/>
    <w:basedOn w:val="Normal"/>
    <w:rsid w:val="00070D6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70D62"/>
    <w:pPr>
      <w:jc w:val="center"/>
    </w:pPr>
    <w:rPr>
      <w:rFonts w:ascii="Times New Roman Bold" w:hAnsi="Times New Roman Bold"/>
      <w:b/>
      <w:bCs/>
      <w:caps/>
      <w:szCs w:val="22"/>
    </w:rPr>
  </w:style>
  <w:style w:type="character" w:styleId="Hyperlink">
    <w:name w:val="Hyperlink"/>
    <w:rsid w:val="00070D62"/>
    <w:rPr>
      <w:color w:val="0000FF"/>
      <w:u w:val="single"/>
    </w:rPr>
  </w:style>
  <w:style w:type="character" w:customStyle="1" w:styleId="FooterChar">
    <w:name w:val="Footer Char"/>
    <w:link w:val="Footer"/>
    <w:uiPriority w:val="99"/>
    <w:rsid w:val="00070D62"/>
    <w:rPr>
      <w:snapToGrid w:val="0"/>
      <w:kern w:val="28"/>
      <w:sz w:val="22"/>
    </w:rPr>
  </w:style>
  <w:style w:type="character" w:customStyle="1" w:styleId="ParaNumChar">
    <w:name w:val="ParaNum Char"/>
    <w:link w:val="ParaNum"/>
    <w:rsid w:val="0008528C"/>
    <w:rPr>
      <w:snapToGrid w:val="0"/>
      <w:kern w:val="28"/>
      <w:sz w:val="22"/>
    </w:rPr>
  </w:style>
  <w:style w:type="character" w:customStyle="1" w:styleId="FootnoteTextChar">
    <w:name w:val="Footnote Text Char"/>
    <w:aliases w:val="Footnote Text Char Char Char Char,Footnote Text Char Char Char Char Char2 Char,Footnote Text Char Char Char1,Footnote Text Char1 Char,Footnote Text Char1 Char Char Char1 Char,Footnote Text Char2 Char Char Char Char Char Char"/>
    <w:basedOn w:val="DefaultParagraphFont"/>
    <w:link w:val="FootnoteText"/>
    <w:rsid w:val="0008528C"/>
  </w:style>
  <w:style w:type="character" w:styleId="Emphasis">
    <w:name w:val="Emphasis"/>
    <w:uiPriority w:val="20"/>
    <w:qFormat/>
    <w:rsid w:val="0008528C"/>
    <w:rPr>
      <w:i/>
      <w:iCs/>
    </w:rPr>
  </w:style>
  <w:style w:type="character" w:customStyle="1" w:styleId="UnresolvedMention1">
    <w:name w:val="Unresolved Mention1"/>
    <w:uiPriority w:val="99"/>
    <w:semiHidden/>
    <w:unhideWhenUsed/>
    <w:rsid w:val="00697055"/>
    <w:rPr>
      <w:color w:val="605E5C"/>
      <w:shd w:val="clear" w:color="auto" w:fill="E1DFDD"/>
    </w:rPr>
  </w:style>
  <w:style w:type="character" w:styleId="FollowedHyperlink">
    <w:name w:val="FollowedHyperlink"/>
    <w:uiPriority w:val="99"/>
    <w:semiHidden/>
    <w:unhideWhenUsed/>
    <w:rsid w:val="00697055"/>
    <w:rPr>
      <w:color w:val="954F72"/>
      <w:u w:val="single"/>
    </w:rPr>
  </w:style>
  <w:style w:type="character" w:customStyle="1" w:styleId="UnresolvedMention2">
    <w:name w:val="Unresolved Mention2"/>
    <w:basedOn w:val="DefaultParagraphFont"/>
    <w:uiPriority w:val="99"/>
    <w:rsid w:val="00AF10F9"/>
    <w:rPr>
      <w:color w:val="605E5C"/>
      <w:shd w:val="clear" w:color="auto" w:fill="E1DFDD"/>
    </w:rPr>
  </w:style>
  <w:style w:type="paragraph" w:styleId="BalloonText">
    <w:name w:val="Balloon Text"/>
    <w:basedOn w:val="Normal"/>
    <w:link w:val="BalloonTextChar"/>
    <w:uiPriority w:val="99"/>
    <w:semiHidden/>
    <w:unhideWhenUsed/>
    <w:rsid w:val="00AD1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0AA"/>
    <w:rPr>
      <w:rFonts w:ascii="Segoe UI" w:hAnsi="Segoe UI" w:cs="Segoe UI"/>
      <w:snapToGrid w:val="0"/>
      <w:kern w:val="28"/>
      <w:sz w:val="18"/>
      <w:szCs w:val="18"/>
    </w:rPr>
  </w:style>
  <w:style w:type="paragraph" w:styleId="BodyText">
    <w:name w:val="Body Text"/>
    <w:basedOn w:val="Normal"/>
    <w:link w:val="BodyTextChar"/>
    <w:uiPriority w:val="99"/>
    <w:unhideWhenUsed/>
    <w:rsid w:val="008B4DA2"/>
    <w:pPr>
      <w:spacing w:after="120"/>
    </w:pPr>
  </w:style>
  <w:style w:type="character" w:customStyle="1" w:styleId="BodyTextChar">
    <w:name w:val="Body Text Char"/>
    <w:basedOn w:val="DefaultParagraphFont"/>
    <w:link w:val="BodyText"/>
    <w:uiPriority w:val="99"/>
    <w:rsid w:val="008B4DA2"/>
    <w:rPr>
      <w:snapToGrid w:val="0"/>
      <w:kern w:val="28"/>
      <w:sz w:val="22"/>
    </w:rPr>
  </w:style>
  <w:style w:type="character" w:styleId="CommentReference">
    <w:name w:val="annotation reference"/>
    <w:basedOn w:val="DefaultParagraphFont"/>
    <w:uiPriority w:val="99"/>
    <w:semiHidden/>
    <w:unhideWhenUsed/>
    <w:rsid w:val="007267F7"/>
    <w:rPr>
      <w:sz w:val="16"/>
      <w:szCs w:val="16"/>
    </w:rPr>
  </w:style>
  <w:style w:type="paragraph" w:styleId="CommentText">
    <w:name w:val="annotation text"/>
    <w:basedOn w:val="Normal"/>
    <w:link w:val="CommentTextChar"/>
    <w:uiPriority w:val="99"/>
    <w:semiHidden/>
    <w:unhideWhenUsed/>
    <w:rsid w:val="007267F7"/>
    <w:rPr>
      <w:sz w:val="20"/>
    </w:rPr>
  </w:style>
  <w:style w:type="character" w:customStyle="1" w:styleId="CommentTextChar">
    <w:name w:val="Comment Text Char"/>
    <w:basedOn w:val="DefaultParagraphFont"/>
    <w:link w:val="CommentText"/>
    <w:uiPriority w:val="99"/>
    <w:semiHidden/>
    <w:rsid w:val="007267F7"/>
    <w:rPr>
      <w:snapToGrid w:val="0"/>
      <w:kern w:val="28"/>
    </w:rPr>
  </w:style>
  <w:style w:type="paragraph" w:styleId="CommentSubject">
    <w:name w:val="annotation subject"/>
    <w:basedOn w:val="CommentText"/>
    <w:next w:val="CommentText"/>
    <w:link w:val="CommentSubjectChar"/>
    <w:uiPriority w:val="99"/>
    <w:semiHidden/>
    <w:unhideWhenUsed/>
    <w:rsid w:val="007267F7"/>
    <w:rPr>
      <w:b/>
      <w:bCs/>
    </w:rPr>
  </w:style>
  <w:style w:type="character" w:customStyle="1" w:styleId="CommentSubjectChar">
    <w:name w:val="Comment Subject Char"/>
    <w:basedOn w:val="CommentTextChar"/>
    <w:link w:val="CommentSubject"/>
    <w:uiPriority w:val="99"/>
    <w:semiHidden/>
    <w:rsid w:val="007267F7"/>
    <w:rPr>
      <w:b/>
      <w:bCs/>
      <w:snapToGrid w:val="0"/>
      <w:kern w:val="28"/>
    </w:rPr>
  </w:style>
  <w:style w:type="character" w:customStyle="1" w:styleId="UnresolvedMention3">
    <w:name w:val="Unresolved Mention3"/>
    <w:basedOn w:val="DefaultParagraphFont"/>
    <w:uiPriority w:val="99"/>
    <w:semiHidden/>
    <w:unhideWhenUsed/>
    <w:rsid w:val="00AD5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fcc-reference-information-center" TargetMode="External" /><Relationship Id="rId6" Type="http://schemas.openxmlformats.org/officeDocument/2006/relationships/hyperlink" Target="mailto:fcc504@fcc.gov" TargetMode="External" /><Relationship Id="rId7" Type="http://schemas.openxmlformats.org/officeDocument/2006/relationships/hyperlink" Target="mailto:Wilbert.Nixo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