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73715E" w:rsidRPr="0073715E" w:rsidP="009F25F6" w14:paraId="20EDC7DD" w14:textId="77777777">
      <w:pPr>
        <w:widowControl/>
        <w:jc w:val="center"/>
        <w:rPr>
          <w:b/>
        </w:rPr>
      </w:pPr>
      <w:r w:rsidRPr="0073715E">
        <w:rPr>
          <w:rFonts w:ascii="Times New Roman Bold" w:hAnsi="Times New Roman Bold"/>
          <w:b/>
          <w:kern w:val="0"/>
          <w:szCs w:val="22"/>
        </w:rPr>
        <w:t>Before</w:t>
      </w:r>
      <w:r w:rsidRPr="0073715E">
        <w:rPr>
          <w:b/>
        </w:rPr>
        <w:t xml:space="preserve"> the</w:t>
      </w:r>
    </w:p>
    <w:p w:rsidR="0073715E" w:rsidRPr="0073715E" w:rsidP="009F25F6" w14:paraId="5D193B8E" w14:textId="77777777">
      <w:pPr>
        <w:widowControl/>
        <w:jc w:val="center"/>
        <w:rPr>
          <w:rFonts w:ascii="Times New Roman Bold" w:hAnsi="Times New Roman Bold"/>
          <w:b/>
          <w:bCs/>
          <w:caps/>
          <w:szCs w:val="22"/>
        </w:rPr>
      </w:pPr>
      <w:r w:rsidRPr="0073715E">
        <w:rPr>
          <w:rFonts w:ascii="Times New Roman Bold" w:hAnsi="Times New Roman Bold"/>
          <w:b/>
          <w:bCs/>
          <w:caps/>
          <w:szCs w:val="22"/>
        </w:rPr>
        <w:t>F</w:t>
      </w:r>
      <w:r w:rsidRPr="0073715E">
        <w:rPr>
          <w:rFonts w:ascii="Times New Roman Bold" w:hAnsi="Times New Roman Bold"/>
          <w:b/>
          <w:bCs/>
          <w:szCs w:val="22"/>
        </w:rPr>
        <w:t>ederal Communications Commission</w:t>
      </w:r>
    </w:p>
    <w:p w:rsidR="0073715E" w:rsidRPr="0073715E" w:rsidP="009F25F6" w14:paraId="2C0EA15C" w14:textId="77777777">
      <w:pPr>
        <w:widowControl/>
        <w:jc w:val="center"/>
        <w:rPr>
          <w:rFonts w:ascii="Times New Roman Bold" w:hAnsi="Times New Roman Bold"/>
          <w:b/>
          <w:bCs/>
          <w:caps/>
          <w:szCs w:val="22"/>
        </w:rPr>
      </w:pPr>
      <w:r w:rsidRPr="0073715E">
        <w:rPr>
          <w:rFonts w:ascii="Times New Roman Bold" w:hAnsi="Times New Roman Bold"/>
          <w:b/>
          <w:bCs/>
          <w:szCs w:val="22"/>
        </w:rPr>
        <w:t>Washington, D.C. 20554</w:t>
      </w:r>
    </w:p>
    <w:p w:rsidR="0073715E" w:rsidRPr="0073715E" w:rsidP="009F25F6" w14:paraId="48511A0B" w14:textId="77777777">
      <w:pPr>
        <w:widowControl/>
      </w:pPr>
    </w:p>
    <w:p w:rsidR="0073715E" w:rsidRPr="0073715E" w:rsidP="009F25F6" w14:paraId="6A60E6BE" w14:textId="77777777">
      <w:pPr>
        <w:widowControl/>
      </w:pPr>
    </w:p>
    <w:tbl>
      <w:tblPr>
        <w:tblW w:w="0" w:type="auto"/>
        <w:tblLayout w:type="fixed"/>
        <w:tblLook w:val="0000"/>
      </w:tblPr>
      <w:tblGrid>
        <w:gridCol w:w="4698"/>
        <w:gridCol w:w="630"/>
        <w:gridCol w:w="4248"/>
      </w:tblGrid>
      <w:tr w14:paraId="59D1D3BA" w14:textId="77777777" w:rsidTr="0026587F">
        <w:tblPrEx>
          <w:tblW w:w="0" w:type="auto"/>
          <w:tblLayout w:type="fixed"/>
          <w:tblLook w:val="0000"/>
        </w:tblPrEx>
        <w:tc>
          <w:tcPr>
            <w:tcW w:w="4698" w:type="dxa"/>
          </w:tcPr>
          <w:p w:rsidR="0073715E" w:rsidRPr="0073715E" w:rsidP="009F25F6" w14:paraId="2281038E" w14:textId="77777777">
            <w:pPr>
              <w:widowControl/>
              <w:tabs>
                <w:tab w:val="center" w:pos="4680"/>
              </w:tabs>
              <w:suppressAutoHyphens/>
              <w:rPr>
                <w:spacing w:val="-2"/>
              </w:rPr>
            </w:pPr>
            <w:r w:rsidRPr="0073715E">
              <w:rPr>
                <w:spacing w:val="-2"/>
              </w:rPr>
              <w:t>In the Matter of</w:t>
            </w:r>
          </w:p>
          <w:p w:rsidR="0073715E" w:rsidRPr="0073715E" w:rsidP="009F25F6" w14:paraId="4A723414" w14:textId="77777777">
            <w:pPr>
              <w:widowControl/>
              <w:tabs>
                <w:tab w:val="center" w:pos="4680"/>
              </w:tabs>
              <w:suppressAutoHyphens/>
              <w:rPr>
                <w:spacing w:val="-2"/>
              </w:rPr>
            </w:pPr>
          </w:p>
          <w:p w:rsidR="0073715E" w:rsidRPr="0073715E" w:rsidP="009F25F6" w14:paraId="1A44C6C6" w14:textId="016C8D58">
            <w:pPr>
              <w:widowControl/>
              <w:tabs>
                <w:tab w:val="center" w:pos="4680"/>
              </w:tabs>
              <w:suppressAutoHyphens/>
              <w:rPr>
                <w:spacing w:val="-2"/>
              </w:rPr>
            </w:pPr>
            <w:r>
              <w:rPr>
                <w:spacing w:val="-2"/>
              </w:rPr>
              <w:t>Foresthill Fire Protection District</w:t>
            </w:r>
          </w:p>
          <w:p w:rsidR="0073715E" w:rsidRPr="0073715E" w:rsidP="009F25F6" w14:paraId="5B8A55CC" w14:textId="77777777">
            <w:pPr>
              <w:widowControl/>
              <w:tabs>
                <w:tab w:val="center" w:pos="4680"/>
              </w:tabs>
              <w:suppressAutoHyphens/>
              <w:rPr>
                <w:spacing w:val="-2"/>
              </w:rPr>
            </w:pPr>
          </w:p>
          <w:p w:rsidR="0073715E" w:rsidRPr="0073715E" w:rsidP="009F25F6" w14:paraId="650A51F7" w14:textId="77777777">
            <w:pPr>
              <w:widowControl/>
              <w:tabs>
                <w:tab w:val="center" w:pos="4680"/>
              </w:tabs>
              <w:suppressAutoHyphens/>
            </w:pPr>
            <w:r w:rsidRPr="0073715E">
              <w:rPr>
                <w:spacing w:val="-2"/>
              </w:rPr>
              <w:t xml:space="preserve">Request for Waiver of Section </w:t>
            </w:r>
            <w:r w:rsidRPr="0073715E">
              <w:t>90.242(b)(4)(iv)</w:t>
            </w:r>
          </w:p>
          <w:p w:rsidR="0073715E" w:rsidRPr="0073715E" w:rsidP="009F25F6" w14:paraId="57F76F49" w14:textId="77777777">
            <w:pPr>
              <w:widowControl/>
              <w:tabs>
                <w:tab w:val="center" w:pos="4680"/>
              </w:tabs>
              <w:suppressAutoHyphens/>
              <w:rPr>
                <w:spacing w:val="-2"/>
              </w:rPr>
            </w:pPr>
            <w:r w:rsidRPr="0073715E">
              <w:t>of the Commission’s Rules</w:t>
            </w:r>
          </w:p>
        </w:tc>
        <w:tc>
          <w:tcPr>
            <w:tcW w:w="630" w:type="dxa"/>
          </w:tcPr>
          <w:p w:rsidR="0073715E" w:rsidRPr="0073715E" w:rsidP="009F25F6" w14:paraId="4A751557" w14:textId="77777777">
            <w:pPr>
              <w:widowControl/>
              <w:tabs>
                <w:tab w:val="center" w:pos="4680"/>
              </w:tabs>
              <w:suppressAutoHyphens/>
              <w:rPr>
                <w:b/>
                <w:spacing w:val="-2"/>
              </w:rPr>
            </w:pPr>
            <w:r w:rsidRPr="0073715E">
              <w:rPr>
                <w:b/>
                <w:spacing w:val="-2"/>
              </w:rPr>
              <w:t>)</w:t>
            </w:r>
          </w:p>
          <w:p w:rsidR="0073715E" w:rsidRPr="0073715E" w:rsidP="009F25F6" w14:paraId="08C091EF" w14:textId="77777777">
            <w:pPr>
              <w:widowControl/>
              <w:tabs>
                <w:tab w:val="center" w:pos="4680"/>
              </w:tabs>
              <w:suppressAutoHyphens/>
              <w:rPr>
                <w:b/>
                <w:spacing w:val="-2"/>
              </w:rPr>
            </w:pPr>
            <w:r w:rsidRPr="0073715E">
              <w:rPr>
                <w:b/>
                <w:spacing w:val="-2"/>
              </w:rPr>
              <w:t>)</w:t>
            </w:r>
          </w:p>
          <w:p w:rsidR="0073715E" w:rsidRPr="0073715E" w:rsidP="009F25F6" w14:paraId="5EAB43CE" w14:textId="77777777">
            <w:pPr>
              <w:widowControl/>
              <w:tabs>
                <w:tab w:val="center" w:pos="4680"/>
              </w:tabs>
              <w:suppressAutoHyphens/>
              <w:rPr>
                <w:b/>
                <w:spacing w:val="-2"/>
              </w:rPr>
            </w:pPr>
            <w:r w:rsidRPr="0073715E">
              <w:rPr>
                <w:b/>
                <w:spacing w:val="-2"/>
              </w:rPr>
              <w:t>)</w:t>
            </w:r>
          </w:p>
          <w:p w:rsidR="0073715E" w:rsidRPr="0073715E" w:rsidP="009F25F6" w14:paraId="6B5528B3" w14:textId="77777777">
            <w:pPr>
              <w:widowControl/>
              <w:tabs>
                <w:tab w:val="center" w:pos="4680"/>
              </w:tabs>
              <w:suppressAutoHyphens/>
              <w:rPr>
                <w:b/>
                <w:spacing w:val="-2"/>
              </w:rPr>
            </w:pPr>
            <w:r w:rsidRPr="0073715E">
              <w:rPr>
                <w:b/>
                <w:spacing w:val="-2"/>
              </w:rPr>
              <w:t>)</w:t>
            </w:r>
          </w:p>
          <w:p w:rsidR="0073715E" w:rsidRPr="0073715E" w:rsidP="009F25F6" w14:paraId="3D074653" w14:textId="77777777">
            <w:pPr>
              <w:widowControl/>
              <w:tabs>
                <w:tab w:val="center" w:pos="4680"/>
              </w:tabs>
              <w:suppressAutoHyphens/>
              <w:rPr>
                <w:b/>
                <w:spacing w:val="-2"/>
              </w:rPr>
            </w:pPr>
            <w:r w:rsidRPr="0073715E">
              <w:rPr>
                <w:b/>
                <w:spacing w:val="-2"/>
              </w:rPr>
              <w:t>)</w:t>
            </w:r>
          </w:p>
          <w:p w:rsidR="0073715E" w:rsidRPr="0073715E" w:rsidP="009F25F6" w14:paraId="5B21BC30" w14:textId="77777777">
            <w:pPr>
              <w:widowControl/>
              <w:tabs>
                <w:tab w:val="center" w:pos="4680"/>
              </w:tabs>
              <w:suppressAutoHyphens/>
              <w:rPr>
                <w:spacing w:val="-2"/>
              </w:rPr>
            </w:pPr>
            <w:r w:rsidRPr="0073715E">
              <w:rPr>
                <w:b/>
                <w:spacing w:val="-2"/>
              </w:rPr>
              <w:t>)</w:t>
            </w:r>
          </w:p>
        </w:tc>
        <w:tc>
          <w:tcPr>
            <w:tcW w:w="4248" w:type="dxa"/>
          </w:tcPr>
          <w:p w:rsidR="0073715E" w:rsidRPr="0073715E" w:rsidP="009F25F6" w14:paraId="383D55B4" w14:textId="77777777">
            <w:pPr>
              <w:widowControl/>
              <w:tabs>
                <w:tab w:val="center" w:pos="4680"/>
              </w:tabs>
              <w:suppressAutoHyphens/>
              <w:rPr>
                <w:spacing w:val="-2"/>
              </w:rPr>
            </w:pPr>
          </w:p>
          <w:p w:rsidR="0073715E" w:rsidRPr="0073715E" w:rsidP="009F25F6" w14:paraId="240DB32F" w14:textId="77777777">
            <w:pPr>
              <w:widowControl/>
              <w:tabs>
                <w:tab w:val="center" w:pos="4680"/>
              </w:tabs>
              <w:suppressAutoHyphens/>
              <w:rPr>
                <w:spacing w:val="-2"/>
              </w:rPr>
            </w:pPr>
          </w:p>
          <w:p w:rsidR="0073715E" w:rsidRPr="0073715E" w:rsidP="009F25F6" w14:paraId="3C9FCEEB" w14:textId="4031F719">
            <w:pPr>
              <w:widowControl/>
              <w:tabs>
                <w:tab w:val="center" w:pos="4680"/>
              </w:tabs>
              <w:suppressAutoHyphens/>
              <w:rPr>
                <w:spacing w:val="-2"/>
              </w:rPr>
            </w:pPr>
            <w:r w:rsidRPr="0073715E">
              <w:rPr>
                <w:spacing w:val="-2"/>
              </w:rPr>
              <w:t xml:space="preserve">File No. </w:t>
            </w:r>
            <w:r w:rsidR="002769E0">
              <w:rPr>
                <w:spacing w:val="-2"/>
              </w:rPr>
              <w:t>0009254474</w:t>
            </w:r>
          </w:p>
        </w:tc>
      </w:tr>
    </w:tbl>
    <w:p w:rsidR="0073715E" w:rsidRPr="0073715E" w:rsidP="009F25F6" w14:paraId="61B475E9" w14:textId="77777777">
      <w:pPr>
        <w:widowControl/>
      </w:pPr>
    </w:p>
    <w:p w:rsidR="0073715E" w:rsidRPr="0073715E" w:rsidP="009F25F6" w14:paraId="631C68B3" w14:textId="77777777">
      <w:pPr>
        <w:widowControl/>
        <w:jc w:val="center"/>
        <w:rPr>
          <w:rFonts w:ascii="Times New Roman Bold" w:hAnsi="Times New Roman Bold"/>
          <w:b/>
          <w:bCs/>
          <w:caps/>
          <w:szCs w:val="22"/>
        </w:rPr>
      </w:pPr>
      <w:r w:rsidRPr="0073715E">
        <w:rPr>
          <w:rFonts w:ascii="Times New Roman Bold" w:hAnsi="Times New Roman Bold"/>
          <w:b/>
          <w:bCs/>
          <w:caps/>
          <w:szCs w:val="22"/>
        </w:rPr>
        <w:t>Order</w:t>
      </w:r>
    </w:p>
    <w:p w:rsidR="0073715E" w:rsidRPr="0073715E" w:rsidP="009F25F6" w14:paraId="53E97AEF" w14:textId="77777777">
      <w:pPr>
        <w:widowControl/>
        <w:tabs>
          <w:tab w:val="left" w:pos="-720"/>
        </w:tabs>
        <w:suppressAutoHyphens/>
        <w:spacing w:line="227" w:lineRule="auto"/>
        <w:rPr>
          <w:spacing w:val="-2"/>
        </w:rPr>
      </w:pPr>
    </w:p>
    <w:p w:rsidR="0073715E" w:rsidRPr="0073715E" w:rsidP="009F25F6" w14:paraId="3F1E0FD8" w14:textId="711ED0B4">
      <w:pPr>
        <w:widowControl/>
        <w:tabs>
          <w:tab w:val="left" w:pos="720"/>
          <w:tab w:val="right" w:pos="9360"/>
        </w:tabs>
        <w:suppressAutoHyphens/>
        <w:spacing w:line="227" w:lineRule="auto"/>
        <w:rPr>
          <w:spacing w:val="-2"/>
        </w:rPr>
      </w:pPr>
      <w:r w:rsidRPr="0073715E">
        <w:rPr>
          <w:b/>
          <w:spacing w:val="-2"/>
        </w:rPr>
        <w:t xml:space="preserve">Adopted:  </w:t>
      </w:r>
      <w:r w:rsidR="00786C3B">
        <w:rPr>
          <w:b/>
          <w:spacing w:val="-2"/>
        </w:rPr>
        <w:t>October 12</w:t>
      </w:r>
      <w:r w:rsidRPr="0073715E">
        <w:rPr>
          <w:b/>
          <w:spacing w:val="-2"/>
        </w:rPr>
        <w:t>, 20</w:t>
      </w:r>
      <w:r w:rsidR="0034689D">
        <w:rPr>
          <w:b/>
          <w:spacing w:val="-2"/>
        </w:rPr>
        <w:t>2</w:t>
      </w:r>
      <w:r w:rsidR="002769E0">
        <w:rPr>
          <w:b/>
          <w:spacing w:val="-2"/>
        </w:rPr>
        <w:t>1</w:t>
      </w:r>
      <w:r w:rsidRPr="0073715E">
        <w:rPr>
          <w:b/>
          <w:spacing w:val="-2"/>
        </w:rPr>
        <w:tab/>
        <w:t xml:space="preserve">Released:  </w:t>
      </w:r>
      <w:r w:rsidR="00786C3B">
        <w:rPr>
          <w:b/>
          <w:spacing w:val="-2"/>
        </w:rPr>
        <w:t>October 12</w:t>
      </w:r>
      <w:r w:rsidRPr="0073715E">
        <w:rPr>
          <w:b/>
          <w:spacing w:val="-2"/>
        </w:rPr>
        <w:t>, 20</w:t>
      </w:r>
      <w:r w:rsidR="0034689D">
        <w:rPr>
          <w:b/>
          <w:spacing w:val="-2"/>
        </w:rPr>
        <w:t>2</w:t>
      </w:r>
      <w:r w:rsidR="002769E0">
        <w:rPr>
          <w:b/>
          <w:spacing w:val="-2"/>
        </w:rPr>
        <w:t>1</w:t>
      </w:r>
    </w:p>
    <w:p w:rsidR="0073715E" w:rsidRPr="0073715E" w:rsidP="009F25F6" w14:paraId="7F52B652" w14:textId="77777777">
      <w:pPr>
        <w:widowControl/>
      </w:pPr>
    </w:p>
    <w:p w:rsidR="0073715E" w:rsidRPr="0073715E" w:rsidP="009F25F6" w14:paraId="2329545D" w14:textId="77777777">
      <w:pPr>
        <w:widowControl/>
        <w:rPr>
          <w:spacing w:val="-2"/>
        </w:rPr>
      </w:pPr>
      <w:r w:rsidRPr="0073715E">
        <w:t xml:space="preserve">By the </w:t>
      </w:r>
      <w:r w:rsidRPr="0073715E">
        <w:rPr>
          <w:spacing w:val="-2"/>
        </w:rPr>
        <w:t>Chief, Policy and Licensing Division, Public Safety and Homeland Security Bureau:</w:t>
      </w:r>
    </w:p>
    <w:p w:rsidR="0073715E" w:rsidRPr="0073715E" w:rsidP="009F25F6" w14:paraId="03962EE8" w14:textId="77777777">
      <w:pPr>
        <w:widowControl/>
      </w:pPr>
    </w:p>
    <w:p w:rsidR="0073715E" w:rsidRPr="0073715E" w:rsidP="007608D9" w14:paraId="339239D2" w14:textId="77777777">
      <w:pPr>
        <w:pStyle w:val="Heading1"/>
      </w:pPr>
      <w:r w:rsidRPr="0073715E">
        <w:t>Introduction</w:t>
      </w:r>
    </w:p>
    <w:p w:rsidR="00AE3F71" w:rsidRPr="0073715E" w:rsidP="002769E0" w14:paraId="1C35E4F2" w14:textId="6AD60A89">
      <w:pPr>
        <w:pStyle w:val="ParaNum"/>
        <w:widowControl/>
        <w:tabs>
          <w:tab w:val="clear" w:pos="1620"/>
        </w:tabs>
        <w:ind w:left="0"/>
      </w:pPr>
      <w:r w:rsidRPr="0073715E">
        <w:t xml:space="preserve">On </w:t>
      </w:r>
      <w:r w:rsidR="002769E0">
        <w:t>March 31, 2021</w:t>
      </w:r>
      <w:r w:rsidRPr="0073715E">
        <w:t xml:space="preserve">, </w:t>
      </w:r>
      <w:r w:rsidR="0078137E">
        <w:t xml:space="preserve">the </w:t>
      </w:r>
      <w:r w:rsidR="002769E0">
        <w:t>Foresthill Fire Protection District</w:t>
      </w:r>
      <w:r w:rsidRPr="0073715E">
        <w:t xml:space="preserve"> (</w:t>
      </w:r>
      <w:r w:rsidR="005626F2">
        <w:t>FFPD</w:t>
      </w:r>
      <w:r w:rsidR="001F5B6B">
        <w:t>)</w:t>
      </w:r>
      <w:r w:rsidRPr="0073715E">
        <w:t xml:space="preserve"> filed an </w:t>
      </w:r>
      <w:r w:rsidR="001D08C5">
        <w:t>a</w:t>
      </w:r>
      <w:r w:rsidRPr="0073715E">
        <w:t>pplication and waiver request to modify its Travelers’ Information Station (TIS) to expand its service area</w:t>
      </w:r>
      <w:r>
        <w:t xml:space="preserve"> so that it may provide a 2 mV/m signal at </w:t>
      </w:r>
      <w:r w:rsidR="002769E0">
        <w:t>5.25</w:t>
      </w:r>
      <w:r>
        <w:t xml:space="preserve"> kilometers from the TIS transmitter site</w:t>
      </w:r>
      <w:r w:rsidRPr="0073715E">
        <w:t>.</w:t>
      </w:r>
      <w:r>
        <w:rPr>
          <w:sz w:val="20"/>
          <w:vertAlign w:val="superscript"/>
        </w:rPr>
        <w:footnoteReference w:id="3"/>
      </w:r>
      <w:r w:rsidRPr="0073715E">
        <w:t xml:space="preserve">  </w:t>
      </w:r>
      <w:r>
        <w:t xml:space="preserve">A waiver is required because section </w:t>
      </w:r>
      <w:bookmarkStart w:id="0" w:name="_Hlk25330042"/>
      <w:bookmarkStart w:id="1" w:name="_Hlk39494762"/>
      <w:r>
        <w:t>90.242(b)(4)(iv)</w:t>
      </w:r>
      <w:bookmarkEnd w:id="0"/>
      <w:r>
        <w:t xml:space="preserve"> </w:t>
      </w:r>
      <w:bookmarkEnd w:id="1"/>
      <w:r>
        <w:t>of the Commission’s rules</w:t>
      </w:r>
      <w:r>
        <w:rPr>
          <w:rStyle w:val="FootnoteReference"/>
        </w:rPr>
        <w:footnoteReference w:id="4"/>
      </w:r>
      <w:r>
        <w:t xml:space="preserve"> </w:t>
      </w:r>
      <w:r w:rsidR="002A169C">
        <w:t xml:space="preserve">limits </w:t>
      </w:r>
      <w:r>
        <w:t>TIS station</w:t>
      </w:r>
      <w:r w:rsidR="002A169C">
        <w:t xml:space="preserve"> coverage to 2 </w:t>
      </w:r>
      <w:r w:rsidR="005A7D31">
        <w:t>mV</w:t>
      </w:r>
      <w:r w:rsidR="002A169C">
        <w:t>/m at</w:t>
      </w:r>
      <w:r>
        <w:t xml:space="preserve"> </w:t>
      </w:r>
      <w:r w:rsidR="002A169C">
        <w:t>1.5 kilometers from the TIS transmitter site.</w:t>
      </w:r>
      <w:r>
        <w:rPr>
          <w:vertAlign w:val="superscript"/>
        </w:rPr>
        <w:footnoteReference w:id="5"/>
      </w:r>
      <w:r w:rsidR="00245CC7">
        <w:t xml:space="preserve">  </w:t>
      </w:r>
      <w:r w:rsidR="000E6030">
        <w:t>We grant the waiver request as consistent with the public interest.</w:t>
      </w:r>
    </w:p>
    <w:p w:rsidR="00AE3F71" w:rsidRPr="0073715E" w:rsidP="0025061E" w14:paraId="5A9CD594" w14:textId="75C95F5D">
      <w:pPr>
        <w:keepNext/>
        <w:widowControl/>
        <w:numPr>
          <w:ilvl w:val="0"/>
          <w:numId w:val="3"/>
        </w:numPr>
        <w:tabs>
          <w:tab w:val="num" w:pos="180"/>
          <w:tab w:val="clear" w:pos="720"/>
        </w:tabs>
        <w:suppressAutoHyphens/>
        <w:spacing w:after="120"/>
        <w:outlineLvl w:val="0"/>
        <w:rPr>
          <w:rFonts w:ascii="Times New Roman Bold" w:hAnsi="Times New Roman Bold"/>
          <w:b/>
          <w:caps/>
        </w:rPr>
      </w:pPr>
      <w:r>
        <w:rPr>
          <w:rFonts w:ascii="Times New Roman Bold" w:hAnsi="Times New Roman Bold"/>
          <w:b/>
          <w:caps/>
        </w:rPr>
        <w:t>Background</w:t>
      </w:r>
    </w:p>
    <w:p w:rsidR="003A0C7D" w:rsidRPr="00AE3F71" w:rsidP="00D74091" w14:paraId="6E5266FA" w14:textId="464C7BAB">
      <w:pPr>
        <w:pStyle w:val="ParaNum"/>
        <w:tabs>
          <w:tab w:val="clear" w:pos="1620"/>
        </w:tabs>
        <w:ind w:left="0"/>
      </w:pPr>
      <w:r>
        <w:t xml:space="preserve">FFPD serves </w:t>
      </w:r>
      <w:r w:rsidR="00D54E4A">
        <w:t>a</w:t>
      </w:r>
      <w:r>
        <w:t xml:space="preserve"> remote community in Placer County, California.</w:t>
      </w:r>
      <w:r>
        <w:rPr>
          <w:rStyle w:val="FootnoteReference"/>
        </w:rPr>
        <w:footnoteReference w:id="6"/>
      </w:r>
      <w:r>
        <w:t xml:space="preserve">  </w:t>
      </w:r>
      <w:r w:rsidR="00A602BE">
        <w:t xml:space="preserve">FFPD </w:t>
      </w:r>
      <w:r w:rsidRPr="00AE3F71" w:rsidR="00DF43F6">
        <w:t xml:space="preserve">currently </w:t>
      </w:r>
      <w:r w:rsidRPr="00AE3F71" w:rsidR="005001F0">
        <w:t>us</w:t>
      </w:r>
      <w:r w:rsidR="00D4746F">
        <w:t>es</w:t>
      </w:r>
      <w:r w:rsidRPr="00AE3F71" w:rsidR="00DF43F6">
        <w:t xml:space="preserve"> </w:t>
      </w:r>
      <w:r w:rsidRPr="00AE3F71" w:rsidR="005001F0">
        <w:t>its</w:t>
      </w:r>
      <w:r w:rsidRPr="00AE3F71" w:rsidR="00DF43F6">
        <w:t xml:space="preserve"> TIS station</w:t>
      </w:r>
      <w:r w:rsidR="00F00DB4">
        <w:t xml:space="preserve"> </w:t>
      </w:r>
      <w:r w:rsidRPr="00F00DB4" w:rsidR="00F00DB4">
        <w:t xml:space="preserve">WRKC868 </w:t>
      </w:r>
      <w:r w:rsidRPr="00AE3F71" w:rsidR="00DF43F6">
        <w:t xml:space="preserve">to </w:t>
      </w:r>
      <w:r w:rsidR="009B50B4">
        <w:t xml:space="preserve">provide </w:t>
      </w:r>
      <w:r w:rsidR="00743016">
        <w:t>“</w:t>
      </w:r>
      <w:r w:rsidR="009B50B4">
        <w:t>critical information to residents and travelers in the event of an emergency or disaster.”</w:t>
      </w:r>
      <w:r>
        <w:rPr>
          <w:rStyle w:val="FootnoteReference"/>
        </w:rPr>
        <w:footnoteReference w:id="7"/>
      </w:r>
      <w:r w:rsidRPr="00AE3F71" w:rsidR="00DF43F6">
        <w:t xml:space="preserve">  </w:t>
      </w:r>
      <w:r w:rsidR="00AF4CF3">
        <w:t>FFPD</w:t>
      </w:r>
      <w:r w:rsidR="0065056C">
        <w:t xml:space="preserve"> states that it is prone to hazards including “floods, wildland fire, earthquakes, landslides, hazardous material spills, limited communications reliability, and other events.”</w:t>
      </w:r>
      <w:r>
        <w:rPr>
          <w:rStyle w:val="FootnoteReference"/>
        </w:rPr>
        <w:footnoteReference w:id="8"/>
      </w:r>
      <w:r w:rsidR="0065056C">
        <w:t xml:space="preserve"> </w:t>
      </w:r>
      <w:r w:rsidR="00664F36">
        <w:t xml:space="preserve"> </w:t>
      </w:r>
      <w:r w:rsidR="0065056C">
        <w:t>FFPD</w:t>
      </w:r>
      <w:r w:rsidRPr="00AE3F71" w:rsidR="0065056C">
        <w:t xml:space="preserve"> request</w:t>
      </w:r>
      <w:r w:rsidR="0065056C">
        <w:t xml:space="preserve">s waiver of the </w:t>
      </w:r>
      <w:r w:rsidRPr="002769E0" w:rsidR="0065056C">
        <w:t>field intensity limitation</w:t>
      </w:r>
      <w:r w:rsidR="0065056C">
        <w:t xml:space="preserve"> to allow for a </w:t>
      </w:r>
      <w:r w:rsidRPr="00AE3F71" w:rsidR="0065056C">
        <w:t>larger coverage pattern than normally allowed by</w:t>
      </w:r>
      <w:r w:rsidR="0065056C">
        <w:t xml:space="preserve"> the rules.</w:t>
      </w:r>
      <w:r>
        <w:rPr>
          <w:rStyle w:val="FootnoteReference"/>
        </w:rPr>
        <w:footnoteReference w:id="9"/>
      </w:r>
      <w:r w:rsidR="00992D31">
        <w:t xml:space="preserve">  </w:t>
      </w:r>
      <w:r w:rsidR="0025061E">
        <w:t>FFPD states that “Foresthill has only one ac</w:t>
      </w:r>
      <w:r w:rsidR="00992D31">
        <w:t>c</w:t>
      </w:r>
      <w:r w:rsidR="0025061E">
        <w:t>ess and egress route and therefore it is imperative that early warning and evacuation announcements be made through multiple communication platforms.”</w:t>
      </w:r>
      <w:r>
        <w:rPr>
          <w:rStyle w:val="FootnoteReference"/>
        </w:rPr>
        <w:footnoteReference w:id="10"/>
      </w:r>
      <w:r w:rsidR="0025061E">
        <w:t xml:space="preserve"> </w:t>
      </w:r>
      <w:r w:rsidR="00743016">
        <w:t xml:space="preserve"> FFPD contends that</w:t>
      </w:r>
      <w:r w:rsidR="00E7063F">
        <w:t xml:space="preserve">, </w:t>
      </w:r>
      <w:r w:rsidR="00743016">
        <w:t>due to extended PG&amp;E Public Safety Power Shutoffs, its TIS “</w:t>
      </w:r>
      <w:r w:rsidRPr="00743016" w:rsidR="00743016">
        <w:t>may be the only means of reliably providing critical information to</w:t>
      </w:r>
      <w:r w:rsidR="0025061E">
        <w:t xml:space="preserve"> </w:t>
      </w:r>
      <w:r w:rsidRPr="00743016" w:rsidR="00743016">
        <w:t xml:space="preserve">members of the public, as they are likely to </w:t>
      </w:r>
      <w:r w:rsidRPr="00743016" w:rsidR="00743016">
        <w:t>have functioning battery-powered radio receivers</w:t>
      </w:r>
      <w:r w:rsidR="00743016">
        <w:t>.”</w:t>
      </w:r>
      <w:r>
        <w:rPr>
          <w:rStyle w:val="FootnoteReference"/>
        </w:rPr>
        <w:footnoteReference w:id="11"/>
      </w:r>
      <w:r w:rsidR="00743016">
        <w:t xml:space="preserve">  FFPD</w:t>
      </w:r>
      <w:r w:rsidR="0065056C">
        <w:t xml:space="preserve"> </w:t>
      </w:r>
      <w:r w:rsidR="00EF79DE">
        <w:t>argues</w:t>
      </w:r>
      <w:r w:rsidR="00664F36">
        <w:t xml:space="preserve"> that th</w:t>
      </w:r>
      <w:r w:rsidR="00212DD1">
        <w:t>e enhanced signal coverage</w:t>
      </w:r>
      <w:r w:rsidR="001B1352">
        <w:t xml:space="preserve"> would “</w:t>
      </w:r>
      <w:r w:rsidRPr="001B1352" w:rsidR="001B1352">
        <w:t>maintain the adequate coverage area within and adjacent to our District for emergency services</w:t>
      </w:r>
      <w:r w:rsidR="001B1352">
        <w:t>” and</w:t>
      </w:r>
      <w:r w:rsidR="00212DD1">
        <w:t xml:space="preserve"> </w:t>
      </w:r>
      <w:r w:rsidR="001B1352">
        <w:t>“would provide service to the areas which lack service now.</w:t>
      </w:r>
      <w:r w:rsidRPr="00AE3F71">
        <w:t>”</w:t>
      </w:r>
      <w:r>
        <w:rPr>
          <w:rStyle w:val="FootnoteReference"/>
        </w:rPr>
        <w:footnoteReference w:id="12"/>
      </w:r>
      <w:r w:rsidRPr="00AE3F71">
        <w:t xml:space="preserve">  </w:t>
      </w:r>
      <w:r w:rsidR="00AF4CF3">
        <w:t>FFPD</w:t>
      </w:r>
      <w:r w:rsidRPr="00AE3F71">
        <w:t xml:space="preserve"> argue</w:t>
      </w:r>
      <w:r w:rsidR="0078137E">
        <w:t>s</w:t>
      </w:r>
      <w:r w:rsidRPr="00AE3F71">
        <w:t xml:space="preserve"> that “</w:t>
      </w:r>
      <w:r w:rsidR="00D74091">
        <w:t>it is estimated that multiple TIS stations</w:t>
      </w:r>
      <w:r w:rsidR="00E6583C">
        <w:t xml:space="preserve"> –</w:t>
      </w:r>
      <w:r w:rsidR="00D74091">
        <w:t xml:space="preserve"> and the addition of synchronization equipment that would be required to produce the desired coverage – would greatly multiply the cost to service the same area</w:t>
      </w:r>
      <w:r w:rsidRPr="00D74091">
        <w:rPr>
          <w:snapToGrid/>
        </w:rPr>
        <w:t>.”</w:t>
      </w:r>
      <w:r>
        <w:rPr>
          <w:rStyle w:val="FootnoteReference"/>
          <w:snapToGrid/>
          <w:sz w:val="22"/>
          <w:szCs w:val="22"/>
        </w:rPr>
        <w:footnoteReference w:id="13"/>
      </w:r>
    </w:p>
    <w:p w:rsidR="007B05DD" w:rsidRPr="007B05DD" w:rsidP="009F25F6" w14:paraId="401DF922" w14:textId="77777777">
      <w:pPr>
        <w:pStyle w:val="Heading1"/>
        <w:widowControl/>
      </w:pPr>
      <w:r w:rsidRPr="007B05DD">
        <w:t>DISCUSSION</w:t>
      </w:r>
    </w:p>
    <w:p w:rsidR="00134B89" w:rsidP="00941EF0" w14:paraId="58EB6CCF" w14:textId="77777777">
      <w:pPr>
        <w:pStyle w:val="ParaNum"/>
        <w:widowControl/>
        <w:tabs>
          <w:tab w:val="clear" w:pos="1620"/>
        </w:tabs>
        <w:ind w:left="0"/>
      </w:pPr>
      <w:r w:rsidRPr="007B05DD">
        <w:t xml:space="preserve">Section 1.925(b)(3) of the Commission’s rules provides that: “the Commission may grant a request for waiver if it is shown that: </w:t>
      </w:r>
      <w:bookmarkStart w:id="2" w:name="SP;619100004c4a2"/>
      <w:bookmarkStart w:id="3" w:name="I0C18FFF043ED11E0B2C484FD2F1B6B50"/>
      <w:bookmarkStart w:id="4" w:name="I0C172B3643ED11E0B2C484FD2F1B6B50"/>
      <w:bookmarkEnd w:id="2"/>
      <w:bookmarkEnd w:id="3"/>
      <w:bookmarkEnd w:id="4"/>
      <w:r w:rsidRPr="007B05DD">
        <w:t>(</w:t>
      </w:r>
      <w:r w:rsidRPr="007B05DD">
        <w:t>i</w:t>
      </w:r>
      <w:r w:rsidRPr="007B05DD">
        <w:t xml:space="preserve">) The underlying purpose of the rule(s) would not be served or would be frustrated by application to the instant case, and that a grant of the requested waiver would be in the public interest; or </w:t>
      </w:r>
      <w:bookmarkStart w:id="5" w:name="SP;3ac8000039643"/>
      <w:bookmarkStart w:id="6" w:name="I0C19270043ED11E0B2C484FD2F1B6B50"/>
      <w:bookmarkStart w:id="7" w:name="I0C172B3743ED11E0B2C484FD2F1B6B50"/>
      <w:bookmarkEnd w:id="5"/>
      <w:bookmarkEnd w:id="6"/>
      <w:bookmarkEnd w:id="7"/>
      <w:r w:rsidRPr="007B05DD">
        <w:t>(ii) In view of unique or unusual factual circumstances of the instant case, application of the rule(s) would be inequitable, unduly burdensome or contrary to the public interest, or the applicant has no reasonable alternative.”</w:t>
      </w:r>
      <w:r>
        <w:rPr>
          <w:vertAlign w:val="superscript"/>
        </w:rPr>
        <w:footnoteReference w:id="14"/>
      </w:r>
      <w:r w:rsidRPr="007B05DD">
        <w:t xml:space="preserve">  An applicant seeking a waiver faces a high hurdle and must plead with particularity the facts and circumstances that warrant a waiver.</w:t>
      </w:r>
      <w:r>
        <w:rPr>
          <w:vertAlign w:val="superscript"/>
        </w:rPr>
        <w:footnoteReference w:id="15"/>
      </w:r>
      <w:r w:rsidRPr="007B05DD">
        <w:t xml:space="preserve">  </w:t>
      </w:r>
    </w:p>
    <w:p w:rsidR="00C73248" w:rsidRPr="001C349E" w:rsidP="00941EF0" w14:paraId="7733904A" w14:textId="5F5E7FF4">
      <w:pPr>
        <w:pStyle w:val="ParaNum"/>
        <w:widowControl/>
        <w:tabs>
          <w:tab w:val="clear" w:pos="1620"/>
        </w:tabs>
        <w:ind w:left="0"/>
        <w:rPr>
          <w:szCs w:val="22"/>
        </w:rPr>
      </w:pPr>
      <w:r>
        <w:rPr>
          <w:color w:val="000000"/>
          <w:szCs w:val="22"/>
          <w:shd w:val="clear" w:color="auto" w:fill="FFFFFF"/>
        </w:rPr>
        <w:t xml:space="preserve">We find that </w:t>
      </w:r>
      <w:r w:rsidR="00AF4CF3">
        <w:rPr>
          <w:color w:val="000000"/>
          <w:szCs w:val="22"/>
          <w:shd w:val="clear" w:color="auto" w:fill="FFFFFF"/>
        </w:rPr>
        <w:t>FFPD</w:t>
      </w:r>
      <w:r>
        <w:rPr>
          <w:color w:val="000000"/>
          <w:szCs w:val="22"/>
          <w:shd w:val="clear" w:color="auto" w:fill="FFFFFF"/>
        </w:rPr>
        <w:t xml:space="preserve"> has met the waiver standard.  </w:t>
      </w:r>
      <w:r w:rsidR="00AF4CF3">
        <w:rPr>
          <w:color w:val="000000"/>
          <w:szCs w:val="22"/>
          <w:shd w:val="clear" w:color="auto" w:fill="FFFFFF"/>
        </w:rPr>
        <w:t>FFPD</w:t>
      </w:r>
      <w:r>
        <w:rPr>
          <w:color w:val="000000"/>
          <w:szCs w:val="22"/>
          <w:shd w:val="clear" w:color="auto" w:fill="FFFFFF"/>
        </w:rPr>
        <w:t xml:space="preserve"> </w:t>
      </w:r>
      <w:r w:rsidR="003910DB">
        <w:rPr>
          <w:color w:val="000000"/>
          <w:szCs w:val="22"/>
          <w:shd w:val="clear" w:color="auto" w:fill="FFFFFF"/>
        </w:rPr>
        <w:t xml:space="preserve">provided an </w:t>
      </w:r>
      <w:r>
        <w:rPr>
          <w:color w:val="000000"/>
          <w:szCs w:val="22"/>
          <w:shd w:val="clear" w:color="auto" w:fill="FFFFFF"/>
        </w:rPr>
        <w:t xml:space="preserve">engineering study </w:t>
      </w:r>
      <w:r w:rsidR="003910DB">
        <w:rPr>
          <w:szCs w:val="22"/>
        </w:rPr>
        <w:t>that d</w:t>
      </w:r>
      <w:r w:rsidRPr="001C349E">
        <w:rPr>
          <w:szCs w:val="22"/>
        </w:rPr>
        <w:t xml:space="preserve">emonstrates </w:t>
      </w:r>
      <w:r>
        <w:rPr>
          <w:szCs w:val="22"/>
        </w:rPr>
        <w:t xml:space="preserve">the lack of interference </w:t>
      </w:r>
      <w:r w:rsidRPr="001C349E">
        <w:rPr>
          <w:szCs w:val="22"/>
        </w:rPr>
        <w:t>t</w:t>
      </w:r>
      <w:r>
        <w:rPr>
          <w:szCs w:val="22"/>
        </w:rPr>
        <w:t xml:space="preserve">o the </w:t>
      </w:r>
      <w:r w:rsidRPr="001C349E">
        <w:rPr>
          <w:szCs w:val="22"/>
        </w:rPr>
        <w:t>closest co-channel and adjacent channel stations.</w:t>
      </w:r>
      <w:r>
        <w:rPr>
          <w:szCs w:val="22"/>
          <w:vertAlign w:val="superscript"/>
        </w:rPr>
        <w:footnoteReference w:id="16"/>
      </w:r>
      <w:r w:rsidRPr="001C349E">
        <w:rPr>
          <w:szCs w:val="22"/>
        </w:rPr>
        <w:t xml:space="preserve"> </w:t>
      </w:r>
      <w:r w:rsidR="003910DB">
        <w:rPr>
          <w:szCs w:val="22"/>
        </w:rPr>
        <w:t xml:space="preserve"> </w:t>
      </w:r>
      <w:r w:rsidR="00AF4CF3">
        <w:rPr>
          <w:color w:val="000000"/>
          <w:szCs w:val="22"/>
          <w:shd w:val="clear" w:color="auto" w:fill="FFFFFF"/>
        </w:rPr>
        <w:t>FFPD</w:t>
      </w:r>
      <w:r w:rsidRPr="001C349E" w:rsidR="003910DB">
        <w:rPr>
          <w:color w:val="000000"/>
          <w:szCs w:val="22"/>
          <w:shd w:val="clear" w:color="auto" w:fill="FFFFFF"/>
        </w:rPr>
        <w:t xml:space="preserve"> </w:t>
      </w:r>
      <w:r w:rsidR="00AB55CB">
        <w:rPr>
          <w:color w:val="000000"/>
          <w:szCs w:val="22"/>
          <w:shd w:val="clear" w:color="auto" w:fill="FFFFFF"/>
        </w:rPr>
        <w:t xml:space="preserve">also specifically </w:t>
      </w:r>
      <w:r w:rsidR="003910DB">
        <w:rPr>
          <w:color w:val="000000"/>
          <w:szCs w:val="22"/>
          <w:shd w:val="clear" w:color="auto" w:fill="FFFFFF"/>
        </w:rPr>
        <w:t>demonstrate</w:t>
      </w:r>
      <w:r w:rsidR="00AB55CB">
        <w:rPr>
          <w:color w:val="000000"/>
          <w:szCs w:val="22"/>
          <w:shd w:val="clear" w:color="auto" w:fill="FFFFFF"/>
        </w:rPr>
        <w:t>d</w:t>
      </w:r>
      <w:r w:rsidR="003910DB">
        <w:rPr>
          <w:color w:val="000000"/>
          <w:szCs w:val="22"/>
          <w:shd w:val="clear" w:color="auto" w:fill="FFFFFF"/>
        </w:rPr>
        <w:t xml:space="preserve"> that it </w:t>
      </w:r>
      <w:r w:rsidRPr="001C349E" w:rsidR="003910DB">
        <w:rPr>
          <w:color w:val="000000"/>
          <w:szCs w:val="22"/>
          <w:shd w:val="clear" w:color="auto" w:fill="FFFFFF"/>
        </w:rPr>
        <w:t xml:space="preserve">complies with the </w:t>
      </w:r>
      <w:r w:rsidRPr="001C349E" w:rsidR="003910DB">
        <w:rPr>
          <w:szCs w:val="22"/>
        </w:rPr>
        <w:t>TIS spacing rule</w:t>
      </w:r>
      <w:r>
        <w:rPr>
          <w:rStyle w:val="FootnoteReference"/>
          <w:sz w:val="22"/>
          <w:szCs w:val="22"/>
        </w:rPr>
        <w:footnoteReference w:id="17"/>
      </w:r>
      <w:r w:rsidRPr="001C349E" w:rsidR="003910DB">
        <w:rPr>
          <w:szCs w:val="22"/>
        </w:rPr>
        <w:t xml:space="preserve"> in section 90.242(a)(2)(</w:t>
      </w:r>
      <w:r w:rsidRPr="001C349E" w:rsidR="003910DB">
        <w:rPr>
          <w:szCs w:val="22"/>
        </w:rPr>
        <w:t>i</w:t>
      </w:r>
      <w:r w:rsidRPr="001C349E" w:rsidR="003910DB">
        <w:rPr>
          <w:szCs w:val="22"/>
        </w:rPr>
        <w:t>)</w:t>
      </w:r>
      <w:r w:rsidR="003910DB">
        <w:rPr>
          <w:szCs w:val="22"/>
        </w:rPr>
        <w:t xml:space="preserve"> of the Commission’s rules</w:t>
      </w:r>
      <w:r w:rsidR="005C43FA">
        <w:rPr>
          <w:szCs w:val="22"/>
        </w:rPr>
        <w:t>.</w:t>
      </w:r>
      <w:r>
        <w:rPr>
          <w:rStyle w:val="FootnoteReference"/>
          <w:sz w:val="22"/>
          <w:szCs w:val="22"/>
          <w:shd w:val="clear" w:color="auto" w:fill="FFFFFF"/>
        </w:rPr>
        <w:footnoteReference w:id="18"/>
      </w:r>
      <w:r w:rsidRPr="001C349E" w:rsidR="003910DB">
        <w:rPr>
          <w:szCs w:val="22"/>
        </w:rPr>
        <w:t xml:space="preserve"> </w:t>
      </w:r>
    </w:p>
    <w:p w:rsidR="00C73248" w:rsidRPr="00D4746F" w:rsidP="00D4746F" w14:paraId="10334EBD" w14:textId="452D2443">
      <w:pPr>
        <w:pStyle w:val="ParaNum"/>
        <w:widowControl/>
        <w:tabs>
          <w:tab w:val="clear" w:pos="1620"/>
        </w:tabs>
        <w:ind w:left="0"/>
        <w:rPr>
          <w:szCs w:val="22"/>
        </w:rPr>
      </w:pPr>
      <w:r>
        <w:t xml:space="preserve">With respect to </w:t>
      </w:r>
      <w:r w:rsidRPr="007655D5">
        <w:t>the Commission’s waiver criteria,</w:t>
      </w:r>
      <w:r>
        <w:rPr>
          <w:rStyle w:val="FootnoteReference"/>
        </w:rPr>
        <w:footnoteReference w:id="19"/>
      </w:r>
      <w:r w:rsidRPr="007655D5">
        <w:t xml:space="preserve"> </w:t>
      </w:r>
      <w:r>
        <w:t>we agree with the</w:t>
      </w:r>
      <w:r w:rsidRPr="007655D5">
        <w:t xml:space="preserve"> </w:t>
      </w:r>
      <w:r w:rsidR="00AF4CF3">
        <w:t>FFPD</w:t>
      </w:r>
      <w:r w:rsidR="006521A7">
        <w:t xml:space="preserve">’s </w:t>
      </w:r>
      <w:r w:rsidRPr="007655D5">
        <w:t>conten</w:t>
      </w:r>
      <w:r>
        <w:t>tion</w:t>
      </w:r>
      <w:r w:rsidRPr="007655D5">
        <w:t xml:space="preserve"> </w:t>
      </w:r>
      <w:r>
        <w:t xml:space="preserve">that </w:t>
      </w:r>
      <w:r w:rsidR="006521A7">
        <w:t xml:space="preserve">the purpose of </w:t>
      </w:r>
      <w:r w:rsidRPr="00E6562C">
        <w:rPr>
          <w:snapToGrid/>
        </w:rPr>
        <w:t>section 90.242(b)(4)(iv)</w:t>
      </w:r>
      <w:r w:rsidR="00D4746F">
        <w:rPr>
          <w:snapToGrid/>
        </w:rPr>
        <w:t>—</w:t>
      </w:r>
      <w:r w:rsidRPr="00D4746F">
        <w:rPr>
          <w:snapToGrid/>
        </w:rPr>
        <w:t>to protect broadcasters from TIS interference</w:t>
      </w:r>
      <w:r w:rsidR="00D4746F">
        <w:rPr>
          <w:snapToGrid/>
        </w:rPr>
        <w:t>—</w:t>
      </w:r>
      <w:r w:rsidRPr="00D4746F">
        <w:rPr>
          <w:snapToGrid/>
        </w:rPr>
        <w:t xml:space="preserve">would not be served if applied to the instant matter because </w:t>
      </w:r>
      <w:r w:rsidR="00AF4CF3">
        <w:rPr>
          <w:snapToGrid/>
        </w:rPr>
        <w:t>FFPD</w:t>
      </w:r>
      <w:r w:rsidRPr="00D4746F">
        <w:rPr>
          <w:snapToGrid/>
        </w:rPr>
        <w:t xml:space="preserve"> has demonstrated the lack of interference from its proposed TIS facility.</w:t>
      </w:r>
      <w:r>
        <w:rPr>
          <w:rStyle w:val="FootnoteReference"/>
          <w:snapToGrid/>
        </w:rPr>
        <w:footnoteReference w:id="20"/>
      </w:r>
      <w:r w:rsidRPr="00D4746F">
        <w:rPr>
          <w:snapToGrid/>
        </w:rPr>
        <w:t xml:space="preserve"> </w:t>
      </w:r>
      <w:r w:rsidRPr="00D4746F" w:rsidR="00AB55CB">
        <w:rPr>
          <w:snapToGrid/>
        </w:rPr>
        <w:t xml:space="preserve"> </w:t>
      </w:r>
      <w:r w:rsidRPr="00D4746F" w:rsidR="006521A7">
        <w:rPr>
          <w:snapToGrid/>
        </w:rPr>
        <w:t xml:space="preserve">In addition, </w:t>
      </w:r>
      <w:r w:rsidRPr="00D4746F">
        <w:rPr>
          <w:snapToGrid/>
        </w:rPr>
        <w:t xml:space="preserve">strict adherence to section 90.242(b)(4)(iv) would have the unintended effect of requiring </w:t>
      </w:r>
      <w:r w:rsidR="00AF4CF3">
        <w:rPr>
          <w:snapToGrid/>
        </w:rPr>
        <w:t>FFPD</w:t>
      </w:r>
      <w:r w:rsidRPr="00D4746F">
        <w:rPr>
          <w:snapToGrid/>
        </w:rPr>
        <w:t xml:space="preserve"> to install additional expensive TIS facilities to realize expanded </w:t>
      </w:r>
      <w:r w:rsidRPr="00D4746F">
        <w:rPr>
          <w:snapToGrid/>
        </w:rPr>
        <w:t>coverage.</w:t>
      </w:r>
      <w:r>
        <w:rPr>
          <w:rStyle w:val="FootnoteReference"/>
          <w:snapToGrid/>
        </w:rPr>
        <w:footnoteReference w:id="21"/>
      </w:r>
      <w:r w:rsidRPr="00D4746F">
        <w:rPr>
          <w:snapToGrid/>
        </w:rPr>
        <w:t xml:space="preserve"> </w:t>
      </w:r>
      <w:r w:rsidRPr="00D4746F" w:rsidR="00AB55CB">
        <w:rPr>
          <w:snapToGrid/>
        </w:rPr>
        <w:t xml:space="preserve"> </w:t>
      </w:r>
      <w:r w:rsidRPr="00D4746F" w:rsidR="006521A7">
        <w:rPr>
          <w:snapToGrid/>
        </w:rPr>
        <w:t xml:space="preserve">We agree with </w:t>
      </w:r>
      <w:r w:rsidR="00AF4CF3">
        <w:rPr>
          <w:snapToGrid/>
        </w:rPr>
        <w:t>FFPD</w:t>
      </w:r>
      <w:r w:rsidRPr="00D4746F" w:rsidR="006521A7">
        <w:rPr>
          <w:snapToGrid/>
        </w:rPr>
        <w:t xml:space="preserve"> that s</w:t>
      </w:r>
      <w:r w:rsidRPr="00D4746F">
        <w:rPr>
          <w:snapToGrid/>
        </w:rPr>
        <w:t>ection 90.242(b)(4)(iv) was not intended</w:t>
      </w:r>
      <w:r w:rsidRPr="00D4746F" w:rsidR="006521A7">
        <w:rPr>
          <w:snapToGrid/>
        </w:rPr>
        <w:t xml:space="preserve"> </w:t>
      </w:r>
      <w:r w:rsidRPr="00D4746F">
        <w:rPr>
          <w:snapToGrid/>
        </w:rPr>
        <w:t>to impose a</w:t>
      </w:r>
      <w:r w:rsidRPr="00D4746F" w:rsidR="006521A7">
        <w:rPr>
          <w:snapToGrid/>
        </w:rPr>
        <w:t>n unnecessary</w:t>
      </w:r>
      <w:r w:rsidRPr="00D4746F">
        <w:rPr>
          <w:snapToGrid/>
        </w:rPr>
        <w:t xml:space="preserve"> cost burden on agencies responsible for informing the traveling public</w:t>
      </w:r>
      <w:r w:rsidRPr="00D4746F" w:rsidR="00AB55CB">
        <w:rPr>
          <w:snapToGrid/>
        </w:rPr>
        <w:t>.</w:t>
      </w:r>
      <w:r>
        <w:rPr>
          <w:snapToGrid/>
          <w:sz w:val="20"/>
          <w:vertAlign w:val="superscript"/>
        </w:rPr>
        <w:footnoteReference w:id="22"/>
      </w:r>
    </w:p>
    <w:p w:rsidR="007B05DD" w:rsidRPr="007B05DD" w:rsidP="009F25F6" w14:paraId="3307C526" w14:textId="77777777">
      <w:pPr>
        <w:pStyle w:val="Heading1"/>
        <w:widowControl/>
      </w:pPr>
      <w:r w:rsidRPr="007B05DD">
        <w:t>ordering clauses</w:t>
      </w:r>
    </w:p>
    <w:p w:rsidR="007B05DD" w:rsidRPr="0078137E" w:rsidP="00941EF0" w14:paraId="4C2306C4" w14:textId="55AD0795">
      <w:pPr>
        <w:pStyle w:val="ParaNum"/>
        <w:widowControl/>
        <w:tabs>
          <w:tab w:val="clear" w:pos="1620"/>
        </w:tabs>
        <w:ind w:left="0"/>
        <w:rPr>
          <w:b/>
          <w:bCs/>
        </w:rPr>
      </w:pPr>
      <w:r w:rsidRPr="007B05DD">
        <w:t xml:space="preserve">Accordingly, IT IS ORDERED, pursuant to </w:t>
      </w:r>
      <w:r w:rsidR="00E55C1D">
        <w:t>s</w:t>
      </w:r>
      <w:r w:rsidRPr="007B05DD">
        <w:t>ections 4(</w:t>
      </w:r>
      <w:r w:rsidRPr="007B05DD">
        <w:t>i</w:t>
      </w:r>
      <w:r w:rsidRPr="007B05DD">
        <w:t>) and 303(r) of the Communications Act of 1934, as amended, 47 U.S.C. §§ 154(</w:t>
      </w:r>
      <w:r w:rsidRPr="007B05DD">
        <w:t>i</w:t>
      </w:r>
      <w:r w:rsidRPr="007B05DD">
        <w:t xml:space="preserve">), 303(r), and </w:t>
      </w:r>
      <w:r w:rsidR="00E55C1D">
        <w:t>s</w:t>
      </w:r>
      <w:r w:rsidRPr="007B05DD">
        <w:t xml:space="preserve">ection 1.925 of the Commission’s rules, 47 CFR § 1.925, that the Request for Waiver of the </w:t>
      </w:r>
      <w:r w:rsidR="002769E0">
        <w:t>Foresthill Fire Protection District</w:t>
      </w:r>
      <w:r w:rsidRPr="007B05DD">
        <w:t xml:space="preserve">, filed on </w:t>
      </w:r>
      <w:r w:rsidR="00C827FE">
        <w:t>March 31, 2021</w:t>
      </w:r>
      <w:r w:rsidRPr="007B05DD">
        <w:t xml:space="preserve">, </w:t>
      </w:r>
      <w:r w:rsidRPr="0078137E">
        <w:rPr>
          <w:b/>
          <w:bCs/>
        </w:rPr>
        <w:t>IS GRANTED.</w:t>
      </w:r>
    </w:p>
    <w:p w:rsidR="007B05DD" w:rsidRPr="007B05DD" w:rsidP="00941EF0" w14:paraId="76C75D60" w14:textId="587B4FEC">
      <w:pPr>
        <w:pStyle w:val="ParaNum"/>
        <w:widowControl/>
        <w:tabs>
          <w:tab w:val="clear" w:pos="1620"/>
        </w:tabs>
        <w:ind w:left="0"/>
      </w:pPr>
      <w:r w:rsidRPr="0078137E">
        <w:rPr>
          <w:b/>
          <w:bCs/>
        </w:rPr>
        <w:t>IT IS FURTHER ORDERED</w:t>
      </w:r>
      <w:r w:rsidRPr="007B05DD">
        <w:t xml:space="preserve"> that application File No. </w:t>
      </w:r>
      <w:r w:rsidRPr="00C827FE" w:rsidR="00C827FE">
        <w:rPr>
          <w:spacing w:val="-2"/>
        </w:rPr>
        <w:t>0009476948</w:t>
      </w:r>
      <w:r w:rsidRPr="007B05DD">
        <w:t xml:space="preserve">, filed by the </w:t>
      </w:r>
      <w:r w:rsidR="002769E0">
        <w:t>Foresthill Fire Protection District</w:t>
      </w:r>
      <w:r w:rsidRPr="007B05DD">
        <w:t xml:space="preserve"> </w:t>
      </w:r>
      <w:r w:rsidRPr="0078137E">
        <w:rPr>
          <w:b/>
          <w:bCs/>
        </w:rPr>
        <w:t>SHALL BE PROCESSED</w:t>
      </w:r>
      <w:r w:rsidRPr="007B05DD">
        <w:t xml:space="preserve"> in accordance with this Order and the Commission’s rules. </w:t>
      </w:r>
    </w:p>
    <w:p w:rsidR="007B05DD" w:rsidRPr="007B05DD" w:rsidP="00941EF0" w14:paraId="5956135A" w14:textId="77777777">
      <w:pPr>
        <w:pStyle w:val="ParaNum"/>
        <w:keepNext/>
        <w:keepLines/>
        <w:widowControl/>
        <w:tabs>
          <w:tab w:val="clear" w:pos="1620"/>
        </w:tabs>
        <w:ind w:left="0"/>
      </w:pPr>
      <w:r w:rsidRPr="007B05DD">
        <w:t>This action is taken under delegated authority pursuant to Sections 0.191 and 0.392 of the Commission’s rules, 47 CFR §§ 0.191, 0.392.</w:t>
      </w:r>
    </w:p>
    <w:p w:rsidR="007B05DD" w:rsidP="00941EF0" w14:paraId="563137B0" w14:textId="1DEA1A05">
      <w:pPr>
        <w:keepNext/>
        <w:keepLines/>
        <w:widowControl/>
        <w:spacing w:after="120"/>
        <w:ind w:left="4320"/>
      </w:pPr>
      <w:r w:rsidRPr="007B05DD">
        <w:br/>
        <w:t>FEDERAL COMMUNICATIONS COMMISSION</w:t>
      </w:r>
      <w:r w:rsidRPr="007B05DD">
        <w:br/>
      </w:r>
    </w:p>
    <w:p w:rsidR="00C73248" w:rsidRPr="007B05DD" w:rsidP="00941EF0" w14:paraId="38F4E837" w14:textId="77777777">
      <w:pPr>
        <w:keepNext/>
        <w:keepLines/>
        <w:widowControl/>
        <w:spacing w:after="120"/>
        <w:ind w:left="4320"/>
      </w:pPr>
    </w:p>
    <w:p w:rsidR="007B05DD" w:rsidRPr="007B05DD" w:rsidP="00941EF0" w14:paraId="39324C88" w14:textId="54945E54">
      <w:pPr>
        <w:keepNext/>
        <w:keepLines/>
        <w:widowControl/>
        <w:spacing w:after="120"/>
        <w:ind w:left="4320"/>
      </w:pPr>
      <w:r w:rsidRPr="007B05DD">
        <w:br/>
      </w:r>
      <w:r w:rsidR="00D613CF">
        <w:t>John A. Evanoff</w:t>
      </w:r>
      <w:r w:rsidRPr="007B05DD">
        <w:t xml:space="preserve"> </w:t>
      </w:r>
      <w:r w:rsidRPr="007B05DD">
        <w:br/>
        <w:t>Chief, Policy and Licensing Division</w:t>
      </w:r>
      <w:r w:rsidRPr="007B05DD">
        <w:br/>
        <w:t>Public Safety and Homeland Security Bureau</w:t>
      </w: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49F04A6"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03820F8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2B37EBA5"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1B57E765"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63501BE4"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B1899" w14:paraId="626854C0" w14:textId="77777777">
      <w:r>
        <w:separator/>
      </w:r>
    </w:p>
  </w:footnote>
  <w:footnote w:type="continuationSeparator" w:id="1">
    <w:p w:rsidR="00CB1899" w:rsidP="00C721AC" w14:paraId="1F8D49B7" w14:textId="77777777">
      <w:pPr>
        <w:spacing w:before="120"/>
        <w:rPr>
          <w:sz w:val="20"/>
        </w:rPr>
      </w:pPr>
      <w:r>
        <w:rPr>
          <w:sz w:val="20"/>
        </w:rPr>
        <w:t xml:space="preserve">(Continued from previous page)  </w:t>
      </w:r>
      <w:r>
        <w:rPr>
          <w:sz w:val="20"/>
        </w:rPr>
        <w:separator/>
      </w:r>
    </w:p>
  </w:footnote>
  <w:footnote w:type="continuationNotice" w:id="2">
    <w:p w:rsidR="00CB1899" w:rsidRPr="00130BF3" w:rsidP="00130BF3" w14:paraId="7C6DF76D" w14:textId="77777777">
      <w:pPr>
        <w:pStyle w:val="Footer"/>
      </w:pPr>
    </w:p>
  </w:footnote>
  <w:footnote w:id="3">
    <w:p w:rsidR="0073715E" w:rsidP="0073715E" w14:paraId="5690B9C6" w14:textId="4090204B">
      <w:pPr>
        <w:pStyle w:val="FootnoteText"/>
      </w:pPr>
      <w:r>
        <w:rPr>
          <w:rStyle w:val="FootnoteReference"/>
        </w:rPr>
        <w:footnoteRef/>
      </w:r>
      <w:r>
        <w:t xml:space="preserve"> </w:t>
      </w:r>
      <w:r w:rsidRPr="006B719D">
        <w:rPr>
          <w:i/>
        </w:rPr>
        <w:t>See</w:t>
      </w:r>
      <w:r>
        <w:t xml:space="preserve"> File No</w:t>
      </w:r>
      <w:r w:rsidRPr="008725E9">
        <w:t>.</w:t>
      </w:r>
      <w:r w:rsidR="002C54EC">
        <w:rPr>
          <w:snapToGrid w:val="0"/>
          <w:spacing w:val="-2"/>
          <w:kern w:val="28"/>
          <w:sz w:val="22"/>
        </w:rPr>
        <w:t xml:space="preserve"> </w:t>
      </w:r>
      <w:r w:rsidRPr="00C827FE" w:rsidR="00C827FE">
        <w:rPr>
          <w:spacing w:val="-2"/>
        </w:rPr>
        <w:t>0009476948</w:t>
      </w:r>
      <w:r>
        <w:t xml:space="preserve"> and accompanying Waiver Request of </w:t>
      </w:r>
      <w:r w:rsidR="002769E0">
        <w:t>Foresthill Fire Protection District</w:t>
      </w:r>
      <w:r>
        <w:t xml:space="preserve"> (filed </w:t>
      </w:r>
      <w:r w:rsidR="002769E0">
        <w:t>Mar.</w:t>
      </w:r>
      <w:r w:rsidR="00B93961">
        <w:t xml:space="preserve"> </w:t>
      </w:r>
      <w:r w:rsidR="002769E0">
        <w:t>31</w:t>
      </w:r>
      <w:r>
        <w:t>, 20</w:t>
      </w:r>
      <w:r w:rsidR="00B93961">
        <w:t>2</w:t>
      </w:r>
      <w:r w:rsidR="002769E0">
        <w:t>1</w:t>
      </w:r>
      <w:r>
        <w:t xml:space="preserve">) (Waiver Justification). </w:t>
      </w:r>
      <w:r w:rsidR="003910DB">
        <w:t xml:space="preserve"> </w:t>
      </w:r>
      <w:r w:rsidR="002769E0">
        <w:t>Foresthill</w:t>
      </w:r>
      <w:r w:rsidRPr="0073715E">
        <w:t>’s TIS operates on frequency 1</w:t>
      </w:r>
      <w:r w:rsidR="002769E0">
        <w:t>0</w:t>
      </w:r>
      <w:r w:rsidR="00B93961">
        <w:t>2</w:t>
      </w:r>
      <w:r w:rsidRPr="0073715E">
        <w:t>0 kilohertz in the AM radio band</w:t>
      </w:r>
      <w:r w:rsidR="00190962">
        <w:t xml:space="preserve"> under call sign WRFC301</w:t>
      </w:r>
      <w:r w:rsidRPr="0073715E">
        <w:t xml:space="preserve">.  </w:t>
      </w:r>
    </w:p>
  </w:footnote>
  <w:footnote w:id="4">
    <w:p w:rsidR="00B171B6" w14:paraId="6C14A421" w14:textId="6BE13091">
      <w:pPr>
        <w:pStyle w:val="FootnoteText"/>
      </w:pPr>
      <w:r>
        <w:rPr>
          <w:rStyle w:val="FootnoteReference"/>
        </w:rPr>
        <w:footnoteRef/>
      </w:r>
      <w:r>
        <w:t xml:space="preserve"> 47 CFR </w:t>
      </w:r>
      <w:r w:rsidRPr="00FD2745">
        <w:t>§</w:t>
      </w:r>
      <w:r>
        <w:t xml:space="preserve"> </w:t>
      </w:r>
      <w:r w:rsidRPr="00B171B6">
        <w:t>90.242(b)(4)(iv)</w:t>
      </w:r>
      <w:r>
        <w:t xml:space="preserve">. </w:t>
      </w:r>
    </w:p>
  </w:footnote>
  <w:footnote w:id="5">
    <w:p w:rsidR="002A169C" w:rsidP="002A169C" w14:paraId="0933D23A" w14:textId="272DAE36">
      <w:pPr>
        <w:pStyle w:val="FootnoteText"/>
      </w:pPr>
      <w:r>
        <w:rPr>
          <w:rStyle w:val="FootnoteReference"/>
        </w:rPr>
        <w:footnoteRef/>
      </w:r>
      <w:r>
        <w:t xml:space="preserve"> </w:t>
      </w:r>
      <w:r w:rsidRPr="00B171B6" w:rsidR="005E49C6">
        <w:rPr>
          <w:i/>
        </w:rPr>
        <w:t xml:space="preserve">See </w:t>
      </w:r>
      <w:r w:rsidRPr="00B171B6" w:rsidR="00B171B6">
        <w:rPr>
          <w:i/>
        </w:rPr>
        <w:t>id.</w:t>
      </w:r>
      <w:r w:rsidR="005E49C6">
        <w:t xml:space="preserve"> (</w:t>
      </w:r>
      <w:r>
        <w:t>“The field strength of the emission on the operating frequency shall not exceed 2 mV/m when measured with a standard field strength meter at a distance of 1.50 km (0.93 miles) from the transmitting antenna system.”</w:t>
      </w:r>
      <w:r w:rsidR="005E49C6">
        <w:t>)</w:t>
      </w:r>
      <w:r w:rsidR="00D4746F">
        <w:t>.</w:t>
      </w:r>
      <w:r>
        <w:t xml:space="preserve"> </w:t>
      </w:r>
    </w:p>
  </w:footnote>
  <w:footnote w:id="6">
    <w:p w:rsidR="005626F2" w14:paraId="7781619C" w14:textId="3DD66BAD">
      <w:pPr>
        <w:pStyle w:val="FootnoteText"/>
      </w:pPr>
      <w:r>
        <w:rPr>
          <w:rStyle w:val="FootnoteReference"/>
        </w:rPr>
        <w:footnoteRef/>
      </w:r>
      <w:r>
        <w:t xml:space="preserve"> </w:t>
      </w:r>
      <w:r w:rsidRPr="006B719D">
        <w:rPr>
          <w:i/>
        </w:rPr>
        <w:t>See</w:t>
      </w:r>
      <w:r>
        <w:t xml:space="preserve"> File No</w:t>
      </w:r>
      <w:r w:rsidRPr="008725E9">
        <w:t>.</w:t>
      </w:r>
      <w:r>
        <w:rPr>
          <w:snapToGrid w:val="0"/>
          <w:spacing w:val="-2"/>
          <w:kern w:val="28"/>
          <w:sz w:val="22"/>
        </w:rPr>
        <w:t xml:space="preserve"> </w:t>
      </w:r>
      <w:r w:rsidRPr="00C827FE" w:rsidR="00C827FE">
        <w:rPr>
          <w:spacing w:val="-2"/>
        </w:rPr>
        <w:t>0009476948</w:t>
      </w:r>
      <w:r>
        <w:rPr>
          <w:spacing w:val="-2"/>
        </w:rPr>
        <w:t>, attached Letter from</w:t>
      </w:r>
      <w:r w:rsidRPr="006B5A64">
        <w:t xml:space="preserve"> </w:t>
      </w:r>
      <w:r w:rsidRPr="006B5A64">
        <w:rPr>
          <w:spacing w:val="-2"/>
        </w:rPr>
        <w:t xml:space="preserve">John </w:t>
      </w:r>
      <w:r w:rsidRPr="006B5A64">
        <w:rPr>
          <w:spacing w:val="-2"/>
        </w:rPr>
        <w:t>Michelini</w:t>
      </w:r>
      <w:r w:rsidRPr="006B5A64">
        <w:rPr>
          <w:spacing w:val="-2"/>
        </w:rPr>
        <w:t>, Board President</w:t>
      </w:r>
      <w:r>
        <w:rPr>
          <w:spacing w:val="-2"/>
        </w:rPr>
        <w:t>, Foresthill Fire Protection District, to Federal Communications Commission, at 1 (dated Dec. 30, 2020) (FFPD Letter)</w:t>
      </w:r>
      <w:r>
        <w:t>.</w:t>
      </w:r>
    </w:p>
  </w:footnote>
  <w:footnote w:id="7">
    <w:p w:rsidR="00301FDD" w14:paraId="7C9881A3" w14:textId="5D865ADD">
      <w:pPr>
        <w:pStyle w:val="FootnoteText"/>
      </w:pPr>
      <w:r>
        <w:rPr>
          <w:rStyle w:val="FootnoteReference"/>
        </w:rPr>
        <w:footnoteRef/>
      </w:r>
      <w:r>
        <w:t xml:space="preserve"> </w:t>
      </w:r>
      <w:r w:rsidRPr="002A4D8C" w:rsidR="002A4D8C">
        <w:rPr>
          <w:i/>
          <w:iCs/>
        </w:rPr>
        <w:t>Id</w:t>
      </w:r>
      <w:r w:rsidR="002A4D8C">
        <w:t>.</w:t>
      </w:r>
    </w:p>
  </w:footnote>
  <w:footnote w:id="8">
    <w:p w:rsidR="0065056C" w14:paraId="797591F6" w14:textId="3420D42F">
      <w:pPr>
        <w:pStyle w:val="FootnoteText"/>
      </w:pPr>
      <w:r>
        <w:rPr>
          <w:rStyle w:val="FootnoteReference"/>
        </w:rPr>
        <w:footnoteRef/>
      </w:r>
      <w:r>
        <w:t xml:space="preserve"> </w:t>
      </w:r>
      <w:r w:rsidRPr="002A4D8C" w:rsidR="002A4D8C">
        <w:rPr>
          <w:i/>
          <w:iCs/>
        </w:rPr>
        <w:t>Id</w:t>
      </w:r>
      <w:r w:rsidR="002A4D8C">
        <w:t>.</w:t>
      </w:r>
    </w:p>
  </w:footnote>
  <w:footnote w:id="9">
    <w:p w:rsidR="0065056C" w:rsidP="0065056C" w14:paraId="673A912A" w14:textId="77777777">
      <w:pPr>
        <w:pStyle w:val="FootnoteText"/>
      </w:pPr>
      <w:r>
        <w:rPr>
          <w:rStyle w:val="FootnoteReference"/>
        </w:rPr>
        <w:footnoteRef/>
      </w:r>
      <w:r>
        <w:t xml:space="preserve"> 47 CFR </w:t>
      </w:r>
      <w:r w:rsidRPr="00FD2745">
        <w:t>§</w:t>
      </w:r>
      <w:r>
        <w:t xml:space="preserve"> </w:t>
      </w:r>
      <w:r w:rsidRPr="00B171B6">
        <w:t>90.242(b)(4)(iv)</w:t>
      </w:r>
      <w:r>
        <w:t>.</w:t>
      </w:r>
    </w:p>
  </w:footnote>
  <w:footnote w:id="10">
    <w:p w:rsidR="0025061E" w14:paraId="348A9ACA" w14:textId="25018013">
      <w:pPr>
        <w:pStyle w:val="FootnoteText"/>
      </w:pPr>
      <w:r>
        <w:rPr>
          <w:rStyle w:val="FootnoteReference"/>
        </w:rPr>
        <w:footnoteRef/>
      </w:r>
      <w:r>
        <w:t xml:space="preserve"> FFPD Letter at 1.</w:t>
      </w:r>
    </w:p>
  </w:footnote>
  <w:footnote w:id="11">
    <w:p w:rsidR="00743016" w:rsidRPr="00F0730A" w14:paraId="4580BC15" w14:textId="542859B5">
      <w:pPr>
        <w:pStyle w:val="FootnoteText"/>
      </w:pPr>
      <w:r>
        <w:rPr>
          <w:rStyle w:val="FootnoteReference"/>
        </w:rPr>
        <w:footnoteRef/>
      </w:r>
      <w:r>
        <w:t xml:space="preserve"> </w:t>
      </w:r>
      <w:r w:rsidRPr="002A4D8C" w:rsidR="002A4D8C">
        <w:rPr>
          <w:i/>
          <w:iCs/>
        </w:rPr>
        <w:t>Id</w:t>
      </w:r>
      <w:r w:rsidR="002A4D8C">
        <w:t>.</w:t>
      </w:r>
      <w:r>
        <w:t xml:space="preserve"> at 2.</w:t>
      </w:r>
      <w:r w:rsidR="00F0730A">
        <w:t xml:space="preserve">  FFPD notes that extended power outages eliminate other alerting platforms, such as email and cell phone notifications.  </w:t>
      </w:r>
      <w:r w:rsidR="00F0730A">
        <w:rPr>
          <w:i/>
          <w:iCs/>
        </w:rPr>
        <w:t>Id</w:t>
      </w:r>
      <w:r w:rsidR="00F0730A">
        <w:t>.</w:t>
      </w:r>
    </w:p>
  </w:footnote>
  <w:footnote w:id="12">
    <w:p w:rsidR="00212DD1" w14:paraId="3584D51E" w14:textId="37B28C31">
      <w:pPr>
        <w:pStyle w:val="FootnoteText"/>
      </w:pPr>
      <w:r>
        <w:rPr>
          <w:rStyle w:val="FootnoteReference"/>
        </w:rPr>
        <w:footnoteRef/>
      </w:r>
      <w:r>
        <w:t xml:space="preserve"> </w:t>
      </w:r>
      <w:r w:rsidR="001B1352">
        <w:t>FFPD Letter at 1</w:t>
      </w:r>
      <w:r>
        <w:t>.</w:t>
      </w:r>
    </w:p>
  </w:footnote>
  <w:footnote w:id="13">
    <w:p w:rsidR="00F404F9" w14:paraId="0B7FB483" w14:textId="5B77C960">
      <w:pPr>
        <w:pStyle w:val="FootnoteText"/>
      </w:pPr>
      <w:r>
        <w:rPr>
          <w:rStyle w:val="FootnoteReference"/>
        </w:rPr>
        <w:footnoteRef/>
      </w:r>
      <w:r>
        <w:t xml:space="preserve"> </w:t>
      </w:r>
      <w:r w:rsidR="00D74091">
        <w:t>Waiver Justification at 1</w:t>
      </w:r>
      <w:r w:rsidRPr="00B171B6">
        <w:rPr>
          <w:i/>
          <w:iCs/>
        </w:rPr>
        <w:t>.</w:t>
      </w:r>
    </w:p>
  </w:footnote>
  <w:footnote w:id="14">
    <w:p w:rsidR="007B05DD" w:rsidP="007B05DD" w14:paraId="32397FAC" w14:textId="77777777">
      <w:pPr>
        <w:pStyle w:val="FootnoteText"/>
      </w:pPr>
      <w:r w:rsidRPr="00D16F29">
        <w:rPr>
          <w:rStyle w:val="FootnoteReference"/>
        </w:rPr>
        <w:footnoteRef/>
      </w:r>
      <w:r w:rsidRPr="00D16F29">
        <w:t xml:space="preserve"> 47 CFR § 1.925(b)(3).</w:t>
      </w:r>
    </w:p>
  </w:footnote>
  <w:footnote w:id="15">
    <w:p w:rsidR="007B05DD" w:rsidRPr="00A12717" w:rsidP="007B05DD" w14:paraId="62E3B7A2" w14:textId="77777777">
      <w:pPr>
        <w:pStyle w:val="FootnoteText"/>
      </w:pPr>
      <w:r w:rsidRPr="00A12717">
        <w:rPr>
          <w:rStyle w:val="FootnoteReference"/>
        </w:rPr>
        <w:footnoteRef/>
      </w:r>
      <w:r w:rsidRPr="00A12717">
        <w:t xml:space="preserve"> </w:t>
      </w:r>
      <w:r w:rsidRPr="00A12717">
        <w:rPr>
          <w:i/>
        </w:rPr>
        <w:t>WAIT Radio v. FCC</w:t>
      </w:r>
      <w:r w:rsidRPr="00A12717">
        <w:t>,</w:t>
      </w:r>
      <w:r w:rsidRPr="00A12717">
        <w:rPr>
          <w:i/>
        </w:rPr>
        <w:t xml:space="preserve"> </w:t>
      </w:r>
      <w:r w:rsidRPr="00A12717">
        <w:t>413 F.2d 1153, 1157 (D.C. Cir. 1969) (</w:t>
      </w:r>
      <w:r w:rsidRPr="00A12717">
        <w:rPr>
          <w:i/>
        </w:rPr>
        <w:t>WAIT Radio</w:t>
      </w:r>
      <w:r w:rsidRPr="00A12717">
        <w:t xml:space="preserve">), </w:t>
      </w:r>
      <w:r w:rsidRPr="00A12717">
        <w:rPr>
          <w:i/>
        </w:rPr>
        <w:t>aff’d</w:t>
      </w:r>
      <w:r w:rsidRPr="00A12717">
        <w:t>,</w:t>
      </w:r>
      <w:r w:rsidRPr="00A12717">
        <w:rPr>
          <w:i/>
        </w:rPr>
        <w:t xml:space="preserve"> </w:t>
      </w:r>
      <w:r w:rsidRPr="00A12717">
        <w:t xml:space="preserve">459 F.2d 1203 (1973), </w:t>
      </w:r>
      <w:r w:rsidRPr="00A12717">
        <w:rPr>
          <w:i/>
        </w:rPr>
        <w:t>cert. denied</w:t>
      </w:r>
      <w:r w:rsidRPr="00A12717">
        <w:t>,</w:t>
      </w:r>
      <w:r w:rsidRPr="00A12717">
        <w:rPr>
          <w:i/>
        </w:rPr>
        <w:t xml:space="preserve"> </w:t>
      </w:r>
      <w:r w:rsidRPr="00A12717">
        <w:t>409 U.S. 1027 (1972) (</w:t>
      </w:r>
      <w:r w:rsidRPr="00A12717">
        <w:rPr>
          <w:i/>
        </w:rPr>
        <w:t>citing Rio Grande Family Radio Fellowship, Inc. v. FCC</w:t>
      </w:r>
      <w:r w:rsidRPr="00A12717">
        <w:t>,</w:t>
      </w:r>
      <w:r w:rsidRPr="00A12717">
        <w:rPr>
          <w:i/>
        </w:rPr>
        <w:t xml:space="preserve"> </w:t>
      </w:r>
      <w:r w:rsidRPr="00A12717">
        <w:t xml:space="preserve">406 F.2d 664 (D.C. Cir. 1968)); </w:t>
      </w:r>
      <w:r w:rsidRPr="00BD02E2">
        <w:rPr>
          <w:i/>
        </w:rPr>
        <w:t>Birach</w:t>
      </w:r>
      <w:r w:rsidRPr="00BD02E2">
        <w:rPr>
          <w:i/>
        </w:rPr>
        <w:t xml:space="preserve"> Broad. Corp</w:t>
      </w:r>
      <w:r w:rsidRPr="00A12717">
        <w:t xml:space="preserve">., </w:t>
      </w:r>
      <w:r w:rsidRPr="00BD02E2">
        <w:t>Memorandum Opinion and Order</w:t>
      </w:r>
      <w:r w:rsidRPr="00A12717">
        <w:t>,</w:t>
      </w:r>
      <w:r w:rsidRPr="00A12717">
        <w:rPr>
          <w:i/>
        </w:rPr>
        <w:t xml:space="preserve"> </w:t>
      </w:r>
      <w:r w:rsidRPr="00A12717">
        <w:t xml:space="preserve">18 FCC </w:t>
      </w:r>
      <w:r w:rsidRPr="00A12717">
        <w:t>Rcd</w:t>
      </w:r>
      <w:r w:rsidRPr="00A12717">
        <w:t xml:space="preserve"> 1414, 1415 (2003).</w:t>
      </w:r>
    </w:p>
  </w:footnote>
  <w:footnote w:id="16">
    <w:p w:rsidR="00C73248" w:rsidP="00C73248" w14:paraId="22EC8725" w14:textId="20670504">
      <w:pPr>
        <w:pStyle w:val="FootnoteText"/>
      </w:pPr>
      <w:r>
        <w:rPr>
          <w:rStyle w:val="FootnoteReference"/>
        </w:rPr>
        <w:footnoteRef/>
      </w:r>
      <w:r>
        <w:t xml:space="preserve"> </w:t>
      </w:r>
      <w:r w:rsidR="0089683A">
        <w:t xml:space="preserve">File No. </w:t>
      </w:r>
      <w:r w:rsidRPr="00C827FE" w:rsidR="00C827FE">
        <w:rPr>
          <w:spacing w:val="-2"/>
        </w:rPr>
        <w:t>0009476948</w:t>
      </w:r>
      <w:r w:rsidR="0089683A">
        <w:t>, attached</w:t>
      </w:r>
      <w:r w:rsidRPr="002F1D0A">
        <w:rPr>
          <w:i/>
        </w:rPr>
        <w:t xml:space="preserve"> </w:t>
      </w:r>
      <w:r w:rsidR="00E062A1">
        <w:t xml:space="preserve">Interference Study prepared by </w:t>
      </w:r>
      <w:r>
        <w:t>Doug Vernier</w:t>
      </w:r>
      <w:r w:rsidR="00E062A1">
        <w:t>, Telecommunication Consultants</w:t>
      </w:r>
      <w:r>
        <w:t xml:space="preserve"> </w:t>
      </w:r>
      <w:r w:rsidR="00E062A1">
        <w:t>(dated M</w:t>
      </w:r>
      <w:r w:rsidR="0018582C">
        <w:t>ar</w:t>
      </w:r>
      <w:r w:rsidR="00E062A1">
        <w:t>.</w:t>
      </w:r>
      <w:r w:rsidR="0018582C">
        <w:t xml:space="preserve"> 31, 2021</w:t>
      </w:r>
      <w:r w:rsidR="00E062A1">
        <w:t>)</w:t>
      </w:r>
      <w:r>
        <w:t xml:space="preserve"> demonstrating compliance with 47 CFR </w:t>
      </w:r>
      <w:r w:rsidRPr="00FD2745">
        <w:t>§</w:t>
      </w:r>
      <w:r>
        <w:t xml:space="preserve"> 73.37 governing co-channel</w:t>
      </w:r>
      <w:r w:rsidR="00BC3986">
        <w:t>, first</w:t>
      </w:r>
      <w:r>
        <w:t xml:space="preserve"> adjacent</w:t>
      </w:r>
      <w:r w:rsidR="00BC3986">
        <w:t>, second adjacent, and third adjacent</w:t>
      </w:r>
      <w:r>
        <w:t xml:space="preserve"> channel separation.</w:t>
      </w:r>
    </w:p>
  </w:footnote>
  <w:footnote w:id="17">
    <w:p w:rsidR="003910DB" w:rsidRPr="00645E04" w:rsidP="003910DB" w14:paraId="36DB70A0" w14:textId="124B534B">
      <w:pPr>
        <w:pStyle w:val="FootnoteText"/>
      </w:pPr>
      <w:r>
        <w:rPr>
          <w:rStyle w:val="FootnoteReference"/>
        </w:rPr>
        <w:footnoteRef/>
      </w:r>
      <w:r>
        <w:t xml:space="preserve"> The </w:t>
      </w:r>
      <w:r w:rsidRPr="00645E04">
        <w:t xml:space="preserve">TIS spacing rule in </w:t>
      </w:r>
      <w:r w:rsidR="008124A5">
        <w:t xml:space="preserve">47 CFR </w:t>
      </w:r>
      <w:r w:rsidR="00921E92">
        <w:t>§</w:t>
      </w:r>
      <w:r w:rsidR="008124A5">
        <w:t xml:space="preserve"> 9</w:t>
      </w:r>
      <w:r w:rsidRPr="00645E04">
        <w:t>0.242(a)(2)(</w:t>
      </w:r>
      <w:r w:rsidRPr="00645E04">
        <w:t>i</w:t>
      </w:r>
      <w:r w:rsidRPr="00645E04">
        <w:t xml:space="preserve">) provides that </w:t>
      </w:r>
      <w:r w:rsidRPr="00645E04">
        <w:rPr>
          <w:color w:val="000000"/>
          <w:shd w:val="clear" w:color="auto" w:fill="FFFFFF"/>
        </w:rPr>
        <w:t xml:space="preserve">the transmitting site of the TIS Station </w:t>
      </w:r>
      <w:r>
        <w:rPr>
          <w:color w:val="000000"/>
          <w:shd w:val="clear" w:color="auto" w:fill="FFFFFF"/>
        </w:rPr>
        <w:t xml:space="preserve">must </w:t>
      </w:r>
      <w:r w:rsidRPr="00645E04">
        <w:rPr>
          <w:color w:val="000000"/>
          <w:shd w:val="clear" w:color="auto" w:fill="FFFFFF"/>
        </w:rPr>
        <w:t xml:space="preserve">be located at least 15 km (9.3 miles) measured orthogonally outside the measured 0.5 mV/m daytime contour (0.1 mV/m for Class A stations) of any AM broadcast station operating on a first adjacent channel </w:t>
      </w:r>
      <w:r>
        <w:rPr>
          <w:color w:val="000000"/>
          <w:shd w:val="clear" w:color="auto" w:fill="FFFFFF"/>
        </w:rPr>
        <w:t>and</w:t>
      </w:r>
      <w:r w:rsidRPr="00645E04">
        <w:rPr>
          <w:color w:val="000000"/>
          <w:shd w:val="clear" w:color="auto" w:fill="FFFFFF"/>
        </w:rPr>
        <w:t xml:space="preserve"> at least 130 km (80.6 miles) outside the measured 0.5 mV/m daytime contour (0.1 mV/m for Class A stations) of any AM broadcast station operating on the same channel.  </w:t>
      </w:r>
    </w:p>
  </w:footnote>
  <w:footnote w:id="18">
    <w:p w:rsidR="005C43FA" w:rsidP="005C43FA" w14:paraId="6BDEE979" w14:textId="12D0BA72">
      <w:pPr>
        <w:pStyle w:val="FootnoteText"/>
      </w:pPr>
      <w:r>
        <w:rPr>
          <w:rStyle w:val="FootnoteReference"/>
        </w:rPr>
        <w:footnoteRef/>
      </w:r>
      <w:r>
        <w:t xml:space="preserve"> </w:t>
      </w:r>
      <w:r w:rsidR="008124A5">
        <w:t xml:space="preserve">When FFPD initially applied for its TIS authorization, FFPD demonstrated that its </w:t>
      </w:r>
      <w:r w:rsidRPr="005C43FA">
        <w:t xml:space="preserve">TIS station is outside the 0.5 mV/m contour of the nearest co-channel station operating on </w:t>
      </w:r>
      <w:r w:rsidR="002769E0">
        <w:t>1020</w:t>
      </w:r>
      <w:r w:rsidRPr="005C43FA">
        <w:t xml:space="preserve"> kilohertz (</w:t>
      </w:r>
      <w:r w:rsidR="00855E14">
        <w:t xml:space="preserve">KTNQ, Los Angeles, CA) </w:t>
      </w:r>
      <w:r w:rsidR="006152F8">
        <w:t xml:space="preserve">by </w:t>
      </w:r>
      <w:r w:rsidR="00855E14">
        <w:t>305 miles</w:t>
      </w:r>
      <w:r w:rsidRPr="005C43FA">
        <w:t xml:space="preserve">; outside the 0.5 mV/m contour of the nearest </w:t>
      </w:r>
      <w:r w:rsidR="002769E0">
        <w:t>fir</w:t>
      </w:r>
      <w:r w:rsidRPr="005C43FA">
        <w:t xml:space="preserve">st adjacent station operating on </w:t>
      </w:r>
      <w:r w:rsidRPr="006152F8" w:rsidR="006152F8">
        <w:t xml:space="preserve">1010 </w:t>
      </w:r>
      <w:r w:rsidRPr="006152F8">
        <w:t>kilohertz (</w:t>
      </w:r>
      <w:r w:rsidR="00B1564E">
        <w:t>KIQI</w:t>
      </w:r>
      <w:r w:rsidRPr="006152F8">
        <w:t xml:space="preserve">, </w:t>
      </w:r>
      <w:r w:rsidR="00B1564E">
        <w:t>San Francisco, CA</w:t>
      </w:r>
      <w:r w:rsidRPr="006152F8">
        <w:t xml:space="preserve">) by </w:t>
      </w:r>
      <w:r w:rsidR="00855E14">
        <w:t>65 miles</w:t>
      </w:r>
      <w:r w:rsidRPr="005C43FA">
        <w:t xml:space="preserve">; and outside the 0.5 mV/m contour of the nearest </w:t>
      </w:r>
      <w:r w:rsidR="002769E0">
        <w:t>fir</w:t>
      </w:r>
      <w:r w:rsidRPr="005C43FA">
        <w:t>st adjacent station operating on</w:t>
      </w:r>
      <w:r w:rsidR="00B1564E">
        <w:t xml:space="preserve"> 1030 kHz (KJDJ, San Luis Obispo, CA) by </w:t>
      </w:r>
      <w:r w:rsidR="00855E14">
        <w:t>195 miles</w:t>
      </w:r>
      <w:r w:rsidRPr="005C43FA">
        <w:t>.</w:t>
      </w:r>
      <w:r>
        <w:t xml:space="preserve"> </w:t>
      </w:r>
      <w:r w:rsidRPr="005C43FA">
        <w:t xml:space="preserve"> </w:t>
      </w:r>
      <w:r w:rsidRPr="00BA2E2D">
        <w:rPr>
          <w:i/>
          <w:iCs/>
        </w:rPr>
        <w:t>See</w:t>
      </w:r>
      <w:r>
        <w:t xml:space="preserve"> File No. </w:t>
      </w:r>
      <w:r w:rsidRPr="002769E0" w:rsidR="002769E0">
        <w:t>0009254474</w:t>
      </w:r>
      <w:r>
        <w:t xml:space="preserve">, </w:t>
      </w:r>
      <w:r w:rsidR="002769E0">
        <w:t>Foresthill Fire Protection District</w:t>
      </w:r>
      <w:r>
        <w:t xml:space="preserve"> </w:t>
      </w:r>
      <w:r w:rsidR="002769E0">
        <w:t>(filed Oct. 12, 2020)</w:t>
      </w:r>
      <w:r>
        <w:t>.</w:t>
      </w:r>
      <w:r w:rsidR="00E55C1D">
        <w:t xml:space="preserve">  We find that this analysis is still valid today.</w:t>
      </w:r>
    </w:p>
  </w:footnote>
  <w:footnote w:id="19">
    <w:p w:rsidR="00C73248" w:rsidP="00C73248" w14:paraId="67094A84" w14:textId="5FC43BC3">
      <w:pPr>
        <w:pStyle w:val="FootnoteText"/>
      </w:pPr>
      <w:r>
        <w:rPr>
          <w:rStyle w:val="FootnoteReference"/>
        </w:rPr>
        <w:footnoteRef/>
      </w:r>
      <w:r>
        <w:t xml:space="preserve"> </w:t>
      </w:r>
      <w:r w:rsidRPr="005E49C6">
        <w:rPr>
          <w:i/>
        </w:rPr>
        <w:t>See</w:t>
      </w:r>
      <w:r>
        <w:t xml:space="preserve"> 47 CFR </w:t>
      </w:r>
      <w:r w:rsidRPr="007B05DD">
        <w:t>§</w:t>
      </w:r>
      <w:r>
        <w:t xml:space="preserve"> 1.925</w:t>
      </w:r>
    </w:p>
  </w:footnote>
  <w:footnote w:id="20">
    <w:p w:rsidR="00C73248" w:rsidP="00C73248" w14:paraId="6A7C8D02" w14:textId="77777777">
      <w:pPr>
        <w:pStyle w:val="FootnoteText"/>
      </w:pPr>
      <w:r>
        <w:rPr>
          <w:rStyle w:val="FootnoteReference"/>
        </w:rPr>
        <w:footnoteRef/>
      </w:r>
      <w:r>
        <w:t xml:space="preserve"> Waiver Justification.</w:t>
      </w:r>
    </w:p>
  </w:footnote>
  <w:footnote w:id="21">
    <w:p w:rsidR="00C73248" w:rsidP="00C73248" w14:paraId="473A6483" w14:textId="77777777">
      <w:pPr>
        <w:pStyle w:val="FootnoteText"/>
      </w:pPr>
      <w:r>
        <w:rPr>
          <w:rStyle w:val="FootnoteReference"/>
        </w:rPr>
        <w:footnoteRef/>
      </w:r>
      <w:r>
        <w:rPr>
          <w:rStyle w:val="FootnoteReference"/>
        </w:rPr>
        <w:t xml:space="preserve"> </w:t>
      </w:r>
      <w:r w:rsidRPr="00B171B6">
        <w:rPr>
          <w:i/>
          <w:iCs/>
        </w:rPr>
        <w:t>Id</w:t>
      </w:r>
      <w:r>
        <w:t>.</w:t>
      </w:r>
    </w:p>
  </w:footnote>
  <w:footnote w:id="22">
    <w:p w:rsidR="00C73248" w:rsidRPr="008F0CDB" w:rsidP="00C73248" w14:paraId="262EC6D0" w14:textId="77777777">
      <w:pPr>
        <w:pStyle w:val="FootnoteText"/>
      </w:pPr>
      <w:r>
        <w:rPr>
          <w:rStyle w:val="FootnoteReference"/>
        </w:rPr>
        <w:footnoteRef/>
      </w:r>
      <w:r>
        <w:t xml:space="preserve"> </w:t>
      </w:r>
      <w:r w:rsidRPr="005A7D31">
        <w:rPr>
          <w:i/>
        </w:rPr>
        <w:t>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E6A0139" w14:textId="0CDA52F9">
    <w:pPr>
      <w:pStyle w:val="Header"/>
      <w:rPr>
        <w:b w:val="0"/>
      </w:rPr>
    </w:pPr>
    <w:r>
      <w:tab/>
      <w:t>Federal Communications Commission</w:t>
    </w:r>
    <w:r>
      <w:tab/>
    </w:r>
    <w:r w:rsidR="00B77335">
      <w:t>DA 2</w:t>
    </w:r>
    <w:r w:rsidR="006C2ADB">
      <w:t>1</w:t>
    </w:r>
    <w:r w:rsidR="00B77335">
      <w:t>-XXX</w:t>
    </w:r>
  </w:p>
  <w:p w:rsidR="00D25FB5" w14:paraId="63BDB03C"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3"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7F1EE767"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D88F486" w14:textId="60892FAB">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2"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r>
    <w:r>
      <w:t>Federal Communications Commission</w:t>
    </w:r>
    <w:r>
      <w:tab/>
    </w:r>
    <w:r w:rsidR="00B77335">
      <w:rPr>
        <w:spacing w:val="-2"/>
      </w:rPr>
      <w:t>DA 2</w:t>
    </w:r>
    <w:r w:rsidR="006C2ADB">
      <w:rPr>
        <w:spacing w:val="-2"/>
      </w:rPr>
      <w:t>1</w:t>
    </w:r>
    <w:r w:rsidR="00B77335">
      <w:rPr>
        <w:spacing w:val="-2"/>
      </w:rPr>
      <w:t>-</w:t>
    </w:r>
    <w:r w:rsidR="00151B98">
      <w:rPr>
        <w:spacing w:val="-2"/>
      </w:rPr>
      <w:t>1265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360"/>
        </w:tabs>
        <w:ind w:left="-72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A0054BC"/>
    <w:multiLevelType w:val="hybridMultilevel"/>
    <w:tmpl w:val="D4F426DE"/>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4661092"/>
    <w:multiLevelType w:val="hybridMultilevel"/>
    <w:tmpl w:val="E278A4A2"/>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nsid w:val="61182925"/>
    <w:multiLevelType w:val="singleLevel"/>
    <w:tmpl w:val="4CDACE24"/>
    <w:lvl w:ilvl="0">
      <w:start w:val="1"/>
      <w:numFmt w:val="decimal"/>
      <w:pStyle w:val="ParaNum"/>
      <w:lvlText w:val="%1."/>
      <w:lvlJc w:val="left"/>
      <w:pPr>
        <w:tabs>
          <w:tab w:val="num" w:pos="1620"/>
        </w:tabs>
        <w:ind w:left="540" w:firstLine="720"/>
      </w:pPr>
      <w:rPr>
        <w:b w:val="0"/>
        <w:bCs w:val="0"/>
      </w:rPr>
    </w:lvl>
  </w:abstractNum>
  <w:num w:numId="1">
    <w:abstractNumId w:val="1"/>
  </w:num>
  <w:num w:numId="2">
    <w:abstractNumId w:val="7"/>
  </w:num>
  <w:num w:numId="3">
    <w:abstractNumId w:val="3"/>
  </w:num>
  <w:num w:numId="4">
    <w:abstractNumId w:val="5"/>
  </w:num>
  <w:num w:numId="5">
    <w:abstractNumId w:val="2"/>
  </w:num>
  <w:num w:numId="6">
    <w:abstractNumId w:val="0"/>
  </w:num>
  <w:num w:numId="7">
    <w:abstractNumId w:val="7"/>
    <w:lvlOverride w:ilvl="0">
      <w:startOverride w:val="1"/>
    </w:lvlOverride>
  </w:num>
  <w:num w:numId="8">
    <w:abstractNumId w:val="7"/>
    <w:lvlOverride w:ilvl="0">
      <w:startOverride w:val="1"/>
    </w:lvlOverride>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 w:numId="18">
    <w:abstractNumId w:val="7"/>
  </w:num>
  <w:num w:numId="19">
    <w:abstractNumId w:val="7"/>
    <w:lvlOverride w:ilvl="0">
      <w:startOverride w:val="1"/>
    </w:lvlOverride>
  </w:num>
  <w:num w:numId="20">
    <w:abstractNumId w:val="7"/>
    <w:lvlOverride w:ilvl="0">
      <w:startOverride w:val="1"/>
    </w:lvlOverride>
  </w:num>
  <w:num w:numId="21">
    <w:abstractNumId w:val="7"/>
    <w:lvlOverride w:ilvl="0">
      <w:startOverride w:val="1"/>
    </w:lvlOverride>
  </w:num>
  <w:num w:numId="22">
    <w:abstractNumId w:val="4"/>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15E"/>
    <w:rsid w:val="00022466"/>
    <w:rsid w:val="00036039"/>
    <w:rsid w:val="00037F90"/>
    <w:rsid w:val="000875BF"/>
    <w:rsid w:val="00096D8C"/>
    <w:rsid w:val="000A1211"/>
    <w:rsid w:val="000A380E"/>
    <w:rsid w:val="000B5384"/>
    <w:rsid w:val="000B687A"/>
    <w:rsid w:val="000C0B65"/>
    <w:rsid w:val="000E05FE"/>
    <w:rsid w:val="000E13DE"/>
    <w:rsid w:val="000E3D42"/>
    <w:rsid w:val="000E6030"/>
    <w:rsid w:val="00122BD5"/>
    <w:rsid w:val="00130BF3"/>
    <w:rsid w:val="00133F79"/>
    <w:rsid w:val="00134B89"/>
    <w:rsid w:val="00151B98"/>
    <w:rsid w:val="00163836"/>
    <w:rsid w:val="0018582C"/>
    <w:rsid w:val="00190962"/>
    <w:rsid w:val="00194A66"/>
    <w:rsid w:val="001A2B05"/>
    <w:rsid w:val="001A506A"/>
    <w:rsid w:val="001B1352"/>
    <w:rsid w:val="001C0852"/>
    <w:rsid w:val="001C349E"/>
    <w:rsid w:val="001D08C5"/>
    <w:rsid w:val="001D6BCF"/>
    <w:rsid w:val="001E01CA"/>
    <w:rsid w:val="001F4FFF"/>
    <w:rsid w:val="001F5B6B"/>
    <w:rsid w:val="001F7001"/>
    <w:rsid w:val="00212DD1"/>
    <w:rsid w:val="0022611F"/>
    <w:rsid w:val="00236E33"/>
    <w:rsid w:val="00245A33"/>
    <w:rsid w:val="00245CC7"/>
    <w:rsid w:val="0025061E"/>
    <w:rsid w:val="00273CEC"/>
    <w:rsid w:val="00275CF5"/>
    <w:rsid w:val="002769E0"/>
    <w:rsid w:val="0028301F"/>
    <w:rsid w:val="00285017"/>
    <w:rsid w:val="00291CAE"/>
    <w:rsid w:val="00296CBE"/>
    <w:rsid w:val="002A169C"/>
    <w:rsid w:val="002A2D2E"/>
    <w:rsid w:val="002A4D8C"/>
    <w:rsid w:val="002C00E8"/>
    <w:rsid w:val="002C54EC"/>
    <w:rsid w:val="002F0A18"/>
    <w:rsid w:val="002F1D0A"/>
    <w:rsid w:val="00301FDD"/>
    <w:rsid w:val="00315ACC"/>
    <w:rsid w:val="00322611"/>
    <w:rsid w:val="00343749"/>
    <w:rsid w:val="0034689D"/>
    <w:rsid w:val="003660ED"/>
    <w:rsid w:val="003672C1"/>
    <w:rsid w:val="003910DB"/>
    <w:rsid w:val="00393E01"/>
    <w:rsid w:val="003A0C7D"/>
    <w:rsid w:val="003B0550"/>
    <w:rsid w:val="003B694F"/>
    <w:rsid w:val="003D4432"/>
    <w:rsid w:val="003F171C"/>
    <w:rsid w:val="003F40E9"/>
    <w:rsid w:val="004108A6"/>
    <w:rsid w:val="00412FC5"/>
    <w:rsid w:val="00422276"/>
    <w:rsid w:val="004242F1"/>
    <w:rsid w:val="00445A00"/>
    <w:rsid w:val="00450F20"/>
    <w:rsid w:val="00451B0F"/>
    <w:rsid w:val="00456F81"/>
    <w:rsid w:val="004B1EAB"/>
    <w:rsid w:val="004C2EE3"/>
    <w:rsid w:val="004E1907"/>
    <w:rsid w:val="004E4A22"/>
    <w:rsid w:val="005001F0"/>
    <w:rsid w:val="00511968"/>
    <w:rsid w:val="0055614C"/>
    <w:rsid w:val="005626F2"/>
    <w:rsid w:val="00566D06"/>
    <w:rsid w:val="00570A85"/>
    <w:rsid w:val="005A7D31"/>
    <w:rsid w:val="005B49D2"/>
    <w:rsid w:val="005C43FA"/>
    <w:rsid w:val="005E14C2"/>
    <w:rsid w:val="005E49C6"/>
    <w:rsid w:val="005E7057"/>
    <w:rsid w:val="00607BA5"/>
    <w:rsid w:val="0061180A"/>
    <w:rsid w:val="006152F8"/>
    <w:rsid w:val="00626EB6"/>
    <w:rsid w:val="00645E04"/>
    <w:rsid w:val="0065056C"/>
    <w:rsid w:val="006521A7"/>
    <w:rsid w:val="00655D03"/>
    <w:rsid w:val="00660AE9"/>
    <w:rsid w:val="006623D1"/>
    <w:rsid w:val="00664F36"/>
    <w:rsid w:val="00665B55"/>
    <w:rsid w:val="00683388"/>
    <w:rsid w:val="00683F84"/>
    <w:rsid w:val="006A6A81"/>
    <w:rsid w:val="006B5A64"/>
    <w:rsid w:val="006B719D"/>
    <w:rsid w:val="006C0E92"/>
    <w:rsid w:val="006C2ADB"/>
    <w:rsid w:val="006F6059"/>
    <w:rsid w:val="006F7393"/>
    <w:rsid w:val="0070224F"/>
    <w:rsid w:val="00702C1F"/>
    <w:rsid w:val="00707722"/>
    <w:rsid w:val="007115F7"/>
    <w:rsid w:val="0073715E"/>
    <w:rsid w:val="00743016"/>
    <w:rsid w:val="00754945"/>
    <w:rsid w:val="007608D9"/>
    <w:rsid w:val="007655D5"/>
    <w:rsid w:val="0078137E"/>
    <w:rsid w:val="00785689"/>
    <w:rsid w:val="00786C3B"/>
    <w:rsid w:val="00795057"/>
    <w:rsid w:val="0079754B"/>
    <w:rsid w:val="007A1E6D"/>
    <w:rsid w:val="007B05DD"/>
    <w:rsid w:val="007B0EB2"/>
    <w:rsid w:val="007B739F"/>
    <w:rsid w:val="007C3074"/>
    <w:rsid w:val="00810B6F"/>
    <w:rsid w:val="008124A5"/>
    <w:rsid w:val="00822CE0"/>
    <w:rsid w:val="0083672B"/>
    <w:rsid w:val="00841AB1"/>
    <w:rsid w:val="00855720"/>
    <w:rsid w:val="00855E14"/>
    <w:rsid w:val="008725E9"/>
    <w:rsid w:val="008869A3"/>
    <w:rsid w:val="0089683A"/>
    <w:rsid w:val="008B2F6F"/>
    <w:rsid w:val="008C3E56"/>
    <w:rsid w:val="008C68F1"/>
    <w:rsid w:val="008E3B8F"/>
    <w:rsid w:val="008F0CDB"/>
    <w:rsid w:val="008F3D82"/>
    <w:rsid w:val="00921803"/>
    <w:rsid w:val="00921E92"/>
    <w:rsid w:val="00926503"/>
    <w:rsid w:val="009341D7"/>
    <w:rsid w:val="00941EF0"/>
    <w:rsid w:val="00971A2D"/>
    <w:rsid w:val="009726D8"/>
    <w:rsid w:val="00982AEC"/>
    <w:rsid w:val="00992D31"/>
    <w:rsid w:val="009B3567"/>
    <w:rsid w:val="009B50B4"/>
    <w:rsid w:val="009C2F41"/>
    <w:rsid w:val="009D7308"/>
    <w:rsid w:val="009F25F6"/>
    <w:rsid w:val="009F76DB"/>
    <w:rsid w:val="00A12717"/>
    <w:rsid w:val="00A32C3B"/>
    <w:rsid w:val="00A45F4F"/>
    <w:rsid w:val="00A600A9"/>
    <w:rsid w:val="00A602BE"/>
    <w:rsid w:val="00A8128F"/>
    <w:rsid w:val="00AA55B7"/>
    <w:rsid w:val="00AA5B9E"/>
    <w:rsid w:val="00AA6559"/>
    <w:rsid w:val="00AB2407"/>
    <w:rsid w:val="00AB53DF"/>
    <w:rsid w:val="00AB55CB"/>
    <w:rsid w:val="00AC0D18"/>
    <w:rsid w:val="00AE399C"/>
    <w:rsid w:val="00AE3F71"/>
    <w:rsid w:val="00AE4B45"/>
    <w:rsid w:val="00AF4981"/>
    <w:rsid w:val="00AF4CF3"/>
    <w:rsid w:val="00B07E5C"/>
    <w:rsid w:val="00B1564E"/>
    <w:rsid w:val="00B171B6"/>
    <w:rsid w:val="00B217EE"/>
    <w:rsid w:val="00B22AEF"/>
    <w:rsid w:val="00B267A5"/>
    <w:rsid w:val="00B405DE"/>
    <w:rsid w:val="00B77335"/>
    <w:rsid w:val="00B811F7"/>
    <w:rsid w:val="00B93961"/>
    <w:rsid w:val="00BA2E2D"/>
    <w:rsid w:val="00BA5DC6"/>
    <w:rsid w:val="00BA6196"/>
    <w:rsid w:val="00BB1BFC"/>
    <w:rsid w:val="00BB2AEA"/>
    <w:rsid w:val="00BC3986"/>
    <w:rsid w:val="00BC6D8C"/>
    <w:rsid w:val="00BD02E2"/>
    <w:rsid w:val="00C0403D"/>
    <w:rsid w:val="00C13436"/>
    <w:rsid w:val="00C21AFE"/>
    <w:rsid w:val="00C34006"/>
    <w:rsid w:val="00C36B4C"/>
    <w:rsid w:val="00C426B1"/>
    <w:rsid w:val="00C66160"/>
    <w:rsid w:val="00C721AC"/>
    <w:rsid w:val="00C73248"/>
    <w:rsid w:val="00C827FE"/>
    <w:rsid w:val="00C90D6A"/>
    <w:rsid w:val="00CA247E"/>
    <w:rsid w:val="00CA6D21"/>
    <w:rsid w:val="00CB1899"/>
    <w:rsid w:val="00CC72B6"/>
    <w:rsid w:val="00D006AF"/>
    <w:rsid w:val="00D0218D"/>
    <w:rsid w:val="00D16F29"/>
    <w:rsid w:val="00D25FB5"/>
    <w:rsid w:val="00D44223"/>
    <w:rsid w:val="00D4746F"/>
    <w:rsid w:val="00D54E4A"/>
    <w:rsid w:val="00D600D2"/>
    <w:rsid w:val="00D613CF"/>
    <w:rsid w:val="00D74091"/>
    <w:rsid w:val="00D87630"/>
    <w:rsid w:val="00DA2529"/>
    <w:rsid w:val="00DB130A"/>
    <w:rsid w:val="00DB2EBB"/>
    <w:rsid w:val="00DC10A1"/>
    <w:rsid w:val="00DC655F"/>
    <w:rsid w:val="00DD0B59"/>
    <w:rsid w:val="00DD7EBD"/>
    <w:rsid w:val="00DF43F6"/>
    <w:rsid w:val="00DF62B6"/>
    <w:rsid w:val="00E062A1"/>
    <w:rsid w:val="00E07225"/>
    <w:rsid w:val="00E23911"/>
    <w:rsid w:val="00E35BEA"/>
    <w:rsid w:val="00E42F12"/>
    <w:rsid w:val="00E5409F"/>
    <w:rsid w:val="00E55C1D"/>
    <w:rsid w:val="00E6562C"/>
    <w:rsid w:val="00E6583C"/>
    <w:rsid w:val="00E7063F"/>
    <w:rsid w:val="00E869ED"/>
    <w:rsid w:val="00E873D1"/>
    <w:rsid w:val="00EE6488"/>
    <w:rsid w:val="00EF79DE"/>
    <w:rsid w:val="00F00DB4"/>
    <w:rsid w:val="00F021FA"/>
    <w:rsid w:val="00F0730A"/>
    <w:rsid w:val="00F404F9"/>
    <w:rsid w:val="00F47FC0"/>
    <w:rsid w:val="00F62E97"/>
    <w:rsid w:val="00F64209"/>
    <w:rsid w:val="00F93BF5"/>
    <w:rsid w:val="00FA2D1F"/>
    <w:rsid w:val="00FB15C2"/>
    <w:rsid w:val="00FD2745"/>
    <w:rsid w:val="00FF551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4210498"/>
  <w15:chartTrackingRefBased/>
  <w15:docId w15:val="{7E3D2C66-CAA9-490A-B397-F47A87F47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FB15C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 Char,Footnote Text Char1 Char,Footnote Text Char1 Char Char,Footnote Text Char1 Char1 Char Char Char Char,Footnote Text Char2,Footnote Text Char2 Char,Footnote Text Char2 Char Char Char Char"/>
    <w:link w:val="FootnoteTextChar1"/>
    <w:rsid w:val="000E3D42"/>
    <w:pPr>
      <w:spacing w:after="120"/>
    </w:pPr>
  </w:style>
  <w:style w:type="character" w:styleId="FootnoteReference">
    <w:name w:val="footnote reference"/>
    <w:aliases w:val="(NECG) Footnote Reference,Appel note de bas de p,Style 12,Style 124,Style 3,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1">
    <w:name w:val="Footnote Text Char1"/>
    <w:aliases w:val="Footnote Text Char Char,Footnote Text Char Char Char Char Char,Footnote Text Char1 Char Char Char,Footnote Text Char1 Char1 Char Char Char Char Char,Footnote Text Char2 Char Char,Footnote Text Char2 Char Char Char Char Char"/>
    <w:link w:val="FootnoteText"/>
    <w:rsid w:val="0073715E"/>
  </w:style>
  <w:style w:type="paragraph" w:styleId="ListParagraph">
    <w:name w:val="List Paragraph"/>
    <w:basedOn w:val="Normal"/>
    <w:uiPriority w:val="34"/>
    <w:qFormat/>
    <w:rsid w:val="00E869ED"/>
    <w:pPr>
      <w:ind w:left="720"/>
      <w:contextualSpacing/>
    </w:pPr>
  </w:style>
  <w:style w:type="character" w:styleId="CommentReference">
    <w:name w:val="annotation reference"/>
    <w:basedOn w:val="DefaultParagraphFont"/>
    <w:rsid w:val="00212DD1"/>
    <w:rPr>
      <w:sz w:val="16"/>
      <w:szCs w:val="16"/>
    </w:rPr>
  </w:style>
  <w:style w:type="paragraph" w:styleId="CommentText">
    <w:name w:val="annotation text"/>
    <w:basedOn w:val="Normal"/>
    <w:link w:val="CommentTextChar"/>
    <w:rsid w:val="00212DD1"/>
    <w:rPr>
      <w:sz w:val="20"/>
    </w:rPr>
  </w:style>
  <w:style w:type="character" w:customStyle="1" w:styleId="CommentTextChar">
    <w:name w:val="Comment Text Char"/>
    <w:basedOn w:val="DefaultParagraphFont"/>
    <w:link w:val="CommentText"/>
    <w:rsid w:val="00212DD1"/>
    <w:rPr>
      <w:snapToGrid w:val="0"/>
      <w:kern w:val="28"/>
    </w:rPr>
  </w:style>
  <w:style w:type="paragraph" w:styleId="CommentSubject">
    <w:name w:val="annotation subject"/>
    <w:basedOn w:val="CommentText"/>
    <w:next w:val="CommentText"/>
    <w:link w:val="CommentSubjectChar"/>
    <w:rsid w:val="00212DD1"/>
    <w:rPr>
      <w:b/>
      <w:bCs/>
    </w:rPr>
  </w:style>
  <w:style w:type="character" w:customStyle="1" w:styleId="CommentSubjectChar">
    <w:name w:val="Comment Subject Char"/>
    <w:basedOn w:val="CommentTextChar"/>
    <w:link w:val="CommentSubject"/>
    <w:rsid w:val="00212DD1"/>
    <w:rPr>
      <w:b/>
      <w:bCs/>
      <w:snapToGrid w:val="0"/>
      <w:kern w:val="28"/>
    </w:rPr>
  </w:style>
  <w:style w:type="paragraph" w:styleId="BalloonText">
    <w:name w:val="Balloon Text"/>
    <w:basedOn w:val="Normal"/>
    <w:link w:val="BalloonTextChar"/>
    <w:semiHidden/>
    <w:unhideWhenUsed/>
    <w:rsid w:val="00212DD1"/>
    <w:rPr>
      <w:rFonts w:ascii="Segoe UI" w:hAnsi="Segoe UI" w:cs="Segoe UI"/>
      <w:sz w:val="18"/>
      <w:szCs w:val="18"/>
    </w:rPr>
  </w:style>
  <w:style w:type="character" w:customStyle="1" w:styleId="BalloonTextChar">
    <w:name w:val="Balloon Text Char"/>
    <w:basedOn w:val="DefaultParagraphFont"/>
    <w:link w:val="BalloonText"/>
    <w:semiHidden/>
    <w:rsid w:val="00212DD1"/>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