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9E7D4A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DD67F63" w14:textId="77777777">
      <w:pPr>
        <w:pStyle w:val="StyleBoldCentered"/>
      </w:pPr>
      <w:r>
        <w:t>F</w:t>
      </w:r>
      <w:r>
        <w:rPr>
          <w:caps w:val="0"/>
        </w:rPr>
        <w:t>ederal Communications Commission</w:t>
      </w:r>
    </w:p>
    <w:p w:rsidR="004C2EE3" w:rsidP="00096D8C" w14:paraId="48E1B595" w14:textId="77777777">
      <w:pPr>
        <w:pStyle w:val="StyleBoldCentered"/>
      </w:pPr>
      <w:r>
        <w:rPr>
          <w:caps w:val="0"/>
        </w:rPr>
        <w:t>Washington, D.C. 20554</w:t>
      </w:r>
    </w:p>
    <w:p w:rsidR="004C2EE3" w:rsidP="0070224F" w14:paraId="15FFECF3" w14:textId="77777777"/>
    <w:p w:rsidR="004C2EE3" w:rsidP="0070224F" w14:paraId="1631D543" w14:textId="77777777"/>
    <w:tbl>
      <w:tblPr>
        <w:tblW w:w="0" w:type="auto"/>
        <w:tblLayout w:type="fixed"/>
        <w:tblLook w:val="0000"/>
      </w:tblPr>
      <w:tblGrid>
        <w:gridCol w:w="4698"/>
        <w:gridCol w:w="630"/>
        <w:gridCol w:w="4248"/>
      </w:tblGrid>
      <w:tr w14:paraId="21AACF94" w14:textId="77777777">
        <w:tblPrEx>
          <w:tblW w:w="0" w:type="auto"/>
          <w:tblLayout w:type="fixed"/>
          <w:tblLook w:val="0000"/>
        </w:tblPrEx>
        <w:tc>
          <w:tcPr>
            <w:tcW w:w="4698" w:type="dxa"/>
          </w:tcPr>
          <w:p w:rsidR="004C2EE3" w14:paraId="10CF1A8C" w14:textId="77777777">
            <w:pPr>
              <w:tabs>
                <w:tab w:val="center" w:pos="4680"/>
              </w:tabs>
              <w:suppressAutoHyphens/>
              <w:rPr>
                <w:spacing w:val="-2"/>
              </w:rPr>
            </w:pPr>
            <w:r>
              <w:rPr>
                <w:spacing w:val="-2"/>
              </w:rPr>
              <w:t>In the Matter of</w:t>
            </w:r>
          </w:p>
          <w:p w:rsidR="004C2EE3" w14:paraId="743A30F7" w14:textId="77777777">
            <w:pPr>
              <w:tabs>
                <w:tab w:val="center" w:pos="4680"/>
              </w:tabs>
              <w:suppressAutoHyphens/>
              <w:rPr>
                <w:spacing w:val="-2"/>
              </w:rPr>
            </w:pPr>
          </w:p>
          <w:p w:rsidR="004C2EE3" w:rsidP="007115F7" w14:paraId="3368BD71" w14:textId="2927F19B">
            <w:pPr>
              <w:tabs>
                <w:tab w:val="center" w:pos="4680"/>
              </w:tabs>
              <w:suppressAutoHyphens/>
              <w:rPr>
                <w:spacing w:val="-2"/>
              </w:rPr>
            </w:pPr>
            <w:r>
              <w:rPr>
                <w:spacing w:val="-2"/>
              </w:rPr>
              <w:t xml:space="preserve">State of Michigan, </w:t>
            </w:r>
            <w:r w:rsidRPr="00946766" w:rsidR="00946766">
              <w:rPr>
                <w:spacing w:val="-2"/>
              </w:rPr>
              <w:t>Department of Technology, Management and Budget</w:t>
            </w:r>
          </w:p>
          <w:p w:rsidR="00946766" w:rsidP="007115F7" w14:paraId="15AF5B68" w14:textId="77777777">
            <w:pPr>
              <w:tabs>
                <w:tab w:val="center" w:pos="4680"/>
              </w:tabs>
              <w:suppressAutoHyphens/>
              <w:rPr>
                <w:spacing w:val="-2"/>
              </w:rPr>
            </w:pPr>
          </w:p>
          <w:p w:rsidR="00946766" w:rsidRPr="00946766" w:rsidP="007115F7" w14:paraId="77757833" w14:textId="2A8186CB">
            <w:pPr>
              <w:tabs>
                <w:tab w:val="center" w:pos="4680"/>
              </w:tabs>
              <w:suppressAutoHyphens/>
              <w:rPr>
                <w:spacing w:val="-2"/>
              </w:rPr>
            </w:pPr>
            <w:r w:rsidRPr="00946766">
              <w:rPr>
                <w:spacing w:val="-2"/>
              </w:rPr>
              <w:t>Request for Waiver of Section 90.179</w:t>
            </w:r>
            <w:r w:rsidR="00B93B47">
              <w:rPr>
                <w:spacing w:val="-2"/>
              </w:rPr>
              <w:t>(a)</w:t>
            </w:r>
            <w:r w:rsidRPr="00946766">
              <w:rPr>
                <w:spacing w:val="-2"/>
              </w:rPr>
              <w:t xml:space="preserve"> of the Commission's Rules</w:t>
            </w:r>
          </w:p>
        </w:tc>
        <w:tc>
          <w:tcPr>
            <w:tcW w:w="630" w:type="dxa"/>
          </w:tcPr>
          <w:p w:rsidR="004C2EE3" w14:paraId="7091421F" w14:textId="77777777">
            <w:pPr>
              <w:tabs>
                <w:tab w:val="center" w:pos="4680"/>
              </w:tabs>
              <w:suppressAutoHyphens/>
              <w:rPr>
                <w:b/>
                <w:spacing w:val="-2"/>
              </w:rPr>
            </w:pPr>
            <w:r>
              <w:rPr>
                <w:b/>
                <w:spacing w:val="-2"/>
              </w:rPr>
              <w:t>)</w:t>
            </w:r>
          </w:p>
          <w:p w:rsidR="004C2EE3" w14:paraId="0FA29A5F" w14:textId="77777777">
            <w:pPr>
              <w:tabs>
                <w:tab w:val="center" w:pos="4680"/>
              </w:tabs>
              <w:suppressAutoHyphens/>
              <w:rPr>
                <w:b/>
                <w:spacing w:val="-2"/>
              </w:rPr>
            </w:pPr>
            <w:r>
              <w:rPr>
                <w:b/>
                <w:spacing w:val="-2"/>
              </w:rPr>
              <w:t>)</w:t>
            </w:r>
          </w:p>
          <w:p w:rsidR="004C2EE3" w14:paraId="6C08F2C5" w14:textId="77777777">
            <w:pPr>
              <w:tabs>
                <w:tab w:val="center" w:pos="4680"/>
              </w:tabs>
              <w:suppressAutoHyphens/>
              <w:rPr>
                <w:b/>
                <w:spacing w:val="-2"/>
              </w:rPr>
            </w:pPr>
            <w:r>
              <w:rPr>
                <w:b/>
                <w:spacing w:val="-2"/>
              </w:rPr>
              <w:t>)</w:t>
            </w:r>
          </w:p>
          <w:p w:rsidR="004C2EE3" w14:paraId="2E565B9D" w14:textId="77777777">
            <w:pPr>
              <w:tabs>
                <w:tab w:val="center" w:pos="4680"/>
              </w:tabs>
              <w:suppressAutoHyphens/>
              <w:rPr>
                <w:b/>
                <w:spacing w:val="-2"/>
              </w:rPr>
            </w:pPr>
            <w:r>
              <w:rPr>
                <w:b/>
                <w:spacing w:val="-2"/>
              </w:rPr>
              <w:t>)</w:t>
            </w:r>
          </w:p>
          <w:p w:rsidR="004C2EE3" w14:paraId="42056D2D" w14:textId="77777777">
            <w:pPr>
              <w:tabs>
                <w:tab w:val="center" w:pos="4680"/>
              </w:tabs>
              <w:suppressAutoHyphens/>
              <w:rPr>
                <w:b/>
                <w:spacing w:val="-2"/>
              </w:rPr>
            </w:pPr>
            <w:r>
              <w:rPr>
                <w:b/>
                <w:spacing w:val="-2"/>
              </w:rPr>
              <w:t>)</w:t>
            </w:r>
          </w:p>
          <w:p w:rsidR="004C2EE3" w14:paraId="653A3AB3" w14:textId="77777777">
            <w:pPr>
              <w:tabs>
                <w:tab w:val="center" w:pos="4680"/>
              </w:tabs>
              <w:suppressAutoHyphens/>
              <w:rPr>
                <w:b/>
                <w:spacing w:val="-2"/>
              </w:rPr>
            </w:pPr>
            <w:r>
              <w:rPr>
                <w:b/>
                <w:spacing w:val="-2"/>
              </w:rPr>
              <w:t>)</w:t>
            </w:r>
          </w:p>
          <w:p w:rsidR="004C2EE3" w:rsidRPr="00946766" w14:paraId="34297B4A" w14:textId="714ED466">
            <w:pPr>
              <w:tabs>
                <w:tab w:val="center" w:pos="4680"/>
              </w:tabs>
              <w:suppressAutoHyphens/>
              <w:rPr>
                <w:b/>
                <w:spacing w:val="-2"/>
              </w:rPr>
            </w:pPr>
            <w:r>
              <w:rPr>
                <w:b/>
                <w:spacing w:val="-2"/>
              </w:rPr>
              <w:t>)</w:t>
            </w:r>
          </w:p>
        </w:tc>
        <w:tc>
          <w:tcPr>
            <w:tcW w:w="4248" w:type="dxa"/>
          </w:tcPr>
          <w:p w:rsidR="004C2EE3" w14:paraId="33B4298D" w14:textId="5C7D24E9">
            <w:pPr>
              <w:tabs>
                <w:tab w:val="center" w:pos="4680"/>
              </w:tabs>
              <w:suppressAutoHyphens/>
              <w:rPr>
                <w:spacing w:val="-2"/>
              </w:rPr>
            </w:pPr>
          </w:p>
        </w:tc>
      </w:tr>
    </w:tbl>
    <w:p w:rsidR="004C2EE3" w:rsidP="0070224F" w14:paraId="30EA33F0" w14:textId="77777777"/>
    <w:p w:rsidR="00841AB1" w:rsidP="00F021FA" w14:paraId="23D7497E" w14:textId="096C4426">
      <w:pPr>
        <w:pStyle w:val="StyleBoldCentered"/>
      </w:pPr>
      <w:r>
        <w:t>ORDER</w:t>
      </w:r>
    </w:p>
    <w:p w:rsidR="004C2EE3" w14:paraId="152B2F4F" w14:textId="77777777">
      <w:pPr>
        <w:tabs>
          <w:tab w:val="left" w:pos="-720"/>
        </w:tabs>
        <w:suppressAutoHyphens/>
        <w:spacing w:line="227" w:lineRule="auto"/>
        <w:rPr>
          <w:spacing w:val="-2"/>
        </w:rPr>
      </w:pPr>
    </w:p>
    <w:p w:rsidR="004C2EE3" w:rsidP="00133F79" w14:paraId="34C29695" w14:textId="4F0D885A">
      <w:pPr>
        <w:tabs>
          <w:tab w:val="left" w:pos="720"/>
          <w:tab w:val="right" w:pos="9360"/>
        </w:tabs>
        <w:suppressAutoHyphens/>
        <w:spacing w:line="227" w:lineRule="auto"/>
        <w:rPr>
          <w:spacing w:val="-2"/>
        </w:rPr>
      </w:pPr>
      <w:r>
        <w:rPr>
          <w:b/>
          <w:spacing w:val="-2"/>
        </w:rPr>
        <w:t xml:space="preserve">Adopted:  </w:t>
      </w:r>
      <w:r w:rsidR="00A623F0">
        <w:rPr>
          <w:b/>
          <w:spacing w:val="-2"/>
        </w:rPr>
        <w:t>October 12,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623F0">
        <w:rPr>
          <w:b/>
          <w:spacing w:val="-2"/>
        </w:rPr>
        <w:t>October 12, 2021</w:t>
      </w:r>
    </w:p>
    <w:p w:rsidR="00822CE0" w14:paraId="2817A467" w14:textId="77777777"/>
    <w:p w:rsidR="004C2EE3" w14:paraId="2E0AC7D4" w14:textId="22DB2D33">
      <w:pPr>
        <w:rPr>
          <w:spacing w:val="-2"/>
        </w:rPr>
      </w:pPr>
      <w:r>
        <w:t xml:space="preserve">By </w:t>
      </w:r>
      <w:r w:rsidR="004E4A22">
        <w:t>the</w:t>
      </w:r>
      <w:r w:rsidR="002A2D2E">
        <w:t xml:space="preserve"> </w:t>
      </w:r>
      <w:r w:rsidR="00946766">
        <w:rPr>
          <w:spacing w:val="-2"/>
        </w:rPr>
        <w:t>Chief, Policy and Licensing Division, Public Safety and Homeland Security Bureau</w:t>
      </w:r>
      <w:r>
        <w:rPr>
          <w:spacing w:val="-2"/>
        </w:rPr>
        <w:t>:</w:t>
      </w:r>
    </w:p>
    <w:p w:rsidR="00822CE0" w14:paraId="6EA0E3A2" w14:textId="77777777">
      <w:pPr>
        <w:rPr>
          <w:spacing w:val="-2"/>
        </w:rPr>
      </w:pPr>
    </w:p>
    <w:p w:rsidR="00946766" w:rsidRPr="00946766" w:rsidP="00946766" w14:paraId="0F690C6D" w14:textId="28407662">
      <w:pPr>
        <w:widowControl/>
        <w:spacing w:after="160" w:line="259" w:lineRule="auto"/>
        <w:rPr>
          <w:rFonts w:eastAsia="Calibri"/>
          <w:snapToGrid/>
          <w:kern w:val="0"/>
          <w:szCs w:val="22"/>
        </w:rPr>
      </w:pPr>
      <w:r w:rsidRPr="00946766">
        <w:rPr>
          <w:rFonts w:eastAsia="Calibri"/>
          <w:b/>
          <w:bCs/>
          <w:snapToGrid/>
          <w:kern w:val="0"/>
          <w:szCs w:val="22"/>
        </w:rPr>
        <w:t xml:space="preserve">I. </w:t>
      </w:r>
      <w:r w:rsidR="00A840C3">
        <w:rPr>
          <w:rFonts w:eastAsia="Calibri"/>
          <w:b/>
          <w:bCs/>
          <w:snapToGrid/>
          <w:kern w:val="0"/>
          <w:szCs w:val="22"/>
        </w:rPr>
        <w:tab/>
      </w:r>
      <w:r w:rsidRPr="00946766">
        <w:rPr>
          <w:rFonts w:eastAsia="Calibri"/>
          <w:b/>
          <w:bCs/>
          <w:snapToGrid/>
          <w:kern w:val="0"/>
          <w:szCs w:val="22"/>
        </w:rPr>
        <w:t>INTRODUCTION</w:t>
      </w:r>
      <w:r w:rsidRPr="00946766">
        <w:rPr>
          <w:rFonts w:eastAsia="Calibri"/>
          <w:snapToGrid/>
          <w:kern w:val="0"/>
          <w:szCs w:val="22"/>
        </w:rPr>
        <w:t>.</w:t>
      </w:r>
    </w:p>
    <w:p w:rsidR="00946766" w:rsidRPr="00946766" w:rsidP="00946766" w14:paraId="615943C7" w14:textId="21D54001">
      <w:pPr>
        <w:pStyle w:val="ParaNum"/>
        <w:rPr>
          <w:rFonts w:eastAsia="Calibri"/>
          <w:snapToGrid/>
        </w:rPr>
      </w:pPr>
      <w:r w:rsidRPr="00946766">
        <w:rPr>
          <w:rFonts w:eastAsia="Calibri"/>
          <w:snapToGrid/>
        </w:rPr>
        <w:t xml:space="preserve"> The State of Michigan Department of Telecommunications Management and Budget (Michigan) requests a waiver</w:t>
      </w:r>
      <w:r>
        <w:rPr>
          <w:rStyle w:val="FootnoteReference"/>
          <w:rFonts w:eastAsia="Calibri"/>
          <w:snapToGrid/>
        </w:rPr>
        <w:footnoteReference w:id="3"/>
      </w:r>
      <w:r w:rsidRPr="00946766">
        <w:rPr>
          <w:rFonts w:eastAsia="Calibri"/>
          <w:snapToGrid/>
        </w:rPr>
        <w:t xml:space="preserve"> of Section 90.179(a) of the Commission's rules</w:t>
      </w:r>
      <w:r>
        <w:rPr>
          <w:rStyle w:val="FootnoteReference"/>
          <w:rFonts w:eastAsia="Calibri"/>
          <w:snapToGrid/>
        </w:rPr>
        <w:footnoteReference w:id="4"/>
      </w:r>
      <w:r w:rsidRPr="00946766">
        <w:rPr>
          <w:rFonts w:eastAsia="Calibri"/>
          <w:snapToGrid/>
        </w:rPr>
        <w:t> to share use of the 800 MHz Michigan Public Safety Communications System (MPSCS) with critical infrastructure (CI) provider</w:t>
      </w:r>
      <w:r>
        <w:rPr>
          <w:rFonts w:eastAsia="Calibri"/>
          <w:snapToGrid/>
        </w:rPr>
        <w:t xml:space="preserve"> </w:t>
      </w:r>
      <w:r w:rsidRPr="00946766">
        <w:rPr>
          <w:rFonts w:eastAsia="Calibri"/>
          <w:snapToGrid/>
        </w:rPr>
        <w:t>Consumer’s Energy</w:t>
      </w:r>
      <w:r>
        <w:rPr>
          <w:rFonts w:eastAsia="Calibri"/>
          <w:snapToGrid/>
        </w:rPr>
        <w:t xml:space="preserve">, </w:t>
      </w:r>
      <w:r w:rsidRPr="00946766">
        <w:rPr>
          <w:rFonts w:eastAsia="Calibri"/>
          <w:snapToGrid/>
        </w:rPr>
        <w:t>an electric and gas utility provider that has a customer footprint across the lower peninsula of Michigan.</w:t>
      </w:r>
      <w:r>
        <w:rPr>
          <w:rStyle w:val="FootnoteReference"/>
          <w:rFonts w:eastAsia="Calibri"/>
          <w:snapToGrid/>
        </w:rPr>
        <w:footnoteReference w:id="5"/>
      </w:r>
      <w:r w:rsidRPr="00946766">
        <w:rPr>
          <w:rFonts w:eastAsia="Calibri"/>
          <w:snapToGrid/>
        </w:rPr>
        <w:t> </w:t>
      </w:r>
      <w:r w:rsidR="00245BC9">
        <w:rPr>
          <w:rFonts w:eastAsia="Calibri"/>
          <w:snapToGrid/>
        </w:rPr>
        <w:t xml:space="preserve"> </w:t>
      </w:r>
      <w:r w:rsidR="00FA6849">
        <w:rPr>
          <w:rFonts w:eastAsia="Calibri"/>
          <w:snapToGrid/>
        </w:rPr>
        <w:t>As discussed below, w</w:t>
      </w:r>
      <w:r w:rsidRPr="00946766">
        <w:rPr>
          <w:rFonts w:eastAsia="Calibri"/>
          <w:snapToGrid/>
        </w:rPr>
        <w:t>e grant Michigan's request. </w:t>
      </w:r>
    </w:p>
    <w:p w:rsidR="00946766" w:rsidRPr="00946766" w:rsidP="00A840C3" w14:paraId="22EEB248" w14:textId="6B1F01ED">
      <w:pPr>
        <w:pStyle w:val="Heading1"/>
        <w:numPr>
          <w:ilvl w:val="0"/>
          <w:numId w:val="0"/>
        </w:numPr>
        <w:rPr>
          <w:rFonts w:eastAsia="Calibri"/>
          <w:snapToGrid/>
        </w:rPr>
      </w:pPr>
      <w:r w:rsidRPr="00946766">
        <w:rPr>
          <w:rFonts w:eastAsia="Calibri"/>
          <w:snapToGrid/>
        </w:rPr>
        <w:t>II</w:t>
      </w:r>
      <w:r w:rsidR="00A840C3">
        <w:rPr>
          <w:rFonts w:eastAsia="Calibri"/>
          <w:snapToGrid/>
        </w:rPr>
        <w:t>.</w:t>
      </w:r>
      <w:r w:rsidR="00A840C3">
        <w:rPr>
          <w:rFonts w:eastAsia="Calibri"/>
          <w:snapToGrid/>
        </w:rPr>
        <w:tab/>
      </w:r>
      <w:r w:rsidRPr="00946766">
        <w:rPr>
          <w:rFonts w:ascii="Times New Roman" w:eastAsia="Calibri" w:hAnsi="Times New Roman"/>
          <w:snapToGrid/>
        </w:rPr>
        <w:t>BACKGROUND</w:t>
      </w:r>
      <w:r w:rsidRPr="00946766">
        <w:rPr>
          <w:rFonts w:eastAsia="Calibri"/>
          <w:snapToGrid/>
        </w:rPr>
        <w:t>.</w:t>
      </w:r>
    </w:p>
    <w:p w:rsidR="0030724F" w:rsidRPr="001D584B" w:rsidP="0034394B" w14:paraId="3CFB6A91" w14:textId="49B5A0A7">
      <w:pPr>
        <w:pStyle w:val="ParaNum"/>
        <w:widowControl/>
        <w:spacing w:after="160" w:line="259" w:lineRule="auto"/>
        <w:rPr>
          <w:rFonts w:eastAsia="Calibri"/>
          <w:snapToGrid/>
        </w:rPr>
      </w:pPr>
      <w:r w:rsidRPr="00FA6849">
        <w:rPr>
          <w:rFonts w:eastAsia="Calibri"/>
          <w:snapToGrid/>
        </w:rPr>
        <w:t>Section 90.179 of the Commission's rules authorizes 800 MHz licensees such as Michigan to enter into non-profit, cost sharing agreements with other entities; however, entities entering into such agreements must themselves be eligible to be licensed for public safety frequencies.</w:t>
      </w:r>
      <w:r>
        <w:rPr>
          <w:rStyle w:val="FootnoteReference"/>
          <w:rFonts w:eastAsia="Calibri"/>
          <w:snapToGrid/>
        </w:rPr>
        <w:footnoteReference w:id="6"/>
      </w:r>
      <w:r w:rsidRPr="00FA6849" w:rsidR="00F34E0B">
        <w:rPr>
          <w:rFonts w:eastAsia="Calibri"/>
          <w:snapToGrid/>
        </w:rPr>
        <w:t xml:space="preserve"> </w:t>
      </w:r>
      <w:r w:rsidRPr="00FA6849">
        <w:rPr>
          <w:rFonts w:eastAsia="Calibri"/>
          <w:snapToGrid/>
        </w:rPr>
        <w:t> Because Consumer’s Energy is not eligible for licensing on public safety spectrum, a waiver of Section 90.179(a) is required.</w:t>
      </w:r>
      <w:r w:rsidR="00FA6849">
        <w:rPr>
          <w:rFonts w:eastAsia="Calibri"/>
          <w:snapToGrid/>
        </w:rPr>
        <w:t xml:space="preserve">  </w:t>
      </w:r>
      <w:r w:rsidR="00D54FBD">
        <w:rPr>
          <w:rFonts w:eastAsia="Calibri"/>
          <w:snapToGrid/>
        </w:rPr>
        <w:t xml:space="preserve">We have </w:t>
      </w:r>
      <w:r w:rsidRPr="00FA6849">
        <w:rPr>
          <w:rFonts w:eastAsia="Calibri"/>
          <w:snapToGrid/>
        </w:rPr>
        <w:t xml:space="preserve">previously granted Michigan </w:t>
      </w:r>
      <w:r w:rsidR="00164752">
        <w:rPr>
          <w:rFonts w:eastAsia="Calibri"/>
          <w:snapToGrid/>
        </w:rPr>
        <w:t xml:space="preserve">several </w:t>
      </w:r>
      <w:r w:rsidRPr="00FA6849">
        <w:rPr>
          <w:rFonts w:eastAsia="Calibri"/>
          <w:snapToGrid/>
        </w:rPr>
        <w:t xml:space="preserve">waivers of Section 90.179(a) to allow </w:t>
      </w:r>
      <w:r w:rsidR="00C544CD">
        <w:rPr>
          <w:rFonts w:eastAsia="Calibri"/>
          <w:snapToGrid/>
        </w:rPr>
        <w:t xml:space="preserve">other </w:t>
      </w:r>
      <w:r w:rsidRPr="00FA6849">
        <w:rPr>
          <w:rFonts w:eastAsia="Calibri"/>
          <w:snapToGrid/>
        </w:rPr>
        <w:t>CI providers to share the MPSCS's 800 MHz frequencies to achieve enhanced coverage</w:t>
      </w:r>
      <w:r w:rsidR="00C544CD">
        <w:rPr>
          <w:rFonts w:eastAsia="Calibri"/>
          <w:snapToGrid/>
        </w:rPr>
        <w:t xml:space="preserve">, </w:t>
      </w:r>
      <w:r w:rsidRPr="00FA6849">
        <w:rPr>
          <w:rFonts w:eastAsia="Calibri"/>
          <w:snapToGrid/>
        </w:rPr>
        <w:t>capacity</w:t>
      </w:r>
      <w:r w:rsidR="00C544CD">
        <w:rPr>
          <w:rFonts w:eastAsia="Calibri"/>
          <w:snapToGrid/>
        </w:rPr>
        <w:t xml:space="preserve">, and </w:t>
      </w:r>
      <w:r w:rsidRPr="00FA6849">
        <w:rPr>
          <w:rFonts w:eastAsia="Calibri"/>
          <w:snapToGrid/>
        </w:rPr>
        <w:t>interoperability.</w:t>
      </w:r>
      <w:r>
        <w:rPr>
          <w:rStyle w:val="FootnoteReference"/>
          <w:rFonts w:eastAsia="Calibri"/>
          <w:snapToGrid/>
        </w:rPr>
        <w:footnoteReference w:id="7"/>
      </w:r>
      <w:r w:rsidRPr="00FA6849">
        <w:rPr>
          <w:rFonts w:eastAsia="Calibri"/>
          <w:snapToGrid/>
        </w:rPr>
        <w:t> </w:t>
      </w:r>
      <w:r>
        <w:rPr>
          <w:rFonts w:eastAsia="Calibri"/>
          <w:snapToGrid/>
        </w:rPr>
        <w:t xml:space="preserve"> </w:t>
      </w:r>
      <w:r>
        <w:t xml:space="preserve">Because </w:t>
      </w:r>
      <w:r w:rsidR="00FA35D8">
        <w:t xml:space="preserve">each waiver is based </w:t>
      </w:r>
      <w:r>
        <w:t xml:space="preserve">on the specific </w:t>
      </w:r>
      <w:r w:rsidR="00BF5F9D">
        <w:t xml:space="preserve">facts </w:t>
      </w:r>
      <w:r w:rsidR="00957677">
        <w:t>presented</w:t>
      </w:r>
      <w:r>
        <w:t xml:space="preserve">, we require </w:t>
      </w:r>
      <w:r w:rsidR="0053644C">
        <w:t xml:space="preserve">each additional CI provider that </w:t>
      </w:r>
      <w:r>
        <w:t>seek</w:t>
      </w:r>
      <w:r w:rsidR="0053644C">
        <w:t>s</w:t>
      </w:r>
      <w:r>
        <w:t xml:space="preserve"> </w:t>
      </w:r>
      <w:r w:rsidR="009A2654">
        <w:t xml:space="preserve">shared access to </w:t>
      </w:r>
      <w:r>
        <w:t>the MPSCS network</w:t>
      </w:r>
      <w:r w:rsidR="000C3543">
        <w:t xml:space="preserve"> to file a separate waiver request</w:t>
      </w:r>
      <w:r>
        <w:t>.</w:t>
      </w:r>
    </w:p>
    <w:p w:rsidR="00946766" w:rsidRPr="00C92D3E" w:rsidP="00626598" w14:paraId="5BC0882C" w14:textId="58113C3B">
      <w:pPr>
        <w:pStyle w:val="ParaNum"/>
        <w:keepNext/>
        <w:widowControl/>
        <w:numPr>
          <w:ilvl w:val="0"/>
          <w:numId w:val="0"/>
        </w:numPr>
        <w:spacing w:after="160" w:line="259" w:lineRule="auto"/>
        <w:ind w:left="720"/>
        <w:rPr>
          <w:rFonts w:ascii="Calibri" w:eastAsia="Calibri" w:hAnsi="Calibri"/>
          <w:snapToGrid/>
          <w:kern w:val="0"/>
          <w:szCs w:val="22"/>
        </w:rPr>
      </w:pPr>
      <w:r w:rsidRPr="00C92D3E">
        <w:rPr>
          <w:rFonts w:eastAsia="Calibri"/>
          <w:b/>
          <w:bCs/>
          <w:snapToGrid/>
          <w:kern w:val="0"/>
          <w:szCs w:val="22"/>
        </w:rPr>
        <w:t>III</w:t>
      </w:r>
      <w:r w:rsidRPr="00C92D3E">
        <w:rPr>
          <w:rFonts w:ascii="Calibri" w:eastAsia="Calibri" w:hAnsi="Calibri"/>
          <w:b/>
          <w:bCs/>
          <w:snapToGrid/>
          <w:kern w:val="0"/>
          <w:szCs w:val="22"/>
        </w:rPr>
        <w:t xml:space="preserve">. </w:t>
      </w:r>
      <w:r w:rsidRPr="00C92D3E" w:rsidR="00A840C3">
        <w:rPr>
          <w:rFonts w:ascii="Calibri" w:eastAsia="Calibri" w:hAnsi="Calibri"/>
          <w:b/>
          <w:bCs/>
          <w:snapToGrid/>
          <w:kern w:val="0"/>
          <w:szCs w:val="22"/>
        </w:rPr>
        <w:tab/>
      </w:r>
      <w:r w:rsidRPr="00C92D3E">
        <w:rPr>
          <w:rFonts w:eastAsia="Calibri"/>
          <w:b/>
          <w:bCs/>
          <w:snapToGrid/>
          <w:kern w:val="0"/>
          <w:szCs w:val="22"/>
        </w:rPr>
        <w:t>DISCUSSION</w:t>
      </w:r>
      <w:r w:rsidRPr="00C92D3E">
        <w:rPr>
          <w:rFonts w:ascii="Calibri" w:eastAsia="Calibri" w:hAnsi="Calibri"/>
          <w:snapToGrid/>
          <w:kern w:val="0"/>
          <w:szCs w:val="22"/>
        </w:rPr>
        <w:t>.</w:t>
      </w:r>
    </w:p>
    <w:p w:rsidR="00946766" w:rsidRPr="00946766" w:rsidP="004556DF" w14:paraId="0434EE6F" w14:textId="745ECEB7">
      <w:pPr>
        <w:pStyle w:val="ParaNum"/>
        <w:rPr>
          <w:rFonts w:eastAsia="Calibri"/>
          <w:snapToGrid/>
        </w:rPr>
      </w:pPr>
      <w:r w:rsidRPr="00946766">
        <w:rPr>
          <w:rFonts w:eastAsia="Calibri"/>
          <w:snapToGrid/>
        </w:rPr>
        <w:t xml:space="preserve">To obtain a waiver of the Commission's rules, a petitioner must demonstrate either that: (1) the underlying purpose of the rule(s) would not be served or would be frustrated by the application to </w:t>
      </w:r>
      <w:r w:rsidRPr="00946766">
        <w:rPr>
          <w:rFonts w:eastAsia="Calibri"/>
          <w:snapToGrid/>
        </w:rPr>
        <w:t>the present case, and that a grant of the waiver would serve the public interest; or (2) in view of unique or unusual factual circumstances of the instant case, application of the rule(s) would be inequitable, unduly burdensome, or contrary to the public interest, or the applicant has no reasonable alternative.</w:t>
      </w:r>
      <w:r>
        <w:rPr>
          <w:rStyle w:val="FootnoteReference"/>
          <w:rFonts w:eastAsia="Calibri"/>
          <w:snapToGrid/>
        </w:rPr>
        <w:footnoteReference w:id="8"/>
      </w:r>
    </w:p>
    <w:p w:rsidR="00946766" w:rsidRPr="004556DF" w:rsidP="004556DF" w14:paraId="41351A79" w14:textId="1278E25A">
      <w:pPr>
        <w:pStyle w:val="ParaNum"/>
        <w:rPr>
          <w:rFonts w:eastAsia="Calibri"/>
          <w:snapToGrid/>
        </w:rPr>
      </w:pPr>
      <w:r w:rsidRPr="00946766">
        <w:rPr>
          <w:rFonts w:eastAsia="Calibri"/>
          <w:snapToGrid/>
        </w:rPr>
        <w:t xml:space="preserve"> </w:t>
      </w:r>
      <w:r w:rsidR="002E0389">
        <w:rPr>
          <w:rFonts w:eastAsia="Calibri"/>
          <w:snapToGrid/>
        </w:rPr>
        <w:t>W</w:t>
      </w:r>
      <w:r w:rsidRPr="00946766">
        <w:rPr>
          <w:rFonts w:eastAsia="Calibri"/>
          <w:snapToGrid/>
        </w:rPr>
        <w:t>e find that Michigan has shown good cause for a waiver.</w:t>
      </w:r>
      <w:r w:rsidR="00F024D5">
        <w:rPr>
          <w:rFonts w:eastAsia="Calibri"/>
          <w:snapToGrid/>
        </w:rPr>
        <w:t xml:space="preserve"> </w:t>
      </w:r>
      <w:r w:rsidRPr="00946766">
        <w:rPr>
          <w:rFonts w:eastAsia="Calibri"/>
          <w:snapToGrid/>
        </w:rPr>
        <w:t xml:space="preserve"> Consistent with Michigan's previous waiver requests, Michigan demonstrates that it has adequate spectrum to accommodate the planned sharing of its 800 MHz MPSCS network with </w:t>
      </w:r>
      <w:r w:rsidR="004556DF">
        <w:rPr>
          <w:rFonts w:eastAsia="Calibri"/>
          <w:snapToGrid/>
        </w:rPr>
        <w:t>Consumer’s Energy</w:t>
      </w:r>
      <w:r w:rsidR="00834D63">
        <w:rPr>
          <w:rFonts w:eastAsia="Calibri"/>
          <w:snapToGrid/>
        </w:rPr>
        <w:t>.</w:t>
      </w:r>
      <w:r>
        <w:rPr>
          <w:rStyle w:val="FootnoteReference"/>
          <w:rFonts w:eastAsia="Calibri"/>
          <w:snapToGrid/>
        </w:rPr>
        <w:footnoteReference w:id="9"/>
      </w:r>
      <w:r w:rsidR="00FA6849">
        <w:rPr>
          <w:rFonts w:eastAsia="Calibri"/>
          <w:snapToGrid/>
        </w:rPr>
        <w:t xml:space="preserve">  </w:t>
      </w:r>
      <w:r w:rsidRPr="00946766">
        <w:rPr>
          <w:rFonts w:eastAsia="Calibri"/>
          <w:snapToGrid/>
        </w:rPr>
        <w:t xml:space="preserve">Michigan also demonstrates that </w:t>
      </w:r>
      <w:r w:rsidR="004556DF">
        <w:rPr>
          <w:rFonts w:eastAsia="Calibri"/>
          <w:snapToGrid/>
        </w:rPr>
        <w:t xml:space="preserve">Consumer’s Energy </w:t>
      </w:r>
      <w:r w:rsidRPr="00946766">
        <w:rPr>
          <w:rFonts w:eastAsia="Calibri"/>
          <w:snapToGrid/>
        </w:rPr>
        <w:t>will fund construction of additional infrastructure using 800 MHz Business/Industrial Land Transportation Category frequencies to mitigate its impact on the MPSCS network.</w:t>
      </w:r>
      <w:r>
        <w:rPr>
          <w:rStyle w:val="FootnoteReference"/>
          <w:rFonts w:eastAsia="Calibri"/>
          <w:snapToGrid/>
        </w:rPr>
        <w:footnoteReference w:id="10"/>
      </w:r>
      <w:r w:rsidR="00FA6849">
        <w:rPr>
          <w:rFonts w:eastAsia="Calibri"/>
          <w:snapToGrid/>
        </w:rPr>
        <w:t xml:space="preserve">  </w:t>
      </w:r>
      <w:r w:rsidRPr="00946766">
        <w:rPr>
          <w:rFonts w:eastAsia="Calibri"/>
          <w:snapToGrid/>
        </w:rPr>
        <w:t xml:space="preserve">The shared use will improve the ability of public safety and </w:t>
      </w:r>
      <w:r w:rsidR="004556DF">
        <w:rPr>
          <w:rFonts w:eastAsia="Calibri"/>
          <w:snapToGrid/>
        </w:rPr>
        <w:t xml:space="preserve">Consumer’s Energy </w:t>
      </w:r>
      <w:r w:rsidRPr="00946766">
        <w:rPr>
          <w:rFonts w:eastAsia="Calibri"/>
          <w:snapToGrid/>
        </w:rPr>
        <w:t>to communicate with one another and coordinate power restoration in times of emergency.</w:t>
      </w:r>
      <w:r>
        <w:rPr>
          <w:rStyle w:val="FootnoteReference"/>
          <w:rFonts w:eastAsia="Calibri"/>
          <w:snapToGrid/>
        </w:rPr>
        <w:footnoteReference w:id="11"/>
      </w:r>
      <w:r w:rsidRPr="00946766">
        <w:rPr>
          <w:rFonts w:eastAsia="Calibri"/>
          <w:snapToGrid/>
        </w:rPr>
        <w:t> </w:t>
      </w:r>
      <w:r w:rsidR="00F024D5">
        <w:rPr>
          <w:rFonts w:eastAsia="Calibri"/>
          <w:snapToGrid/>
        </w:rPr>
        <w:t xml:space="preserve"> </w:t>
      </w:r>
      <w:r w:rsidRPr="00946766">
        <w:rPr>
          <w:rFonts w:eastAsia="Calibri"/>
          <w:snapToGrid/>
        </w:rPr>
        <w:t xml:space="preserve">Additionally, Michigan shows that the sharing arrangement will be on a cost-shared, non-profit basis, thereby conforming to the </w:t>
      </w:r>
      <w:r w:rsidR="00B93B47">
        <w:rPr>
          <w:rFonts w:eastAsia="Calibri"/>
          <w:snapToGrid/>
        </w:rPr>
        <w:t>s</w:t>
      </w:r>
      <w:r w:rsidRPr="00946766">
        <w:rPr>
          <w:rFonts w:eastAsia="Calibri"/>
          <w:snapToGrid/>
        </w:rPr>
        <w:t>ection 90.179 provisions.</w:t>
      </w:r>
      <w:r>
        <w:rPr>
          <w:rStyle w:val="FootnoteReference"/>
          <w:rFonts w:eastAsia="Calibri"/>
          <w:snapToGrid/>
        </w:rPr>
        <w:footnoteReference w:id="12"/>
      </w:r>
      <w:r w:rsidRPr="00946766">
        <w:rPr>
          <w:rFonts w:eastAsia="Calibri"/>
          <w:snapToGrid/>
        </w:rPr>
        <w:t xml:space="preserve"> </w:t>
      </w:r>
      <w:r w:rsidR="00F024D5">
        <w:rPr>
          <w:rFonts w:eastAsia="Calibri"/>
          <w:snapToGrid/>
        </w:rPr>
        <w:t xml:space="preserve"> </w:t>
      </w:r>
      <w:r w:rsidRPr="00946766">
        <w:rPr>
          <w:rFonts w:eastAsia="Calibri"/>
          <w:snapToGrid/>
        </w:rPr>
        <w:t>Michigan also demonstrates that it will retain control over the system</w:t>
      </w:r>
      <w:r w:rsidR="00C74BFF">
        <w:rPr>
          <w:rFonts w:eastAsia="Calibri"/>
          <w:snapToGrid/>
        </w:rPr>
        <w:t>.</w:t>
      </w:r>
      <w:r>
        <w:rPr>
          <w:rStyle w:val="FootnoteReference"/>
          <w:rFonts w:eastAsia="Calibri"/>
          <w:snapToGrid/>
        </w:rPr>
        <w:footnoteReference w:id="13"/>
      </w:r>
      <w:r w:rsidR="00C74BFF">
        <w:rPr>
          <w:rFonts w:eastAsia="Calibri"/>
          <w:snapToGrid/>
        </w:rPr>
        <w:t xml:space="preserve"> </w:t>
      </w:r>
      <w:r w:rsidR="00F024D5">
        <w:rPr>
          <w:rFonts w:eastAsia="Calibri"/>
          <w:snapToGrid/>
        </w:rPr>
        <w:t xml:space="preserve"> </w:t>
      </w:r>
      <w:r w:rsidRPr="00946766">
        <w:rPr>
          <w:rFonts w:eastAsia="Calibri"/>
          <w:snapToGrid/>
        </w:rPr>
        <w:t>Thus, based on the record before us and our previous orders, we find that a grant of the waiver would not undermine or frustrate the purpose of Section 90.179(a) and that grant of the waiver serves the public interest.</w:t>
      </w:r>
      <w:r w:rsidRPr="004556DF">
        <w:rPr>
          <w:rFonts w:eastAsia="Calibri"/>
          <w:snapToGrid/>
        </w:rPr>
        <w:t> </w:t>
      </w:r>
    </w:p>
    <w:p w:rsidR="004556DF" w:rsidP="00946766" w14:paraId="420B0E38" w14:textId="39AE20C6">
      <w:pPr>
        <w:widowControl/>
        <w:spacing w:after="160" w:line="259" w:lineRule="auto"/>
        <w:rPr>
          <w:rFonts w:ascii="Calibri" w:eastAsia="Calibri" w:hAnsi="Calibri"/>
          <w:snapToGrid/>
          <w:kern w:val="0"/>
          <w:szCs w:val="22"/>
        </w:rPr>
      </w:pPr>
      <w:r w:rsidRPr="00946766">
        <w:rPr>
          <w:rFonts w:eastAsia="Calibri"/>
          <w:b/>
          <w:bCs/>
          <w:snapToGrid/>
          <w:kern w:val="0"/>
          <w:szCs w:val="22"/>
        </w:rPr>
        <w:t>IV</w:t>
      </w:r>
      <w:r w:rsidRPr="00946766">
        <w:rPr>
          <w:rFonts w:ascii="Calibri" w:eastAsia="Calibri" w:hAnsi="Calibri"/>
          <w:b/>
          <w:bCs/>
          <w:snapToGrid/>
          <w:kern w:val="0"/>
          <w:szCs w:val="22"/>
        </w:rPr>
        <w:t xml:space="preserve">. </w:t>
      </w:r>
      <w:r w:rsidR="00A840C3">
        <w:rPr>
          <w:rFonts w:ascii="Calibri" w:eastAsia="Calibri" w:hAnsi="Calibri"/>
          <w:b/>
          <w:bCs/>
          <w:snapToGrid/>
          <w:kern w:val="0"/>
          <w:szCs w:val="22"/>
        </w:rPr>
        <w:tab/>
      </w:r>
      <w:r w:rsidRPr="00946766">
        <w:rPr>
          <w:rFonts w:eastAsia="Calibri"/>
          <w:b/>
          <w:bCs/>
          <w:snapToGrid/>
          <w:kern w:val="0"/>
          <w:szCs w:val="22"/>
        </w:rPr>
        <w:t>ORDERING</w:t>
      </w:r>
      <w:r w:rsidRPr="00946766">
        <w:rPr>
          <w:rFonts w:ascii="Calibri" w:eastAsia="Calibri" w:hAnsi="Calibri"/>
          <w:b/>
          <w:bCs/>
          <w:snapToGrid/>
          <w:kern w:val="0"/>
          <w:szCs w:val="22"/>
        </w:rPr>
        <w:t xml:space="preserve"> </w:t>
      </w:r>
      <w:r w:rsidRPr="00946766">
        <w:rPr>
          <w:rFonts w:eastAsia="Calibri"/>
          <w:b/>
          <w:bCs/>
          <w:snapToGrid/>
          <w:kern w:val="0"/>
          <w:szCs w:val="22"/>
        </w:rPr>
        <w:t>CLAUSE</w:t>
      </w:r>
      <w:r w:rsidRPr="00946766">
        <w:rPr>
          <w:rFonts w:ascii="Calibri" w:eastAsia="Calibri" w:hAnsi="Calibri"/>
          <w:snapToGrid/>
          <w:kern w:val="0"/>
          <w:szCs w:val="22"/>
        </w:rPr>
        <w:t>.</w:t>
      </w:r>
    </w:p>
    <w:p w:rsidR="00946766" w:rsidRPr="00946766" w:rsidP="004556DF" w14:paraId="7884709D" w14:textId="2EDDF37D">
      <w:pPr>
        <w:pStyle w:val="ParaNum"/>
        <w:rPr>
          <w:rFonts w:eastAsia="Calibri"/>
          <w:snapToGrid/>
        </w:rPr>
      </w:pPr>
      <w:r w:rsidRPr="00946766">
        <w:rPr>
          <w:rFonts w:eastAsia="Calibri"/>
          <w:snapToGrid/>
        </w:rPr>
        <w:t xml:space="preserve">Accordingly, IT IS ORDERED, pursuant to </w:t>
      </w:r>
      <w:r w:rsidR="00B93B47">
        <w:rPr>
          <w:rFonts w:eastAsia="Calibri"/>
          <w:snapToGrid/>
        </w:rPr>
        <w:t xml:space="preserve">sections </w:t>
      </w:r>
      <w:r w:rsidRPr="00946766">
        <w:rPr>
          <w:rFonts w:eastAsia="Calibri"/>
          <w:snapToGrid/>
        </w:rPr>
        <w:t>4(i) and 303(r) of the Communications Act of 1934, as amended, </w:t>
      </w:r>
      <w:hyperlink r:id="rId5" w:anchor="co_pp_17a3000024864" w:history="1">
        <w:r w:rsidRPr="00AB1AD3">
          <w:rPr>
            <w:rFonts w:eastAsia="Calibri"/>
            <w:snapToGrid/>
            <w:color w:val="000000"/>
          </w:rPr>
          <w:t>47 U.S.C. §§ 154(i)</w:t>
        </w:r>
      </w:hyperlink>
      <w:r w:rsidRPr="00AB1AD3">
        <w:rPr>
          <w:rFonts w:eastAsia="Calibri"/>
          <w:snapToGrid/>
          <w:color w:val="000000"/>
        </w:rPr>
        <w:t>, </w:t>
      </w:r>
      <w:hyperlink r:id="rId6" w:anchor="co_pp_3505000063ea7" w:history="1">
        <w:r w:rsidRPr="00AB1AD3">
          <w:rPr>
            <w:rFonts w:eastAsia="Calibri"/>
            <w:snapToGrid/>
            <w:color w:val="000000"/>
          </w:rPr>
          <w:t>303(r)</w:t>
        </w:r>
      </w:hyperlink>
      <w:r w:rsidRPr="00AB1AD3">
        <w:rPr>
          <w:rFonts w:eastAsia="Calibri"/>
          <w:snapToGrid/>
          <w:color w:val="000000"/>
        </w:rPr>
        <w:t xml:space="preserve">, and </w:t>
      </w:r>
      <w:r w:rsidRPr="00AB1AD3" w:rsidR="00B93B47">
        <w:rPr>
          <w:rFonts w:eastAsia="Calibri"/>
          <w:snapToGrid/>
          <w:color w:val="000000"/>
        </w:rPr>
        <w:t>s</w:t>
      </w:r>
      <w:r w:rsidRPr="00AB1AD3">
        <w:rPr>
          <w:rFonts w:eastAsia="Calibri"/>
          <w:snapToGrid/>
          <w:color w:val="000000"/>
        </w:rPr>
        <w:t>ections 1.925 and 90.179(a) of the Commission's rules, </w:t>
      </w:r>
      <w:hyperlink r:id="rId7" w:history="1">
        <w:r w:rsidRPr="00AB1AD3">
          <w:rPr>
            <w:rFonts w:eastAsia="Calibri"/>
            <w:snapToGrid/>
            <w:color w:val="000000"/>
          </w:rPr>
          <w:t>47 CFR</w:t>
        </w:r>
        <w:r w:rsidRPr="00AB1AD3" w:rsidR="00B93B47">
          <w:rPr>
            <w:rFonts w:eastAsia="Calibri"/>
            <w:snapToGrid/>
            <w:color w:val="000000"/>
          </w:rPr>
          <w:t xml:space="preserve"> sections</w:t>
        </w:r>
        <w:r w:rsidRPr="00AB1AD3">
          <w:rPr>
            <w:rFonts w:eastAsia="Calibri"/>
            <w:snapToGrid/>
            <w:color w:val="000000"/>
          </w:rPr>
          <w:t xml:space="preserve"> 1.925</w:t>
        </w:r>
      </w:hyperlink>
      <w:r w:rsidRPr="00AB1AD3">
        <w:rPr>
          <w:rFonts w:eastAsia="Calibri"/>
          <w:snapToGrid/>
          <w:color w:val="000000"/>
        </w:rPr>
        <w:t> and </w:t>
      </w:r>
      <w:hyperlink r:id="rId8" w:anchor="co_pp_8b3b0000958a4" w:history="1">
        <w:r w:rsidRPr="00AB1AD3">
          <w:rPr>
            <w:rFonts w:eastAsia="Calibri"/>
            <w:snapToGrid/>
            <w:color w:val="000000"/>
          </w:rPr>
          <w:t>90.179(a)</w:t>
        </w:r>
      </w:hyperlink>
      <w:r w:rsidRPr="00AB1AD3">
        <w:rPr>
          <w:rFonts w:eastAsia="Calibri"/>
          <w:snapToGrid/>
          <w:color w:val="000000"/>
        </w:rPr>
        <w:t xml:space="preserve">, </w:t>
      </w:r>
      <w:r w:rsidRPr="00946766">
        <w:rPr>
          <w:rFonts w:eastAsia="Calibri"/>
          <w:snapToGrid/>
        </w:rPr>
        <w:t>that the Waiver Reques</w:t>
      </w:r>
      <w:r w:rsidR="00C74BFF">
        <w:rPr>
          <w:rFonts w:eastAsia="Calibri"/>
          <w:snapToGrid/>
        </w:rPr>
        <w:t>t</w:t>
      </w:r>
      <w:r w:rsidRPr="00946766">
        <w:rPr>
          <w:rFonts w:eastAsia="Calibri"/>
          <w:snapToGrid/>
        </w:rPr>
        <w:t xml:space="preserve"> submitted by the State of Michigan </w:t>
      </w:r>
      <w:r w:rsidR="00B93B47">
        <w:rPr>
          <w:rFonts w:eastAsia="Calibri"/>
          <w:snapToGrid/>
        </w:rPr>
        <w:t xml:space="preserve">on February 8, 2021 </w:t>
      </w:r>
      <w:r w:rsidRPr="00946766">
        <w:rPr>
          <w:rFonts w:eastAsia="Calibri"/>
          <w:snapToGrid/>
        </w:rPr>
        <w:t>IS GRANTED</w:t>
      </w:r>
      <w:r w:rsidR="001073A4">
        <w:rPr>
          <w:rFonts w:eastAsia="Calibri"/>
          <w:snapToGrid/>
        </w:rPr>
        <w:t xml:space="preserve">.  </w:t>
      </w:r>
    </w:p>
    <w:p w:rsidR="00626598" w:rsidP="00626598" w14:paraId="246C17FE" w14:textId="77777777">
      <w:pPr>
        <w:pStyle w:val="ParaNum"/>
        <w:rPr>
          <w:rFonts w:eastAsia="Calibri"/>
          <w:snapToGrid/>
        </w:rPr>
      </w:pPr>
      <w:r w:rsidRPr="00946766">
        <w:rPr>
          <w:rFonts w:eastAsia="Calibri"/>
          <w:snapToGrid/>
        </w:rPr>
        <w:t>This action is taken under delegated authority pursuant to Sections 0.191 and 0.392 of the Commission's rules, </w:t>
      </w:r>
      <w:hyperlink r:id="rId9" w:history="1">
        <w:r w:rsidRPr="00AB1AD3">
          <w:rPr>
            <w:rFonts w:eastAsia="Calibri"/>
            <w:snapToGrid/>
            <w:color w:val="000000"/>
          </w:rPr>
          <w:t xml:space="preserve">47 CFR </w:t>
        </w:r>
        <w:r w:rsidRPr="00AB1AD3" w:rsidR="00B93B47">
          <w:rPr>
            <w:rFonts w:eastAsia="Calibri"/>
            <w:snapToGrid/>
            <w:color w:val="000000"/>
          </w:rPr>
          <w:t>sections</w:t>
        </w:r>
        <w:r w:rsidRPr="00AB1AD3">
          <w:rPr>
            <w:rFonts w:eastAsia="Calibri"/>
            <w:snapToGrid/>
            <w:color w:val="000000"/>
          </w:rPr>
          <w:t xml:space="preserve"> 0.191</w:t>
        </w:r>
      </w:hyperlink>
      <w:r w:rsidRPr="00946766">
        <w:rPr>
          <w:rFonts w:eastAsia="Calibri"/>
          <w:snapToGrid/>
        </w:rPr>
        <w:t> and </w:t>
      </w:r>
      <w:hyperlink r:id="rId10" w:history="1">
        <w:r w:rsidRPr="00AB1AD3">
          <w:rPr>
            <w:rFonts w:eastAsia="Calibri"/>
            <w:snapToGrid/>
            <w:color w:val="000000"/>
          </w:rPr>
          <w:t>0.392</w:t>
        </w:r>
      </w:hyperlink>
      <w:r w:rsidRPr="00946766">
        <w:rPr>
          <w:rFonts w:eastAsia="Calibri"/>
          <w:snapToGrid/>
        </w:rPr>
        <w:t>.</w:t>
      </w:r>
    </w:p>
    <w:p w:rsidR="00626598" w:rsidP="00626598" w14:paraId="3D730FD2" w14:textId="77777777">
      <w:pPr>
        <w:pStyle w:val="ParaNum"/>
        <w:numPr>
          <w:ilvl w:val="0"/>
          <w:numId w:val="0"/>
        </w:numPr>
        <w:ind w:left="2880" w:firstLine="720"/>
        <w:rPr>
          <w:rFonts w:eastAsia="Calibri"/>
          <w:snapToGrid/>
        </w:rPr>
      </w:pPr>
    </w:p>
    <w:p w:rsidR="00946766" w:rsidP="00626598" w14:paraId="1E37A487" w14:textId="170BDEE7">
      <w:pPr>
        <w:pStyle w:val="ParaNum"/>
        <w:numPr>
          <w:ilvl w:val="0"/>
          <w:numId w:val="0"/>
        </w:numPr>
        <w:ind w:left="2880" w:firstLine="720"/>
        <w:rPr>
          <w:rFonts w:eastAsia="Calibri"/>
          <w:snapToGrid/>
        </w:rPr>
      </w:pPr>
      <w:r w:rsidRPr="00946766">
        <w:rPr>
          <w:rFonts w:eastAsia="Calibri"/>
          <w:snapToGrid/>
        </w:rPr>
        <w:t>FEDERAL COMMUNICATIONS COMMISSION</w:t>
      </w:r>
    </w:p>
    <w:p w:rsidR="002E0389" w:rsidRPr="00946766" w:rsidP="00C74BFF" w14:paraId="7263A9C9" w14:textId="77777777">
      <w:pPr>
        <w:pStyle w:val="ParaNum"/>
        <w:numPr>
          <w:ilvl w:val="0"/>
          <w:numId w:val="0"/>
        </w:numPr>
        <w:ind w:left="2880" w:firstLine="720"/>
        <w:rPr>
          <w:rFonts w:eastAsia="Calibri"/>
          <w:snapToGrid/>
        </w:rPr>
      </w:pPr>
    </w:p>
    <w:p w:rsidR="00626598" w:rsidP="00C74BFF" w14:paraId="70C43487" w14:textId="77777777">
      <w:pPr>
        <w:pStyle w:val="ParaNum"/>
        <w:numPr>
          <w:ilvl w:val="0"/>
          <w:numId w:val="0"/>
        </w:numPr>
        <w:spacing w:after="0"/>
        <w:ind w:left="3600"/>
        <w:contextualSpacing/>
        <w:rPr>
          <w:rFonts w:eastAsia="Calibri"/>
          <w:snapToGrid/>
        </w:rPr>
      </w:pPr>
    </w:p>
    <w:p w:rsidR="00626598" w:rsidP="00C74BFF" w14:paraId="14AC4487" w14:textId="77777777">
      <w:pPr>
        <w:pStyle w:val="ParaNum"/>
        <w:numPr>
          <w:ilvl w:val="0"/>
          <w:numId w:val="0"/>
        </w:numPr>
        <w:spacing w:after="0"/>
        <w:ind w:left="3600"/>
        <w:contextualSpacing/>
        <w:rPr>
          <w:rFonts w:eastAsia="Calibri"/>
          <w:snapToGrid/>
        </w:rPr>
      </w:pPr>
    </w:p>
    <w:p w:rsidR="00750686" w:rsidP="00C74BFF" w14:paraId="537166D1" w14:textId="32201AAE">
      <w:pPr>
        <w:pStyle w:val="ParaNum"/>
        <w:numPr>
          <w:ilvl w:val="0"/>
          <w:numId w:val="0"/>
        </w:numPr>
        <w:spacing w:after="0"/>
        <w:ind w:left="3600"/>
        <w:contextualSpacing/>
        <w:rPr>
          <w:rFonts w:eastAsia="Calibri"/>
          <w:snapToGrid/>
        </w:rPr>
      </w:pPr>
      <w:r>
        <w:rPr>
          <w:rFonts w:eastAsia="Calibri"/>
          <w:snapToGrid/>
        </w:rPr>
        <w:t>John A. Evanoff</w:t>
      </w:r>
    </w:p>
    <w:p w:rsidR="00946766" w:rsidRPr="00946766" w:rsidP="00C74BFF" w14:paraId="73429E76" w14:textId="37C5BD71">
      <w:pPr>
        <w:pStyle w:val="ParaNum"/>
        <w:numPr>
          <w:ilvl w:val="0"/>
          <w:numId w:val="0"/>
        </w:numPr>
        <w:spacing w:after="0"/>
        <w:ind w:left="3600"/>
        <w:contextualSpacing/>
        <w:rPr>
          <w:rFonts w:eastAsia="Calibri"/>
          <w:snapToGrid/>
        </w:rPr>
      </w:pPr>
      <w:r w:rsidRPr="00946766">
        <w:rPr>
          <w:rFonts w:eastAsia="Calibri"/>
          <w:snapToGrid/>
        </w:rPr>
        <w:t>Chief</w:t>
      </w:r>
      <w:r w:rsidR="00750686">
        <w:rPr>
          <w:rFonts w:eastAsia="Calibri"/>
          <w:snapToGrid/>
        </w:rPr>
        <w:t xml:space="preserve">, </w:t>
      </w:r>
      <w:r w:rsidRPr="00946766">
        <w:rPr>
          <w:rFonts w:eastAsia="Calibri"/>
          <w:snapToGrid/>
        </w:rPr>
        <w:t>Policy and Licensing Division</w:t>
      </w:r>
    </w:p>
    <w:p w:rsidR="00412FC5" w:rsidRPr="008F74AB" w:rsidP="008F74AB" w14:paraId="2D49B2F7" w14:textId="18B5E48B">
      <w:pPr>
        <w:pStyle w:val="ParaNum"/>
        <w:numPr>
          <w:ilvl w:val="0"/>
          <w:numId w:val="0"/>
        </w:numPr>
        <w:spacing w:after="0"/>
        <w:ind w:left="3600"/>
        <w:contextualSpacing/>
        <w:rPr>
          <w:rFonts w:eastAsia="Calibri"/>
          <w:snapToGrid/>
        </w:rPr>
      </w:pPr>
      <w:r w:rsidRPr="00946766">
        <w:rPr>
          <w:rFonts w:eastAsia="Calibri"/>
          <w:snapToGrid/>
        </w:rPr>
        <w:t>Public Safety and Homeland Security Bure</w:t>
      </w:r>
      <w:r w:rsidR="00A840C3">
        <w:rPr>
          <w:rFonts w:eastAsia="Calibri"/>
          <w:snapToGrid/>
        </w:rPr>
        <w:t>au</w:t>
      </w: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B811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803A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65FFA7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B19881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B1925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3809" w14:paraId="62E2F83E" w14:textId="77777777">
      <w:r>
        <w:separator/>
      </w:r>
    </w:p>
  </w:footnote>
  <w:footnote w:type="continuationSeparator" w:id="1">
    <w:p w:rsidR="00713809" w:rsidP="00C721AC" w14:paraId="7CCCBF49" w14:textId="77777777">
      <w:pPr>
        <w:spacing w:before="120"/>
        <w:rPr>
          <w:sz w:val="20"/>
        </w:rPr>
      </w:pPr>
      <w:r>
        <w:rPr>
          <w:sz w:val="20"/>
        </w:rPr>
        <w:t xml:space="preserve">(Continued from previous page)  </w:t>
      </w:r>
      <w:r>
        <w:rPr>
          <w:sz w:val="20"/>
        </w:rPr>
        <w:separator/>
      </w:r>
    </w:p>
  </w:footnote>
  <w:footnote w:type="continuationNotice" w:id="2">
    <w:p w:rsidR="00713809" w:rsidP="00C721AC" w14:paraId="252BE9F5" w14:textId="77777777">
      <w:pPr>
        <w:jc w:val="right"/>
        <w:rPr>
          <w:sz w:val="20"/>
        </w:rPr>
      </w:pPr>
      <w:r>
        <w:rPr>
          <w:sz w:val="20"/>
        </w:rPr>
        <w:t>(continued….)</w:t>
      </w:r>
    </w:p>
  </w:footnote>
  <w:footnote w:id="3">
    <w:p w:rsidR="00A840C3" w14:paraId="34894270" w14:textId="1BE48946">
      <w:pPr>
        <w:pStyle w:val="FootnoteText"/>
      </w:pPr>
      <w:r>
        <w:rPr>
          <w:rStyle w:val="FootnoteReference"/>
        </w:rPr>
        <w:footnoteRef/>
      </w:r>
      <w:r>
        <w:t xml:space="preserve"> Letter from </w:t>
      </w:r>
      <w:r w:rsidRPr="00A840C3">
        <w:t>Brad A. Stoddard, Director</w:t>
      </w:r>
      <w:r>
        <w:t>,</w:t>
      </w:r>
      <w:r w:rsidRPr="00A840C3">
        <w:t xml:space="preserve"> Office of Michigan’s Public Safety Communications System</w:t>
      </w:r>
      <w:r>
        <w:t xml:space="preserve"> to Public Safety and Homeland Security Bureau</w:t>
      </w:r>
      <w:r w:rsidR="00FA6849">
        <w:t>,</w:t>
      </w:r>
      <w:r>
        <w:t xml:space="preserve"> </w:t>
      </w:r>
      <w:r w:rsidR="00B15F6D">
        <w:t>Feb. 8, 2021 (Waiver Request).</w:t>
      </w:r>
    </w:p>
  </w:footnote>
  <w:footnote w:id="4">
    <w:p w:rsidR="00E941BF" w14:paraId="1F2AFB0B" w14:textId="16AE520E">
      <w:pPr>
        <w:pStyle w:val="FootnoteText"/>
      </w:pPr>
      <w:r>
        <w:rPr>
          <w:rStyle w:val="FootnoteReference"/>
        </w:rPr>
        <w:footnoteRef/>
      </w:r>
      <w:r>
        <w:t xml:space="preserve"> 47 CFR</w:t>
      </w:r>
      <w:r w:rsidR="00B15F6D">
        <w:t xml:space="preserve"> </w:t>
      </w:r>
      <w:r w:rsidRPr="00FD2745">
        <w:t>§</w:t>
      </w:r>
      <w:r>
        <w:t xml:space="preserve"> 90.179(a). </w:t>
      </w:r>
    </w:p>
  </w:footnote>
  <w:footnote w:id="5">
    <w:p w:rsidR="00A840C3" w14:paraId="4559281C" w14:textId="6D07F1CC">
      <w:pPr>
        <w:pStyle w:val="FootnoteText"/>
      </w:pPr>
      <w:r>
        <w:rPr>
          <w:rStyle w:val="FootnoteReference"/>
        </w:rPr>
        <w:footnoteRef/>
      </w:r>
      <w:r>
        <w:t xml:space="preserve"> Waiver Request at 1.</w:t>
      </w:r>
    </w:p>
  </w:footnote>
  <w:footnote w:id="6">
    <w:p w:rsidR="00B15F6D" w14:paraId="2309A139" w14:textId="7362218F">
      <w:pPr>
        <w:pStyle w:val="FootnoteText"/>
      </w:pPr>
      <w:r>
        <w:rPr>
          <w:rStyle w:val="FootnoteReference"/>
        </w:rPr>
        <w:footnoteRef/>
      </w:r>
      <w:r>
        <w:t xml:space="preserve"> 47 CFR </w:t>
      </w:r>
      <w:r w:rsidRPr="00B15F6D">
        <w:t>§</w:t>
      </w:r>
      <w:r>
        <w:t xml:space="preserve"> 90.179(a)</w:t>
      </w:r>
    </w:p>
  </w:footnote>
  <w:footnote w:id="7">
    <w:p w:rsidR="00E941BF" w:rsidRPr="001D584B" w14:paraId="41A5163B" w14:textId="4A3983EC">
      <w:pPr>
        <w:pStyle w:val="FootnoteText"/>
        <w:rPr>
          <w:b/>
          <w:bCs/>
        </w:rPr>
      </w:pPr>
      <w:r>
        <w:rPr>
          <w:rStyle w:val="FootnoteReference"/>
        </w:rPr>
        <w:footnoteRef/>
      </w:r>
      <w:r>
        <w:t xml:space="preserve"> </w:t>
      </w:r>
      <w:r w:rsidRPr="00E941BF">
        <w:rPr>
          <w:i/>
          <w:iCs/>
        </w:rPr>
        <w:t>See State of Michigan</w:t>
      </w:r>
      <w:r>
        <w:t xml:space="preserve">, Order, 27 FCC </w:t>
      </w:r>
      <w:r>
        <w:t>Rcd</w:t>
      </w:r>
      <w:r>
        <w:t xml:space="preserve"> 214 (PSHSB 2012</w:t>
      </w:r>
      <w:r w:rsidRPr="00F22808">
        <w:t>)</w:t>
      </w:r>
      <w:r w:rsidR="00F22808">
        <w:t xml:space="preserve">; </w:t>
      </w:r>
      <w:r w:rsidRPr="00F22808" w:rsidR="00F22808">
        <w:rPr>
          <w:i/>
          <w:iCs/>
        </w:rPr>
        <w:t>State of Michigan</w:t>
      </w:r>
      <w:r w:rsidR="00F22808">
        <w:t xml:space="preserve">, Order, 30 FCC </w:t>
      </w:r>
      <w:r w:rsidR="00F22808">
        <w:t>Rcd</w:t>
      </w:r>
      <w:r w:rsidR="00F22808">
        <w:t xml:space="preserve"> 10054 (PSHSB 2015); </w:t>
      </w:r>
      <w:r w:rsidRPr="00F22808" w:rsidR="00F22808">
        <w:rPr>
          <w:i/>
          <w:iCs/>
        </w:rPr>
        <w:t>State of Michigan</w:t>
      </w:r>
      <w:r w:rsidR="00F22808">
        <w:t xml:space="preserve">, Order, 32 FCC </w:t>
      </w:r>
      <w:r w:rsidR="00F22808">
        <w:t>Rcd</w:t>
      </w:r>
      <w:r w:rsidR="00F22808">
        <w:t xml:space="preserve"> 4133 (PSHSB 2017); </w:t>
      </w:r>
      <w:r w:rsidRPr="00F22808" w:rsidR="00F22808">
        <w:rPr>
          <w:i/>
          <w:iCs/>
        </w:rPr>
        <w:t>State of Michigan</w:t>
      </w:r>
      <w:r w:rsidR="00F22808">
        <w:t xml:space="preserve">, Order, 32 FCC </w:t>
      </w:r>
      <w:r w:rsidR="00F22808">
        <w:t>Rcd</w:t>
      </w:r>
      <w:r w:rsidR="00F22808">
        <w:t xml:space="preserve"> </w:t>
      </w:r>
      <w:r w:rsidR="00626598">
        <w:t>7351</w:t>
      </w:r>
      <w:r w:rsidR="00F22808">
        <w:t xml:space="preserve"> (PSHSB 2017</w:t>
      </w:r>
      <w:r w:rsidR="00626598">
        <w:t>).</w:t>
      </w:r>
    </w:p>
  </w:footnote>
  <w:footnote w:id="8">
    <w:p w:rsidR="00834D63" w:rsidRPr="00AB1AD3" w14:paraId="490CD45B" w14:textId="27C9288A">
      <w:pPr>
        <w:pStyle w:val="FootnoteText"/>
        <w:rPr>
          <w:color w:val="0D0D0D"/>
        </w:rPr>
      </w:pPr>
      <w:r>
        <w:rPr>
          <w:rStyle w:val="FootnoteReference"/>
        </w:rPr>
        <w:footnoteRef/>
      </w:r>
      <w:r>
        <w:t xml:space="preserve"> </w:t>
      </w:r>
      <w:r w:rsidRPr="00AB1AD3" w:rsidR="00B15F6D">
        <w:rPr>
          <w:color w:val="0D0D0D"/>
        </w:rPr>
        <w:t xml:space="preserve">47 CFR §1.925; </w:t>
      </w:r>
      <w:r w:rsidRPr="00AB1AD3" w:rsidR="00B15F6D">
        <w:rPr>
          <w:i/>
          <w:iCs/>
          <w:color w:val="0D0D0D"/>
        </w:rPr>
        <w:t>See, e.g.,</w:t>
      </w:r>
      <w:r w:rsidRPr="00AB1AD3" w:rsidR="00E3627F">
        <w:rPr>
          <w:i/>
          <w:iCs/>
          <w:color w:val="0D0D0D"/>
        </w:rPr>
        <w:t xml:space="preserve"> </w:t>
      </w:r>
      <w:hyperlink r:id="rId1" w:anchor="co_pp_sp_350_1166" w:history="1">
        <w:r w:rsidRPr="00AB1AD3" w:rsidR="008F74AB">
          <w:rPr>
            <w:rStyle w:val="Hyperlink"/>
            <w:i/>
            <w:iCs/>
            <w:color w:val="0D0D0D"/>
            <w:u w:val="none"/>
          </w:rPr>
          <w:t>Northeast Cellular Telephone Co. v. FCC,</w:t>
        </w:r>
        <w:r w:rsidRPr="00AB1AD3" w:rsidR="008F74AB">
          <w:rPr>
            <w:rStyle w:val="Hyperlink"/>
            <w:color w:val="0D0D0D"/>
            <w:u w:val="none"/>
          </w:rPr>
          <w:t xml:space="preserve"> 897 F.2d 1164, 1166 (D.C. Cir. 1990)</w:t>
        </w:r>
      </w:hyperlink>
      <w:r w:rsidRPr="00AB1AD3" w:rsidR="008F74AB">
        <w:rPr>
          <w:i/>
          <w:iCs/>
          <w:color w:val="0D0D0D"/>
        </w:rPr>
        <w:t xml:space="preserve"> </w:t>
      </w:r>
      <w:r w:rsidRPr="00AB1AD3" w:rsidR="008F74AB">
        <w:rPr>
          <w:color w:val="0D0D0D"/>
        </w:rPr>
        <w:t>(Northeast Cellular)</w:t>
      </w:r>
      <w:r w:rsidRPr="00AB1AD3" w:rsidR="008F74AB">
        <w:rPr>
          <w:i/>
          <w:iCs/>
          <w:color w:val="0D0D0D"/>
        </w:rPr>
        <w:t>.</w:t>
      </w:r>
      <w:r w:rsidR="00BC23FE">
        <w:rPr>
          <w:i/>
          <w:iCs/>
          <w:color w:val="0D0D0D"/>
        </w:rPr>
        <w:t xml:space="preserve"> </w:t>
      </w:r>
      <w:r w:rsidRPr="00AB1AD3" w:rsidR="008F74AB">
        <w:rPr>
          <w:i/>
          <w:iCs/>
          <w:color w:val="0D0D0D"/>
        </w:rPr>
        <w:t xml:space="preserve"> </w:t>
      </w:r>
      <w:r w:rsidRPr="00BC23FE" w:rsidR="008F74AB">
        <w:rPr>
          <w:color w:val="0D0D0D"/>
        </w:rPr>
        <w:t>In addition, the Commission may take into account considerations of hardship, equity, or more effective implementation of overall policy on an individual basis.</w:t>
      </w:r>
      <w:r w:rsidRPr="00AB1AD3" w:rsidR="008F74AB">
        <w:rPr>
          <w:i/>
          <w:iCs/>
          <w:color w:val="0D0D0D"/>
        </w:rPr>
        <w:t> </w:t>
      </w:r>
      <w:r w:rsidR="00BC23FE">
        <w:rPr>
          <w:i/>
          <w:iCs/>
          <w:color w:val="0D0D0D"/>
        </w:rPr>
        <w:t xml:space="preserve"> See </w:t>
      </w:r>
      <w:hyperlink r:id="rId2" w:anchor="co_pp_sp_350_1159" w:history="1">
        <w:r w:rsidRPr="00AB1AD3" w:rsidR="008F74AB">
          <w:rPr>
            <w:rStyle w:val="Hyperlink"/>
            <w:i/>
            <w:iCs/>
            <w:color w:val="0D0D0D"/>
            <w:u w:val="none"/>
          </w:rPr>
          <w:t>WAIT Radio v. FCC</w:t>
        </w:r>
        <w:r w:rsidRPr="00AB1AD3" w:rsidR="008F74AB">
          <w:rPr>
            <w:rStyle w:val="Hyperlink"/>
            <w:color w:val="0D0D0D"/>
            <w:u w:val="none"/>
          </w:rPr>
          <w:t>, 418 F.2d 1153, 1159 (D.C. Cir. 1969)</w:t>
        </w:r>
      </w:hyperlink>
      <w:r w:rsidRPr="00AB1AD3" w:rsidR="00E3627F">
        <w:rPr>
          <w:color w:val="0D0D0D"/>
        </w:rPr>
        <w:t xml:space="preserve"> (WAIT Radio)</w:t>
      </w:r>
      <w:r w:rsidRPr="00AB1AD3" w:rsidR="008F74AB">
        <w:rPr>
          <w:i/>
          <w:iCs/>
          <w:color w:val="0D0D0D"/>
        </w:rPr>
        <w:t xml:space="preserve">;  </w:t>
      </w:r>
      <w:r w:rsidRPr="00AB1AD3" w:rsidR="008F74AB">
        <w:rPr>
          <w:color w:val="0D0D0D"/>
        </w:rPr>
        <w:t>Waiver of the Commission's rules is appropriate only if both (i) special circumstances warrant a deviation from the general rule, and (ii) such deviation will serve the public interest</w:t>
      </w:r>
      <w:r w:rsidRPr="00AB1AD3" w:rsidR="00E3627F">
        <w:rPr>
          <w:color w:val="0D0D0D"/>
        </w:rPr>
        <w:t xml:space="preserve">. </w:t>
      </w:r>
      <w:hyperlink r:id="rId3" w:anchor="co_pp_sp_350_1166" w:history="1">
        <w:r w:rsidRPr="00AB1AD3" w:rsidR="00B15F6D">
          <w:rPr>
            <w:rStyle w:val="Hyperlink"/>
            <w:i/>
            <w:iCs/>
            <w:color w:val="0D0D0D"/>
            <w:u w:val="none"/>
          </w:rPr>
          <w:t>Northeast Cellular</w:t>
        </w:r>
        <w:r w:rsidRPr="00AB1AD3" w:rsidR="00B15F6D">
          <w:rPr>
            <w:rStyle w:val="Hyperlink"/>
            <w:color w:val="0D0D0D"/>
            <w:u w:val="none"/>
          </w:rPr>
          <w:t>, 897 F.2d at 1166</w:t>
        </w:r>
      </w:hyperlink>
      <w:r w:rsidRPr="00AB1AD3" w:rsidR="00B15F6D">
        <w:rPr>
          <w:color w:val="0D0D0D"/>
        </w:rPr>
        <w:t>; </w:t>
      </w:r>
      <w:hyperlink r:id="rId4" w:anchor="co_pp_sp_350_1157" w:history="1">
        <w:r w:rsidRPr="00AB1AD3" w:rsidR="00B15F6D">
          <w:rPr>
            <w:rStyle w:val="Hyperlink"/>
            <w:i/>
            <w:iCs/>
            <w:color w:val="0D0D0D"/>
            <w:u w:val="none"/>
          </w:rPr>
          <w:t>WAIT Radio</w:t>
        </w:r>
        <w:r w:rsidRPr="00AB1AD3" w:rsidR="00B15F6D">
          <w:rPr>
            <w:rStyle w:val="Hyperlink"/>
            <w:color w:val="0D0D0D"/>
            <w:u w:val="none"/>
          </w:rPr>
          <w:t>, 418 F.2d at 1157</w:t>
        </w:r>
      </w:hyperlink>
      <w:r w:rsidRPr="00AB1AD3" w:rsidR="00B15F6D">
        <w:rPr>
          <w:color w:val="0D0D0D"/>
        </w:rPr>
        <w:t>.</w:t>
      </w:r>
    </w:p>
  </w:footnote>
  <w:footnote w:id="9">
    <w:p w:rsidR="00834D63" w14:paraId="1DBA23C6" w14:textId="4D79DA86">
      <w:pPr>
        <w:pStyle w:val="FootnoteText"/>
      </w:pPr>
      <w:r>
        <w:rPr>
          <w:rStyle w:val="FootnoteReference"/>
        </w:rPr>
        <w:footnoteRef/>
      </w:r>
      <w:r>
        <w:t xml:space="preserve"> Waiver Request at 2.</w:t>
      </w:r>
    </w:p>
  </w:footnote>
  <w:footnote w:id="10">
    <w:p w:rsidR="00834D63" w:rsidRPr="00C74BFF" w14:paraId="5131F434" w14:textId="171FB953">
      <w:pPr>
        <w:pStyle w:val="FootnoteText"/>
      </w:pPr>
      <w:r>
        <w:rPr>
          <w:rStyle w:val="FootnoteReference"/>
        </w:rPr>
        <w:footnoteRef/>
      </w:r>
      <w:r>
        <w:t xml:space="preserve"> </w:t>
      </w:r>
      <w:r w:rsidRPr="00834D63">
        <w:rPr>
          <w:i/>
          <w:iCs/>
        </w:rPr>
        <w:t>Id.</w:t>
      </w:r>
      <w:r w:rsidR="00C74BFF">
        <w:rPr>
          <w:i/>
          <w:iCs/>
        </w:rPr>
        <w:t xml:space="preserve"> </w:t>
      </w:r>
      <w:r w:rsidR="00C74BFF">
        <w:t>at 2.</w:t>
      </w:r>
    </w:p>
  </w:footnote>
  <w:footnote w:id="11">
    <w:p w:rsidR="00C74BFF" w14:paraId="74003D89" w14:textId="37546ACF">
      <w:pPr>
        <w:pStyle w:val="FootnoteText"/>
      </w:pPr>
      <w:r>
        <w:rPr>
          <w:rStyle w:val="FootnoteReference"/>
        </w:rPr>
        <w:footnoteRef/>
      </w:r>
      <w:r>
        <w:t xml:space="preserve"> </w:t>
      </w:r>
      <w:r w:rsidRPr="00C74BFF">
        <w:rPr>
          <w:i/>
          <w:iCs/>
        </w:rPr>
        <w:t>Id.</w:t>
      </w:r>
      <w:r>
        <w:t xml:space="preserve"> at 3.</w:t>
      </w:r>
      <w:r w:rsidR="00A840C3">
        <w:t xml:space="preserve"> </w:t>
      </w:r>
      <w:r w:rsidR="002E0389">
        <w:t xml:space="preserve"> </w:t>
      </w:r>
      <w:r w:rsidRPr="00946766" w:rsidR="00A840C3">
        <w:t xml:space="preserve">We note that MPSCS currently utilizes both 800 MHz and 700 MHz narrowband frequencies. </w:t>
      </w:r>
      <w:r w:rsidR="002E0389">
        <w:t xml:space="preserve"> </w:t>
      </w:r>
      <w:r w:rsidRPr="00946766" w:rsidR="00A840C3">
        <w:t xml:space="preserve">Michigan states that </w:t>
      </w:r>
      <w:r w:rsidR="00A840C3">
        <w:t xml:space="preserve">Consumer’s Energy </w:t>
      </w:r>
      <w:r w:rsidRPr="00946766" w:rsidR="00A840C3">
        <w:t>will be restricted from using 700 MHz frequencies on the MPSCS.</w:t>
      </w:r>
      <w:r w:rsidR="00A840C3">
        <w:t xml:space="preserve"> </w:t>
      </w:r>
      <w:r w:rsidRPr="00A840C3" w:rsidR="00A840C3">
        <w:rPr>
          <w:i/>
        </w:rPr>
        <w:t>Id.</w:t>
      </w:r>
    </w:p>
  </w:footnote>
  <w:footnote w:id="12">
    <w:p w:rsidR="00C74BFF" w14:paraId="4B22EF20" w14:textId="09EBDB9C">
      <w:pPr>
        <w:pStyle w:val="FootnoteText"/>
      </w:pPr>
      <w:r>
        <w:rPr>
          <w:rStyle w:val="FootnoteReference"/>
        </w:rPr>
        <w:footnoteRef/>
      </w:r>
      <w:r>
        <w:t xml:space="preserve"> </w:t>
      </w:r>
      <w:r w:rsidRPr="00C74BFF">
        <w:rPr>
          <w:i/>
          <w:iCs/>
        </w:rPr>
        <w:t>Id.</w:t>
      </w:r>
      <w:r>
        <w:t xml:space="preserve"> at 2.</w:t>
      </w:r>
    </w:p>
  </w:footnote>
  <w:footnote w:id="13">
    <w:p w:rsidR="00C74BFF" w14:paraId="0B74A77F" w14:textId="7E94D748">
      <w:pPr>
        <w:pStyle w:val="FootnoteText"/>
      </w:pPr>
      <w:r>
        <w:rPr>
          <w:rStyle w:val="FootnoteReference"/>
        </w:rPr>
        <w:footnoteRef/>
      </w:r>
      <w:r>
        <w:t xml:space="preserve"> </w:t>
      </w:r>
      <w:r w:rsidRPr="00C74BFF">
        <w:rPr>
          <w:i/>
          <w:iCs/>
        </w:rPr>
        <w:t>Id.</w:t>
      </w:r>
      <w:r>
        <w:t xml:space="preserve"> 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F74AB" w14:paraId="4F963773" w14:textId="03329887">
    <w:pPr>
      <w:pStyle w:val="Header"/>
    </w:pPr>
    <w:r>
      <w:tab/>
      <w:t>Federal Communications Commission</w:t>
    </w:r>
    <w:r>
      <w:tab/>
    </w:r>
    <w:r w:rsidR="008F74AB">
      <w:t>DA 21-XXX</w:t>
    </w:r>
  </w:p>
  <w:p w:rsidR="00D25FB5" w14:paraId="50DA294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C6E048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F74AB" w14:paraId="133CEA1C" w14:textId="450222B5">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rsidR="008F74AB">
      <w:t xml:space="preserve">                                DA 21-</w:t>
    </w:r>
    <w:r>
      <w:t>1266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D4624B"/>
    <w:multiLevelType w:val="multilevel"/>
    <w:tmpl w:val="4BBC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D0B75"/>
    <w:multiLevelType w:val="multilevel"/>
    <w:tmpl w:val="8972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D96938"/>
    <w:multiLevelType w:val="multilevel"/>
    <w:tmpl w:val="C408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1C550B1"/>
    <w:multiLevelType w:val="multilevel"/>
    <w:tmpl w:val="DE0E4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7D595A"/>
    <w:multiLevelType w:val="multilevel"/>
    <w:tmpl w:val="3B2C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10"/>
  </w:num>
  <w:num w:numId="8">
    <w:abstractNumId w:val="9"/>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66"/>
    <w:rsid w:val="00000371"/>
    <w:rsid w:val="000130A4"/>
    <w:rsid w:val="00036039"/>
    <w:rsid w:val="00037F90"/>
    <w:rsid w:val="000875BF"/>
    <w:rsid w:val="00096D8C"/>
    <w:rsid w:val="000C0B65"/>
    <w:rsid w:val="000C3543"/>
    <w:rsid w:val="000E05FE"/>
    <w:rsid w:val="000E3D42"/>
    <w:rsid w:val="001072E7"/>
    <w:rsid w:val="001073A4"/>
    <w:rsid w:val="00122BD5"/>
    <w:rsid w:val="00133F79"/>
    <w:rsid w:val="00141542"/>
    <w:rsid w:val="00164752"/>
    <w:rsid w:val="00194A66"/>
    <w:rsid w:val="001D584B"/>
    <w:rsid w:val="001D6BCF"/>
    <w:rsid w:val="001E01CA"/>
    <w:rsid w:val="00200CF8"/>
    <w:rsid w:val="00245BC9"/>
    <w:rsid w:val="002659A2"/>
    <w:rsid w:val="00271CC9"/>
    <w:rsid w:val="00275CF5"/>
    <w:rsid w:val="0028301F"/>
    <w:rsid w:val="00285017"/>
    <w:rsid w:val="0029055A"/>
    <w:rsid w:val="002A2D2E"/>
    <w:rsid w:val="002C00E8"/>
    <w:rsid w:val="002E0389"/>
    <w:rsid w:val="0030724F"/>
    <w:rsid w:val="00343749"/>
    <w:rsid w:val="0034394B"/>
    <w:rsid w:val="003660ED"/>
    <w:rsid w:val="00380C42"/>
    <w:rsid w:val="003831A4"/>
    <w:rsid w:val="003B0550"/>
    <w:rsid w:val="003B694F"/>
    <w:rsid w:val="003F171C"/>
    <w:rsid w:val="00407528"/>
    <w:rsid w:val="00412FC5"/>
    <w:rsid w:val="00422276"/>
    <w:rsid w:val="004242F1"/>
    <w:rsid w:val="00445A00"/>
    <w:rsid w:val="00451B0F"/>
    <w:rsid w:val="004556DF"/>
    <w:rsid w:val="004960DF"/>
    <w:rsid w:val="004C2EE3"/>
    <w:rsid w:val="004E4A22"/>
    <w:rsid w:val="00511968"/>
    <w:rsid w:val="0053644C"/>
    <w:rsid w:val="0055614C"/>
    <w:rsid w:val="00566D06"/>
    <w:rsid w:val="005A48F3"/>
    <w:rsid w:val="005C3F06"/>
    <w:rsid w:val="005E14C2"/>
    <w:rsid w:val="00607BA5"/>
    <w:rsid w:val="0061180A"/>
    <w:rsid w:val="00626598"/>
    <w:rsid w:val="00626EB6"/>
    <w:rsid w:val="00655D03"/>
    <w:rsid w:val="00683388"/>
    <w:rsid w:val="00683F84"/>
    <w:rsid w:val="006A04DC"/>
    <w:rsid w:val="006A6A81"/>
    <w:rsid w:val="006F7393"/>
    <w:rsid w:val="0070224F"/>
    <w:rsid w:val="007115F7"/>
    <w:rsid w:val="00713809"/>
    <w:rsid w:val="00750686"/>
    <w:rsid w:val="00785689"/>
    <w:rsid w:val="0079754B"/>
    <w:rsid w:val="007A1E6D"/>
    <w:rsid w:val="007B0EB2"/>
    <w:rsid w:val="007B35B1"/>
    <w:rsid w:val="007F7B80"/>
    <w:rsid w:val="00810B6F"/>
    <w:rsid w:val="00822CE0"/>
    <w:rsid w:val="00834D63"/>
    <w:rsid w:val="00841AB1"/>
    <w:rsid w:val="008601A4"/>
    <w:rsid w:val="008C58A1"/>
    <w:rsid w:val="008C68F1"/>
    <w:rsid w:val="008D2522"/>
    <w:rsid w:val="008F74AB"/>
    <w:rsid w:val="00921803"/>
    <w:rsid w:val="00926503"/>
    <w:rsid w:val="00946766"/>
    <w:rsid w:val="00957677"/>
    <w:rsid w:val="009726D8"/>
    <w:rsid w:val="009A2654"/>
    <w:rsid w:val="009D7308"/>
    <w:rsid w:val="009F0F3F"/>
    <w:rsid w:val="009F76DB"/>
    <w:rsid w:val="00A32C3B"/>
    <w:rsid w:val="00A45F4F"/>
    <w:rsid w:val="00A600A9"/>
    <w:rsid w:val="00A623F0"/>
    <w:rsid w:val="00A840C3"/>
    <w:rsid w:val="00AA55B7"/>
    <w:rsid w:val="00AA5B9E"/>
    <w:rsid w:val="00AB1AD3"/>
    <w:rsid w:val="00AB2407"/>
    <w:rsid w:val="00AB53DF"/>
    <w:rsid w:val="00AF2BE8"/>
    <w:rsid w:val="00AF4FDD"/>
    <w:rsid w:val="00B07E5C"/>
    <w:rsid w:val="00B15F6D"/>
    <w:rsid w:val="00B4374A"/>
    <w:rsid w:val="00B811F7"/>
    <w:rsid w:val="00B86466"/>
    <w:rsid w:val="00B93B47"/>
    <w:rsid w:val="00BA5DC6"/>
    <w:rsid w:val="00BA6196"/>
    <w:rsid w:val="00BC23FE"/>
    <w:rsid w:val="00BC3298"/>
    <w:rsid w:val="00BC6D8C"/>
    <w:rsid w:val="00BF3338"/>
    <w:rsid w:val="00BF5F9D"/>
    <w:rsid w:val="00C27D5F"/>
    <w:rsid w:val="00C34006"/>
    <w:rsid w:val="00C36B4C"/>
    <w:rsid w:val="00C426B1"/>
    <w:rsid w:val="00C544CD"/>
    <w:rsid w:val="00C66160"/>
    <w:rsid w:val="00C721AC"/>
    <w:rsid w:val="00C74BFF"/>
    <w:rsid w:val="00C8284A"/>
    <w:rsid w:val="00C90D6A"/>
    <w:rsid w:val="00C92D3E"/>
    <w:rsid w:val="00CA247E"/>
    <w:rsid w:val="00CA6D21"/>
    <w:rsid w:val="00CA70BC"/>
    <w:rsid w:val="00CC613E"/>
    <w:rsid w:val="00CC72B6"/>
    <w:rsid w:val="00D0218D"/>
    <w:rsid w:val="00D25FB5"/>
    <w:rsid w:val="00D316F5"/>
    <w:rsid w:val="00D44223"/>
    <w:rsid w:val="00D54FBD"/>
    <w:rsid w:val="00D85E7D"/>
    <w:rsid w:val="00D94843"/>
    <w:rsid w:val="00DA2529"/>
    <w:rsid w:val="00DB130A"/>
    <w:rsid w:val="00DB2EBB"/>
    <w:rsid w:val="00DC10A1"/>
    <w:rsid w:val="00DC655F"/>
    <w:rsid w:val="00DD0B59"/>
    <w:rsid w:val="00DD7EBD"/>
    <w:rsid w:val="00DF62B6"/>
    <w:rsid w:val="00E07225"/>
    <w:rsid w:val="00E3627F"/>
    <w:rsid w:val="00E5409F"/>
    <w:rsid w:val="00E56232"/>
    <w:rsid w:val="00E941BF"/>
    <w:rsid w:val="00EE6488"/>
    <w:rsid w:val="00F021FA"/>
    <w:rsid w:val="00F024D5"/>
    <w:rsid w:val="00F22808"/>
    <w:rsid w:val="00F34E0B"/>
    <w:rsid w:val="00F45D8F"/>
    <w:rsid w:val="00F62E97"/>
    <w:rsid w:val="00F64209"/>
    <w:rsid w:val="00F93BF5"/>
    <w:rsid w:val="00FA35D8"/>
    <w:rsid w:val="00FA6849"/>
    <w:rsid w:val="00FD27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CC38FF"/>
  <w15:chartTrackingRefBased/>
  <w15:docId w15:val="{EBC1C0D8-8C1F-44D8-AE12-AEB50315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F74AB"/>
    <w:pPr>
      <w:tabs>
        <w:tab w:val="center" w:pos="4680"/>
        <w:tab w:val="right" w:pos="9360"/>
      </w:tabs>
      <w:jc w:val="right"/>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semiHidden/>
    <w:unhideWhenUsed/>
    <w:rsid w:val="00E941BF"/>
    <w:rPr>
      <w:color w:val="605E5C"/>
      <w:shd w:val="clear" w:color="auto" w:fill="E1DFDD"/>
    </w:rPr>
  </w:style>
  <w:style w:type="paragraph" w:styleId="BalloonText">
    <w:name w:val="Balloon Text"/>
    <w:basedOn w:val="Normal"/>
    <w:link w:val="BalloonTextChar"/>
    <w:rsid w:val="00F34E0B"/>
    <w:rPr>
      <w:rFonts w:ascii="Segoe UI" w:hAnsi="Segoe UI" w:cs="Segoe UI"/>
      <w:sz w:val="18"/>
      <w:szCs w:val="18"/>
    </w:rPr>
  </w:style>
  <w:style w:type="character" w:customStyle="1" w:styleId="BalloonTextChar">
    <w:name w:val="Balloon Text Char"/>
    <w:link w:val="BalloonText"/>
    <w:rsid w:val="00F34E0B"/>
    <w:rPr>
      <w:rFonts w:ascii="Segoe UI" w:hAnsi="Segoe UI" w:cs="Segoe UI"/>
      <w:snapToGrid w:val="0"/>
      <w:kern w:val="28"/>
      <w:sz w:val="18"/>
      <w:szCs w:val="18"/>
    </w:rPr>
  </w:style>
  <w:style w:type="character" w:styleId="CommentReference">
    <w:name w:val="annotation reference"/>
    <w:rsid w:val="00F024D5"/>
    <w:rPr>
      <w:sz w:val="16"/>
      <w:szCs w:val="16"/>
    </w:rPr>
  </w:style>
  <w:style w:type="paragraph" w:styleId="CommentText">
    <w:name w:val="annotation text"/>
    <w:basedOn w:val="Normal"/>
    <w:link w:val="CommentTextChar"/>
    <w:rsid w:val="00F024D5"/>
    <w:rPr>
      <w:sz w:val="20"/>
    </w:rPr>
  </w:style>
  <w:style w:type="character" w:customStyle="1" w:styleId="CommentTextChar">
    <w:name w:val="Comment Text Char"/>
    <w:link w:val="CommentText"/>
    <w:rsid w:val="00F024D5"/>
    <w:rPr>
      <w:snapToGrid w:val="0"/>
      <w:kern w:val="28"/>
    </w:rPr>
  </w:style>
  <w:style w:type="paragraph" w:styleId="CommentSubject">
    <w:name w:val="annotation subject"/>
    <w:basedOn w:val="CommentText"/>
    <w:next w:val="CommentText"/>
    <w:link w:val="CommentSubjectChar"/>
    <w:rsid w:val="00F024D5"/>
    <w:rPr>
      <w:b/>
      <w:bCs/>
    </w:rPr>
  </w:style>
  <w:style w:type="character" w:customStyle="1" w:styleId="CommentSubjectChar">
    <w:name w:val="Comment Subject Char"/>
    <w:link w:val="CommentSubject"/>
    <w:rsid w:val="00F024D5"/>
    <w:rPr>
      <w:b/>
      <w:bCs/>
      <w:snapToGrid w:val="0"/>
      <w:kern w:val="28"/>
    </w:rPr>
  </w:style>
  <w:style w:type="paragraph" w:styleId="NormalWeb">
    <w:name w:val="Normal (Web)"/>
    <w:basedOn w:val="Normal"/>
    <w:uiPriority w:val="99"/>
    <w:unhideWhenUsed/>
    <w:rsid w:val="004960DF"/>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1.next.westlaw.com/Link/Document/FullText?findType=L&amp;pubNum=1000547&amp;cite=47CFRS0.392&amp;originatingDoc=I5ad363f1a83711e7bfb79a463a4b3bc7&amp;refType=LQ&amp;originationContext=document&amp;transitionType=DocumentItem&amp;contextData=(sc.Search)"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1.next.westlaw.com/Link/Document/FullText?findType=L&amp;pubNum=1000546&amp;cite=47USCAS154&amp;originatingDoc=I5ad363f1a83711e7bfb79a463a4b3bc7&amp;refType=RB&amp;originationContext=document&amp;transitionType=DocumentItem&amp;contextData=(sc.Search)" TargetMode="External" /><Relationship Id="rId6" Type="http://schemas.openxmlformats.org/officeDocument/2006/relationships/hyperlink" Target="https://1.next.westlaw.com/Link/Document/FullText?findType=L&amp;pubNum=1000546&amp;cite=47USCAS303&amp;originatingDoc=I5ad363f1a83711e7bfb79a463a4b3bc7&amp;refType=RB&amp;originationContext=document&amp;transitionType=DocumentItem&amp;contextData=(sc.Search)" TargetMode="External" /><Relationship Id="rId7" Type="http://schemas.openxmlformats.org/officeDocument/2006/relationships/hyperlink" Target="https://1.next.westlaw.com/Link/Document/FullText?findType=L&amp;pubNum=1000547&amp;cite=47CFRS1.925&amp;originatingDoc=I5ad363f1a83711e7bfb79a463a4b3bc7&amp;refType=LQ&amp;originationContext=document&amp;transitionType=DocumentItem&amp;contextData=(sc.Search)" TargetMode="External" /><Relationship Id="rId8" Type="http://schemas.openxmlformats.org/officeDocument/2006/relationships/hyperlink" Target="https://1.next.westlaw.com/Link/Document/FullText?findType=L&amp;pubNum=1000547&amp;cite=47CFRS90.179&amp;originatingDoc=I5ad363f1a83711e7bfb79a463a4b3bc7&amp;refType=RB&amp;originationContext=document&amp;transitionType=DocumentItem&amp;contextData=(sc.Search)" TargetMode="External" /><Relationship Id="rId9" Type="http://schemas.openxmlformats.org/officeDocument/2006/relationships/hyperlink" Target="https://1.next.westlaw.com/Link/Document/FullText?findType=L&amp;pubNum=1000547&amp;cite=47CFRS0.191&amp;originatingDoc=I5ad363f1a83711e7bfb79a463a4b3bc7&amp;refType=LQ&amp;originationContext=document&amp;transitionType=DocumentItem&amp;contextData=(sc.Search)"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1990047144&amp;pubNum=350&amp;originatingDoc=I8a3ce031bfd911e28501bda794601919&amp;refType=RP&amp;fi=co_pp_sp_350_1166&amp;originationContext=document&amp;transitionType=DocumentItem&amp;contextData=(sc.Search)" TargetMode="External" /><Relationship Id="rId2" Type="http://schemas.openxmlformats.org/officeDocument/2006/relationships/hyperlink" Target="https://1.next.westlaw.com/Link/Document/FullText?findType=Y&amp;serNum=1969121124&amp;pubNum=350&amp;originatingDoc=I8a3ce031bfd911e28501bda794601919&amp;refType=RP&amp;fi=co_pp_sp_350_1159&amp;originationContext=document&amp;transitionType=DocumentItem&amp;contextData=(sc.Search)" TargetMode="External" /><Relationship Id="rId3" Type="http://schemas.openxmlformats.org/officeDocument/2006/relationships/hyperlink" Target="https://1.next.westlaw.com/Link/Document/FullText?findType=Y&amp;serNum=1990047144&amp;pubNum=0000350&amp;originatingDoc=Ia03b344df50411eaa4a6da07b08de5cd&amp;refType=RP&amp;fi=co_pp_sp_350_1166&amp;originationContext=document&amp;transitionType=DocumentItem&amp;contextData=(sc.Search)" TargetMode="External" /><Relationship Id="rId4" Type="http://schemas.openxmlformats.org/officeDocument/2006/relationships/hyperlink" Target="https://1.next.westlaw.com/Link/Document/FullText?findType=Y&amp;serNum=1969121124&amp;pubNum=0000350&amp;originatingDoc=Ia03b344df50411eaa4a6da07b08de5cd&amp;refType=RP&amp;fi=co_pp_sp_350_1157&amp;originationContext=document&amp;transitionType=DocumentItem&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