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15D98" w:rsidP="00715D98" w14:paraId="3FC306AA" w14:textId="77777777">
      <w:pPr>
        <w:jc w:val="center"/>
        <w:rPr>
          <w:b/>
        </w:rPr>
      </w:pPr>
      <w:r>
        <w:rPr>
          <w:b/>
        </w:rPr>
        <w:t>Before the</w:t>
      </w:r>
    </w:p>
    <w:p w:rsidR="00715D98" w:rsidP="00715D98" w14:paraId="37E39095" w14:textId="77777777">
      <w:pPr>
        <w:jc w:val="center"/>
        <w:rPr>
          <w:b/>
        </w:rPr>
      </w:pPr>
      <w:r>
        <w:rPr>
          <w:b/>
        </w:rPr>
        <w:t>Federal Communications Commission</w:t>
      </w:r>
    </w:p>
    <w:p w:rsidR="00715D98" w:rsidP="00715D98" w14:paraId="302E8264" w14:textId="77777777">
      <w:pPr>
        <w:jc w:val="center"/>
        <w:rPr>
          <w:b/>
        </w:rPr>
      </w:pPr>
      <w:r>
        <w:rPr>
          <w:b/>
        </w:rPr>
        <w:t>Washington, D.C. 20554</w:t>
      </w:r>
    </w:p>
    <w:p w:rsidR="00715D98" w:rsidP="00715D98" w14:paraId="034CFD24" w14:textId="77777777">
      <w:pPr>
        <w:tabs>
          <w:tab w:val="left" w:pos="-720"/>
        </w:tabs>
        <w:suppressAutoHyphens/>
        <w:spacing w:line="227" w:lineRule="auto"/>
        <w:rPr>
          <w:spacing w:val="-2"/>
        </w:rPr>
      </w:pPr>
    </w:p>
    <w:p w:rsidR="00715D98" w:rsidP="00715D98" w14:paraId="3B97F424"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0384B65C" w14:textId="77777777">
        <w:tblPrEx>
          <w:tblW w:w="0" w:type="auto"/>
          <w:tblLayout w:type="fixed"/>
          <w:tblLook w:val="0000"/>
        </w:tblPrEx>
        <w:tc>
          <w:tcPr>
            <w:tcW w:w="4698" w:type="dxa"/>
          </w:tcPr>
          <w:p w:rsidR="00715D98" w:rsidRPr="003B7EE1" w:rsidP="005A5C24" w14:paraId="4F7DED69" w14:textId="77777777">
            <w:pPr>
              <w:widowControl/>
              <w:ind w:right="-18"/>
              <w:rPr>
                <w:szCs w:val="22"/>
              </w:rPr>
            </w:pPr>
            <w:r w:rsidRPr="003B7EE1">
              <w:rPr>
                <w:szCs w:val="22"/>
              </w:rPr>
              <w:t xml:space="preserve">In the Matter of </w:t>
            </w:r>
          </w:p>
          <w:p w:rsidR="00715D98" w:rsidRPr="003B7EE1" w:rsidP="005A5C24" w14:paraId="2D09A7F1" w14:textId="77777777">
            <w:pPr>
              <w:widowControl/>
              <w:ind w:right="-18"/>
              <w:rPr>
                <w:szCs w:val="22"/>
              </w:rPr>
            </w:pPr>
          </w:p>
          <w:p w:rsidR="00715D98" w:rsidRPr="003B7EE1" w:rsidP="005A5C24" w14:paraId="667C9760" w14:textId="77777777">
            <w:pPr>
              <w:widowControl/>
              <w:tabs>
                <w:tab w:val="left" w:pos="1242"/>
              </w:tabs>
              <w:ind w:right="-18"/>
              <w:rPr>
                <w:szCs w:val="22"/>
              </w:rPr>
            </w:pPr>
            <w:r>
              <w:rPr>
                <w:szCs w:val="22"/>
              </w:rPr>
              <w:t>City and County of Denver, Colorado</w:t>
            </w:r>
            <w:r w:rsidRPr="003B7EE1">
              <w:rPr>
                <w:szCs w:val="22"/>
              </w:rPr>
              <w:t xml:space="preserve"> </w:t>
            </w:r>
          </w:p>
          <w:p w:rsidR="00715D98" w:rsidRPr="003B7EE1" w:rsidP="005A5C24" w14:paraId="54C81B03" w14:textId="77777777">
            <w:pPr>
              <w:widowControl/>
              <w:tabs>
                <w:tab w:val="left" w:pos="1242"/>
              </w:tabs>
              <w:ind w:right="-18"/>
              <w:rPr>
                <w:szCs w:val="22"/>
              </w:rPr>
            </w:pPr>
          </w:p>
          <w:p w:rsidR="00715D98" w:rsidP="005A5C24" w14:paraId="1BC11377" w14:textId="35934B2C">
            <w:r w:rsidRPr="003B7EE1">
              <w:rPr>
                <w:szCs w:val="22"/>
              </w:rPr>
              <w:t xml:space="preserve">Request for Waiver </w:t>
            </w:r>
            <w:r w:rsidR="00530915">
              <w:rPr>
                <w:szCs w:val="22"/>
              </w:rPr>
              <w:t xml:space="preserve">of Section 90.621(b)(4) of the Commission’s Rules </w:t>
            </w:r>
          </w:p>
        </w:tc>
        <w:tc>
          <w:tcPr>
            <w:tcW w:w="630" w:type="dxa"/>
          </w:tcPr>
          <w:p w:rsidR="00715D98" w:rsidRPr="003B7EE1" w:rsidP="005A5C24" w14:paraId="591479BF" w14:textId="77777777">
            <w:pPr>
              <w:widowControl/>
              <w:rPr>
                <w:b/>
                <w:szCs w:val="22"/>
              </w:rPr>
            </w:pPr>
            <w:r w:rsidRPr="003B7EE1">
              <w:rPr>
                <w:b/>
                <w:szCs w:val="22"/>
              </w:rPr>
              <w:t>)</w:t>
            </w:r>
          </w:p>
          <w:p w:rsidR="00715D98" w:rsidRPr="003B7EE1" w:rsidP="005A5C24" w14:paraId="018F731A" w14:textId="77777777">
            <w:pPr>
              <w:widowControl/>
              <w:rPr>
                <w:b/>
                <w:szCs w:val="22"/>
              </w:rPr>
            </w:pPr>
            <w:r w:rsidRPr="003B7EE1">
              <w:rPr>
                <w:b/>
                <w:szCs w:val="22"/>
              </w:rPr>
              <w:t>)</w:t>
            </w:r>
          </w:p>
          <w:p w:rsidR="00715D98" w:rsidRPr="003B7EE1" w:rsidP="005A5C24" w14:paraId="773F5055" w14:textId="77777777">
            <w:pPr>
              <w:widowControl/>
              <w:rPr>
                <w:b/>
                <w:szCs w:val="22"/>
              </w:rPr>
            </w:pPr>
            <w:r w:rsidRPr="003B7EE1">
              <w:rPr>
                <w:b/>
                <w:szCs w:val="22"/>
              </w:rPr>
              <w:t>)</w:t>
            </w:r>
          </w:p>
          <w:p w:rsidR="00715D98" w:rsidRPr="003B7EE1" w:rsidP="005A5C24" w14:paraId="52F9CD4E" w14:textId="77777777">
            <w:pPr>
              <w:widowControl/>
              <w:rPr>
                <w:b/>
                <w:szCs w:val="22"/>
              </w:rPr>
            </w:pPr>
            <w:r w:rsidRPr="003B7EE1">
              <w:rPr>
                <w:b/>
                <w:szCs w:val="22"/>
              </w:rPr>
              <w:t>)</w:t>
            </w:r>
          </w:p>
          <w:p w:rsidR="00715D98" w:rsidRPr="00070854" w:rsidP="00070854" w14:paraId="2097FD1F" w14:textId="4A771F37">
            <w:pPr>
              <w:widowControl/>
              <w:rPr>
                <w:b/>
                <w:szCs w:val="22"/>
              </w:rPr>
            </w:pPr>
            <w:r w:rsidRPr="003B7EE1">
              <w:rPr>
                <w:b/>
                <w:szCs w:val="22"/>
              </w:rPr>
              <w:t>)</w:t>
            </w:r>
            <w:r w:rsidR="009F6D9F">
              <w:rPr>
                <w:b/>
                <w:szCs w:val="22"/>
              </w:rPr>
              <w:br/>
              <w:t>)</w:t>
            </w:r>
          </w:p>
        </w:tc>
        <w:tc>
          <w:tcPr>
            <w:tcW w:w="4248" w:type="dxa"/>
          </w:tcPr>
          <w:p w:rsidR="00715D98" w:rsidRPr="003B7EE1" w:rsidP="005A5C24" w14:paraId="01D648C9" w14:textId="77777777">
            <w:pPr>
              <w:widowControl/>
              <w:rPr>
                <w:szCs w:val="22"/>
              </w:rPr>
            </w:pPr>
          </w:p>
          <w:p w:rsidR="00715D98" w:rsidRPr="003B7EE1" w:rsidP="005A5C24" w14:paraId="14B2F52E" w14:textId="77777777">
            <w:pPr>
              <w:widowControl/>
              <w:rPr>
                <w:szCs w:val="22"/>
              </w:rPr>
            </w:pPr>
          </w:p>
          <w:p w:rsidR="00715D98" w:rsidRPr="006D182A" w:rsidP="005A5C24" w14:paraId="307494FF" w14:textId="75327B92">
            <w:pPr>
              <w:tabs>
                <w:tab w:val="center" w:pos="4680"/>
              </w:tabs>
              <w:suppressAutoHyphens/>
              <w:rPr>
                <w:spacing w:val="-2"/>
                <w:lang w:val="sv-SE"/>
              </w:rPr>
            </w:pPr>
            <w:r w:rsidRPr="003B7EE1">
              <w:rPr>
                <w:szCs w:val="22"/>
              </w:rPr>
              <w:t xml:space="preserve">File No. </w:t>
            </w:r>
            <w:r w:rsidR="00D9741C">
              <w:rPr>
                <w:szCs w:val="22"/>
              </w:rPr>
              <w:t>0009039161</w:t>
            </w:r>
          </w:p>
        </w:tc>
      </w:tr>
    </w:tbl>
    <w:p w:rsidR="00715D98" w:rsidRPr="006D182A" w:rsidP="00715D98" w14:paraId="155491FC" w14:textId="77777777">
      <w:pPr>
        <w:tabs>
          <w:tab w:val="left" w:pos="-720"/>
        </w:tabs>
        <w:suppressAutoHyphens/>
        <w:spacing w:line="227" w:lineRule="auto"/>
        <w:rPr>
          <w:spacing w:val="-2"/>
          <w:lang w:val="sv-SE"/>
        </w:rPr>
      </w:pPr>
    </w:p>
    <w:p w:rsidR="00715D98" w:rsidRPr="006D182A" w:rsidP="00715D98" w14:paraId="68712A9D" w14:textId="77777777">
      <w:pPr>
        <w:tabs>
          <w:tab w:val="left" w:pos="-720"/>
        </w:tabs>
        <w:suppressAutoHyphens/>
        <w:spacing w:line="227" w:lineRule="auto"/>
        <w:rPr>
          <w:spacing w:val="-2"/>
          <w:lang w:val="sv-SE"/>
        </w:rPr>
      </w:pPr>
    </w:p>
    <w:p w:rsidR="00715D98" w:rsidP="00715D98" w14:paraId="587CC078" w14:textId="77777777">
      <w:pPr>
        <w:jc w:val="center"/>
        <w:rPr>
          <w:b/>
        </w:rPr>
      </w:pPr>
      <w:r>
        <w:rPr>
          <w:b/>
        </w:rPr>
        <w:fldChar w:fldCharType="begin"/>
      </w:r>
      <w:r>
        <w:rPr>
          <w:b/>
        </w:rPr>
        <w:instrText xml:space="preserve"> AUTOTEXTLIST  \* MERGEFORMAT </w:instrText>
      </w:r>
      <w:r>
        <w:rPr>
          <w:b/>
        </w:rPr>
        <w:fldChar w:fldCharType="separate"/>
      </w:r>
      <w:r>
        <w:rPr>
          <w:b/>
        </w:rPr>
        <w:t>ORDER</w:t>
      </w:r>
      <w:r>
        <w:rPr>
          <w:b/>
        </w:rPr>
        <w:fldChar w:fldCharType="end"/>
      </w:r>
    </w:p>
    <w:p w:rsidR="00686CEC" w:rsidP="00686CEC" w14:paraId="44F0A9F7" w14:textId="77777777">
      <w:pPr>
        <w:tabs>
          <w:tab w:val="left" w:pos="0"/>
          <w:tab w:val="left" w:pos="5760"/>
        </w:tabs>
        <w:suppressAutoHyphens/>
        <w:spacing w:line="227" w:lineRule="auto"/>
        <w:ind w:right="220"/>
        <w:jc w:val="right"/>
        <w:rPr>
          <w:spacing w:val="-2"/>
        </w:rPr>
      </w:pPr>
    </w:p>
    <w:p w:rsidR="00715D98" w:rsidP="00686CEC" w14:paraId="5FB5318F" w14:textId="4DA10C1B">
      <w:pPr>
        <w:tabs>
          <w:tab w:val="left" w:pos="0"/>
          <w:tab w:val="left" w:pos="5760"/>
        </w:tabs>
        <w:suppressAutoHyphens/>
        <w:spacing w:line="227" w:lineRule="auto"/>
        <w:ind w:right="220"/>
        <w:rPr>
          <w:spacing w:val="-2"/>
        </w:rPr>
      </w:pPr>
      <w:r>
        <w:rPr>
          <w:b/>
          <w:spacing w:val="-2"/>
        </w:rPr>
        <w:t xml:space="preserve">Adopted:  </w:t>
      </w:r>
      <w:r w:rsidR="002B75E6">
        <w:rPr>
          <w:b/>
          <w:spacing w:val="-2"/>
        </w:rPr>
        <w:t>October 12</w:t>
      </w:r>
      <w:r w:rsidR="00070854">
        <w:rPr>
          <w:b/>
          <w:spacing w:val="-2"/>
        </w:rPr>
        <w:t>, 2021</w:t>
      </w:r>
      <w:r>
        <w:rPr>
          <w:b/>
          <w:spacing w:val="-2"/>
        </w:rPr>
        <w:tab/>
      </w:r>
      <w:r w:rsidR="00686CEC">
        <w:rPr>
          <w:b/>
          <w:spacing w:val="-2"/>
        </w:rPr>
        <w:tab/>
      </w:r>
      <w:r w:rsidR="00AC23C7">
        <w:rPr>
          <w:b/>
          <w:spacing w:val="-2"/>
        </w:rPr>
        <w:t xml:space="preserve"> </w:t>
      </w:r>
      <w:r>
        <w:rPr>
          <w:b/>
          <w:spacing w:val="-2"/>
        </w:rPr>
        <w:t xml:space="preserve">Released:  </w:t>
      </w:r>
      <w:r w:rsidR="002B75E6">
        <w:rPr>
          <w:b/>
          <w:spacing w:val="-2"/>
        </w:rPr>
        <w:t>October 12</w:t>
      </w:r>
      <w:r w:rsidR="00070854">
        <w:rPr>
          <w:b/>
          <w:spacing w:val="-2"/>
        </w:rPr>
        <w:t>,</w:t>
      </w:r>
      <w:r w:rsidR="002B75E6">
        <w:rPr>
          <w:b/>
          <w:spacing w:val="-2"/>
        </w:rPr>
        <w:t xml:space="preserve"> </w:t>
      </w:r>
      <w:r w:rsidR="00070854">
        <w:rPr>
          <w:b/>
          <w:spacing w:val="-2"/>
        </w:rPr>
        <w:t>2021</w:t>
      </w:r>
    </w:p>
    <w:p w:rsidR="00715D98" w:rsidP="00715D98" w14:paraId="453B2A11" w14:textId="77777777"/>
    <w:p w:rsidR="00715D98" w:rsidP="00070854" w14:paraId="09C9B654" w14:textId="1C480CAC">
      <w:pPr>
        <w:jc w:val="both"/>
        <w:rPr>
          <w:spacing w:val="-2"/>
        </w:rPr>
      </w:pPr>
      <w:r>
        <w:t xml:space="preserve">By the </w:t>
      </w:r>
      <w:r w:rsidR="009F0174">
        <w:t xml:space="preserve">Chief, Policy </w:t>
      </w:r>
      <w:r w:rsidR="00070854">
        <w:t xml:space="preserve">and Licensing </w:t>
      </w:r>
      <w:r w:rsidR="009F0174">
        <w:t xml:space="preserve">Division, </w:t>
      </w:r>
      <w:r>
        <w:rPr>
          <w:spacing w:val="-2"/>
        </w:rPr>
        <w:t xml:space="preserve">Public Safety and </w:t>
      </w:r>
      <w:r w:rsidR="00E068DB">
        <w:rPr>
          <w:spacing w:val="-2"/>
        </w:rPr>
        <w:t>H</w:t>
      </w:r>
      <w:r w:rsidR="009F0174">
        <w:rPr>
          <w:spacing w:val="-2"/>
        </w:rPr>
        <w:t>omeland Security Bureau</w:t>
      </w:r>
      <w:r>
        <w:rPr>
          <w:spacing w:val="-2"/>
        </w:rPr>
        <w:t>:</w:t>
      </w:r>
    </w:p>
    <w:p w:rsidR="00715D98" w14:paraId="1A647A6D" w14:textId="77777777"/>
    <w:p w:rsidR="009F0174" w:rsidP="00530915" w14:paraId="1BB96D22" w14:textId="77777777">
      <w:pPr>
        <w:pStyle w:val="Heading1"/>
      </w:pPr>
      <w:r>
        <w:t>Introduction</w:t>
      </w:r>
    </w:p>
    <w:p w:rsidR="00715D98" w:rsidP="00292BA8" w14:paraId="339C7A68" w14:textId="6663C4DD">
      <w:pPr>
        <w:pStyle w:val="ParaNum"/>
        <w:jc w:val="left"/>
      </w:pPr>
      <w:r>
        <w:t xml:space="preserve">On </w:t>
      </w:r>
      <w:r w:rsidR="00237BA9">
        <w:t>April 8</w:t>
      </w:r>
      <w:r w:rsidR="008751E1">
        <w:t>,</w:t>
      </w:r>
      <w:r w:rsidRPr="003B7EE1">
        <w:t xml:space="preserve"> </w:t>
      </w:r>
      <w:r w:rsidR="00237BA9">
        <w:t xml:space="preserve">2020, </w:t>
      </w:r>
      <w:r w:rsidRPr="003B7EE1">
        <w:t xml:space="preserve">the </w:t>
      </w:r>
      <w:r w:rsidR="00237BA9">
        <w:t>City and County of Denver, Colorado</w:t>
      </w:r>
      <w:r w:rsidRPr="003B7EE1">
        <w:t xml:space="preserve"> (</w:t>
      </w:r>
      <w:r w:rsidR="00237BA9">
        <w:t>Denver</w:t>
      </w:r>
      <w:r w:rsidRPr="003B7EE1">
        <w:t xml:space="preserve">) filed </w:t>
      </w:r>
      <w:r>
        <w:t>an</w:t>
      </w:r>
      <w:r w:rsidRPr="003B7EE1">
        <w:t xml:space="preserve"> application </w:t>
      </w:r>
      <w:r w:rsidR="009C50E7">
        <w:t xml:space="preserve">to modify its </w:t>
      </w:r>
      <w:r w:rsidR="00F646B6">
        <w:t xml:space="preserve">fifty-channel, two-site </w:t>
      </w:r>
      <w:r w:rsidRPr="003B7EE1">
        <w:t xml:space="preserve">800 MHz </w:t>
      </w:r>
      <w:r w:rsidR="00766C8F">
        <w:t xml:space="preserve">trunked station KNNR200 </w:t>
      </w:r>
      <w:r w:rsidRPr="003B7EE1">
        <w:t xml:space="preserve">in </w:t>
      </w:r>
      <w:r w:rsidR="00237BA9">
        <w:t>Denver</w:t>
      </w:r>
      <w:r w:rsidR="00053FBB">
        <w:t xml:space="preserve"> along with a </w:t>
      </w:r>
      <w:r w:rsidRPr="00053FBB" w:rsidR="00053FBB">
        <w:t>waiver of section 90.621(b)(6) of the Commission’s rules.</w:t>
      </w:r>
      <w:r>
        <w:rPr>
          <w:rStyle w:val="FootnoteReference"/>
          <w:szCs w:val="22"/>
        </w:rPr>
        <w:footnoteReference w:id="3"/>
      </w:r>
      <w:r w:rsidR="002C0794">
        <w:t xml:space="preserve">  </w:t>
      </w:r>
      <w:r w:rsidRPr="003B7EE1">
        <w:t>For the reasons st</w:t>
      </w:r>
      <w:r w:rsidR="007C476C">
        <w:t xml:space="preserve">ated below, we </w:t>
      </w:r>
      <w:r w:rsidR="00080F71">
        <w:t>grant</w:t>
      </w:r>
      <w:r w:rsidR="007C476C">
        <w:t xml:space="preserve"> the waiver request</w:t>
      </w:r>
      <w:r w:rsidR="007C476C">
        <w:rPr>
          <w:szCs w:val="22"/>
        </w:rPr>
        <w:t>.</w:t>
      </w:r>
    </w:p>
    <w:p w:rsidR="009F0174" w:rsidRPr="009F0174" w:rsidP="00530915" w14:paraId="1510C572" w14:textId="77777777">
      <w:pPr>
        <w:pStyle w:val="Heading1"/>
      </w:pPr>
      <w:r>
        <w:t>Background</w:t>
      </w:r>
    </w:p>
    <w:p w:rsidR="00C93A78" w:rsidRPr="00C93A78" w:rsidP="00C93A78" w14:paraId="67215485" w14:textId="28D7917A">
      <w:pPr>
        <w:pStyle w:val="ParaNum"/>
        <w:rPr>
          <w:szCs w:val="22"/>
        </w:rPr>
      </w:pPr>
      <w:r>
        <w:t>Denver states that s</w:t>
      </w:r>
      <w:r w:rsidR="00EE0949">
        <w:t>tation KN</w:t>
      </w:r>
      <w:r w:rsidR="00115333">
        <w:t>N</w:t>
      </w:r>
      <w:r w:rsidR="00EE0949">
        <w:t xml:space="preserve">R200 is currently authorized to </w:t>
      </w:r>
      <w:r w:rsidR="00FC0EE7">
        <w:t>be short-spaced to co-channel licensee</w:t>
      </w:r>
      <w:r w:rsidR="00150AF2">
        <w:t>,</w:t>
      </w:r>
      <w:r w:rsidR="00FC0EE7">
        <w:t xml:space="preserve"> I</w:t>
      </w:r>
      <w:r w:rsidR="0051625A">
        <w:t xml:space="preserve">ota Spectrum Partners, LP (Iota) </w:t>
      </w:r>
      <w:r w:rsidR="008F2953">
        <w:t>station WQWC417</w:t>
      </w:r>
      <w:r w:rsidRPr="00CE59E8" w:rsidR="008751E1">
        <w:rPr>
          <w:szCs w:val="22"/>
        </w:rPr>
        <w:t>.</w:t>
      </w:r>
      <w:r>
        <w:rPr>
          <w:rStyle w:val="FootnoteReference"/>
          <w:szCs w:val="22"/>
        </w:rPr>
        <w:footnoteReference w:id="4"/>
      </w:r>
      <w:r w:rsidRPr="00CE59E8" w:rsidR="008751E1">
        <w:rPr>
          <w:szCs w:val="22"/>
        </w:rPr>
        <w:t xml:space="preserve">  </w:t>
      </w:r>
      <w:r w:rsidR="00237BA9">
        <w:rPr>
          <w:szCs w:val="22"/>
        </w:rPr>
        <w:t>Denver</w:t>
      </w:r>
      <w:r w:rsidR="00634B2C">
        <w:rPr>
          <w:szCs w:val="22"/>
        </w:rPr>
        <w:t xml:space="preserve"> </w:t>
      </w:r>
      <w:r w:rsidR="001F7BC5">
        <w:rPr>
          <w:szCs w:val="22"/>
        </w:rPr>
        <w:t xml:space="preserve">operates its </w:t>
      </w:r>
      <w:r w:rsidR="00150AF2">
        <w:rPr>
          <w:szCs w:val="22"/>
        </w:rPr>
        <w:t xml:space="preserve">Site 1 at </w:t>
      </w:r>
      <w:r w:rsidR="00F0017B">
        <w:rPr>
          <w:szCs w:val="22"/>
        </w:rPr>
        <w:t xml:space="preserve">600 watts -- </w:t>
      </w:r>
      <w:r w:rsidR="00150AF2">
        <w:rPr>
          <w:szCs w:val="22"/>
        </w:rPr>
        <w:t>the maximum effective radiated power (</w:t>
      </w:r>
      <w:r w:rsidR="00634B2C">
        <w:rPr>
          <w:szCs w:val="22"/>
        </w:rPr>
        <w:t>ERP</w:t>
      </w:r>
      <w:r w:rsidR="00150AF2">
        <w:rPr>
          <w:szCs w:val="22"/>
        </w:rPr>
        <w:t>)</w:t>
      </w:r>
      <w:r w:rsidR="00634B2C">
        <w:rPr>
          <w:szCs w:val="22"/>
        </w:rPr>
        <w:t xml:space="preserve"> </w:t>
      </w:r>
      <w:r w:rsidR="003E2A89">
        <w:rPr>
          <w:szCs w:val="22"/>
        </w:rPr>
        <w:t>for th</w:t>
      </w:r>
      <w:r w:rsidR="00F0017B">
        <w:rPr>
          <w:szCs w:val="22"/>
        </w:rPr>
        <w:t>e</w:t>
      </w:r>
      <w:r w:rsidR="003E2A89">
        <w:rPr>
          <w:szCs w:val="22"/>
        </w:rPr>
        <w:t xml:space="preserve"> </w:t>
      </w:r>
      <w:r w:rsidR="002C0794">
        <w:rPr>
          <w:szCs w:val="22"/>
        </w:rPr>
        <w:t xml:space="preserve">relevant </w:t>
      </w:r>
      <w:r w:rsidR="003E2A89">
        <w:rPr>
          <w:szCs w:val="22"/>
        </w:rPr>
        <w:t>H</w:t>
      </w:r>
      <w:r w:rsidR="00382750">
        <w:rPr>
          <w:szCs w:val="22"/>
        </w:rPr>
        <w:t>eight Above Average Terrain (H</w:t>
      </w:r>
      <w:r w:rsidR="003E2A89">
        <w:rPr>
          <w:szCs w:val="22"/>
        </w:rPr>
        <w:t>AAT</w:t>
      </w:r>
      <w:r w:rsidR="00382750">
        <w:rPr>
          <w:szCs w:val="22"/>
        </w:rPr>
        <w:t>)</w:t>
      </w:r>
      <w:r w:rsidR="003E2A89">
        <w:rPr>
          <w:szCs w:val="22"/>
        </w:rPr>
        <w:t>.</w:t>
      </w:r>
      <w:r>
        <w:rPr>
          <w:rStyle w:val="FootnoteReference"/>
          <w:szCs w:val="22"/>
        </w:rPr>
        <w:footnoteReference w:id="5"/>
      </w:r>
      <w:r w:rsidR="00757B54">
        <w:rPr>
          <w:szCs w:val="22"/>
        </w:rPr>
        <w:t xml:space="preserve">  </w:t>
      </w:r>
      <w:r w:rsidRPr="001A36EB" w:rsidR="001A36EB">
        <w:rPr>
          <w:szCs w:val="22"/>
        </w:rPr>
        <w:t>Denver seeks to modify its authorization by raising its antenna 6.5 meters at Site 1</w:t>
      </w:r>
      <w:r w:rsidR="001A36EB">
        <w:rPr>
          <w:szCs w:val="22"/>
        </w:rPr>
        <w:t xml:space="preserve"> while maintaining the same ERP</w:t>
      </w:r>
      <w:r w:rsidRPr="001A36EB" w:rsidR="001A36EB">
        <w:rPr>
          <w:szCs w:val="22"/>
        </w:rPr>
        <w:t xml:space="preserve">.  </w:t>
      </w:r>
      <w:r w:rsidR="001F7BC5">
        <w:rPr>
          <w:szCs w:val="22"/>
        </w:rPr>
        <w:t xml:space="preserve">Such a </w:t>
      </w:r>
      <w:r w:rsidR="00EA0533">
        <w:rPr>
          <w:szCs w:val="22"/>
        </w:rPr>
        <w:t xml:space="preserve">change is permitted </w:t>
      </w:r>
      <w:r w:rsidR="00185D64">
        <w:rPr>
          <w:szCs w:val="22"/>
        </w:rPr>
        <w:t>under s</w:t>
      </w:r>
      <w:r w:rsidRPr="00C93A78">
        <w:rPr>
          <w:szCs w:val="22"/>
        </w:rPr>
        <w:t>ection 90.621(b)(6)</w:t>
      </w:r>
      <w:r w:rsidR="00185D64">
        <w:rPr>
          <w:szCs w:val="22"/>
        </w:rPr>
        <w:t xml:space="preserve"> of the Commission’s </w:t>
      </w:r>
      <w:r w:rsidR="000C4EF8">
        <w:rPr>
          <w:szCs w:val="22"/>
        </w:rPr>
        <w:t>r</w:t>
      </w:r>
      <w:r w:rsidR="00185D64">
        <w:rPr>
          <w:szCs w:val="22"/>
        </w:rPr>
        <w:t>ules</w:t>
      </w:r>
      <w:r w:rsidR="00EA0533">
        <w:rPr>
          <w:szCs w:val="22"/>
        </w:rPr>
        <w:t>,</w:t>
      </w:r>
      <w:r w:rsidR="007230F8">
        <w:rPr>
          <w:szCs w:val="22"/>
        </w:rPr>
        <w:t xml:space="preserve"> provided that the modification </w:t>
      </w:r>
      <w:r w:rsidRPr="00C93A78">
        <w:rPr>
          <w:szCs w:val="22"/>
        </w:rPr>
        <w:t xml:space="preserve">does not extend </w:t>
      </w:r>
      <w:r w:rsidR="007230F8">
        <w:rPr>
          <w:szCs w:val="22"/>
        </w:rPr>
        <w:t>KN</w:t>
      </w:r>
      <w:r w:rsidR="00115333">
        <w:rPr>
          <w:szCs w:val="22"/>
        </w:rPr>
        <w:t>N</w:t>
      </w:r>
      <w:r w:rsidR="007230F8">
        <w:rPr>
          <w:szCs w:val="22"/>
        </w:rPr>
        <w:t>R</w:t>
      </w:r>
      <w:r w:rsidR="00115333">
        <w:rPr>
          <w:szCs w:val="22"/>
        </w:rPr>
        <w:t>200</w:t>
      </w:r>
      <w:r w:rsidR="00DE74D5">
        <w:rPr>
          <w:szCs w:val="22"/>
        </w:rPr>
        <w:t>’s</w:t>
      </w:r>
      <w:r w:rsidR="00115333">
        <w:rPr>
          <w:szCs w:val="22"/>
        </w:rPr>
        <w:t xml:space="preserve"> </w:t>
      </w:r>
      <w:r w:rsidRPr="00C93A78">
        <w:rPr>
          <w:szCs w:val="22"/>
        </w:rPr>
        <w:t>22 dBu contour beyond its maximum contour in the direction of the short-spaced station.</w:t>
      </w:r>
      <w:r>
        <w:rPr>
          <w:rStyle w:val="FootnoteReference"/>
          <w:szCs w:val="22"/>
        </w:rPr>
        <w:footnoteReference w:id="6"/>
      </w:r>
      <w:r w:rsidRPr="00C93A78">
        <w:rPr>
          <w:szCs w:val="22"/>
        </w:rPr>
        <w:t xml:space="preserve">  </w:t>
      </w:r>
    </w:p>
    <w:p w:rsidR="00795896" w:rsidRPr="00795896" w:rsidP="00292BA8" w14:paraId="47970E23" w14:textId="0DA3DF84">
      <w:pPr>
        <w:pStyle w:val="ParaNum"/>
        <w:jc w:val="left"/>
      </w:pPr>
      <w:r w:rsidRPr="00B32D9D">
        <w:rPr>
          <w:szCs w:val="22"/>
        </w:rPr>
        <w:t xml:space="preserve">Denver </w:t>
      </w:r>
      <w:r w:rsidRPr="00B32D9D" w:rsidR="00547451">
        <w:rPr>
          <w:szCs w:val="22"/>
        </w:rPr>
        <w:t xml:space="preserve">concedes </w:t>
      </w:r>
      <w:r w:rsidRPr="00B32D9D" w:rsidR="00C73D00">
        <w:rPr>
          <w:szCs w:val="22"/>
        </w:rPr>
        <w:t>that the proposed modification would extend KNNR200</w:t>
      </w:r>
      <w:r w:rsidRPr="00B32D9D" w:rsidR="00DE74D5">
        <w:rPr>
          <w:szCs w:val="22"/>
        </w:rPr>
        <w:t>’</w:t>
      </w:r>
      <w:r w:rsidRPr="00B32D9D" w:rsidR="00776A0C">
        <w:rPr>
          <w:szCs w:val="22"/>
        </w:rPr>
        <w:t>s</w:t>
      </w:r>
      <w:r w:rsidRPr="00B32D9D" w:rsidR="00DE74D5">
        <w:rPr>
          <w:szCs w:val="22"/>
        </w:rPr>
        <w:t xml:space="preserve"> 22 dBu contour </w:t>
      </w:r>
      <w:r w:rsidRPr="00B32D9D" w:rsidR="00110E61">
        <w:rPr>
          <w:szCs w:val="22"/>
        </w:rPr>
        <w:t xml:space="preserve">towards </w:t>
      </w:r>
      <w:r w:rsidR="00BC639F">
        <w:rPr>
          <w:szCs w:val="22"/>
        </w:rPr>
        <w:t xml:space="preserve">Iota station </w:t>
      </w:r>
      <w:r w:rsidRPr="00B32D9D" w:rsidR="00110E61">
        <w:rPr>
          <w:szCs w:val="22"/>
        </w:rPr>
        <w:t>WQWC417.</w:t>
      </w:r>
      <w:r>
        <w:rPr>
          <w:rStyle w:val="FootnoteReference"/>
          <w:szCs w:val="22"/>
        </w:rPr>
        <w:footnoteReference w:id="7"/>
      </w:r>
      <w:r w:rsidRPr="00B32D9D" w:rsidR="00110E61">
        <w:rPr>
          <w:szCs w:val="22"/>
        </w:rPr>
        <w:t xml:space="preserve">  However, Denver argues </w:t>
      </w:r>
      <w:r w:rsidRPr="00B32D9D" w:rsidR="0030648F">
        <w:rPr>
          <w:szCs w:val="22"/>
        </w:rPr>
        <w:t xml:space="preserve">that </w:t>
      </w:r>
      <w:r w:rsidRPr="00B32D9D" w:rsidR="00AB4DFD">
        <w:rPr>
          <w:szCs w:val="22"/>
        </w:rPr>
        <w:t xml:space="preserve">the increase is </w:t>
      </w:r>
      <w:r w:rsidRPr="00B32D9D" w:rsidR="00AB4DFD">
        <w:rPr>
          <w:i/>
          <w:iCs/>
          <w:szCs w:val="22"/>
        </w:rPr>
        <w:t xml:space="preserve">de minimis </w:t>
      </w:r>
      <w:r w:rsidRPr="00B32D9D" w:rsidR="0012442F">
        <w:rPr>
          <w:szCs w:val="22"/>
        </w:rPr>
        <w:t xml:space="preserve">and that </w:t>
      </w:r>
      <w:r w:rsidRPr="00B32D9D" w:rsidR="0012497F">
        <w:rPr>
          <w:szCs w:val="22"/>
        </w:rPr>
        <w:t xml:space="preserve">KNNR200’s new 22 dBu F(50,10) interference contour </w:t>
      </w:r>
      <w:r w:rsidRPr="00B32D9D" w:rsidR="00E20760">
        <w:rPr>
          <w:szCs w:val="22"/>
        </w:rPr>
        <w:t>does not overlap Iota’s 40 dBu F(50,50) service contour.</w:t>
      </w:r>
      <w:r>
        <w:rPr>
          <w:rStyle w:val="FootnoteReference"/>
          <w:szCs w:val="22"/>
        </w:rPr>
        <w:footnoteReference w:id="8"/>
      </w:r>
      <w:r w:rsidRPr="00B32D9D" w:rsidR="00E20760">
        <w:rPr>
          <w:szCs w:val="22"/>
        </w:rPr>
        <w:t xml:space="preserve">  </w:t>
      </w:r>
      <w:r w:rsidRPr="00B32D9D" w:rsidR="007A7739">
        <w:rPr>
          <w:szCs w:val="22"/>
        </w:rPr>
        <w:t>Denver further submits an engineering study to support that proposition.</w:t>
      </w:r>
      <w:r>
        <w:rPr>
          <w:rStyle w:val="FootnoteReference"/>
          <w:szCs w:val="22"/>
        </w:rPr>
        <w:footnoteReference w:id="9"/>
      </w:r>
      <w:r w:rsidR="00144670">
        <w:rPr>
          <w:szCs w:val="22"/>
        </w:rPr>
        <w:t xml:space="preserve">  </w:t>
      </w:r>
      <w:r w:rsidRPr="00144670" w:rsidR="00144670">
        <w:rPr>
          <w:szCs w:val="22"/>
        </w:rPr>
        <w:t xml:space="preserve">Denver </w:t>
      </w:r>
      <w:r w:rsidR="00144670">
        <w:rPr>
          <w:szCs w:val="22"/>
        </w:rPr>
        <w:t xml:space="preserve">did not submit a letter of concurrence from Iota, but </w:t>
      </w:r>
      <w:r w:rsidRPr="00144670" w:rsidR="00144670">
        <w:rPr>
          <w:szCs w:val="22"/>
        </w:rPr>
        <w:t xml:space="preserve">contends that a letter of concurrence is only needed if the </w:t>
      </w:r>
      <w:r w:rsidRPr="00144670" w:rsidR="00144670">
        <w:rPr>
          <w:szCs w:val="22"/>
        </w:rPr>
        <w:t>other station is constructed.</w:t>
      </w:r>
      <w:r>
        <w:rPr>
          <w:rStyle w:val="FootnoteReference"/>
          <w:szCs w:val="22"/>
        </w:rPr>
        <w:footnoteReference w:id="10"/>
      </w:r>
      <w:r w:rsidRPr="00144670" w:rsidR="00144670">
        <w:rPr>
          <w:szCs w:val="22"/>
        </w:rPr>
        <w:t xml:space="preserve">  Denver cannot ascertain if Iota has constructed</w:t>
      </w:r>
      <w:r w:rsidR="00144670">
        <w:rPr>
          <w:szCs w:val="22"/>
        </w:rPr>
        <w:t xml:space="preserve">, but </w:t>
      </w:r>
      <w:r w:rsidRPr="00144670" w:rsidR="00144670">
        <w:rPr>
          <w:szCs w:val="22"/>
        </w:rPr>
        <w:t>did serve Iota with a copy of the Waiver Request.</w:t>
      </w:r>
      <w:r>
        <w:rPr>
          <w:rStyle w:val="FootnoteReference"/>
          <w:szCs w:val="22"/>
        </w:rPr>
        <w:footnoteReference w:id="11"/>
      </w:r>
      <w:r w:rsidRPr="00144670" w:rsidR="00144670">
        <w:rPr>
          <w:szCs w:val="22"/>
        </w:rPr>
        <w:t xml:space="preserve">  </w:t>
      </w:r>
    </w:p>
    <w:p w:rsidR="00E068DB" w:rsidRPr="00E068DB" w:rsidP="00530915" w14:paraId="0906360D" w14:textId="77777777">
      <w:pPr>
        <w:pStyle w:val="Heading1"/>
      </w:pPr>
      <w:r>
        <w:t>Discussion</w:t>
      </w:r>
      <w:r w:rsidRPr="00E068DB" w:rsidR="006E4A75">
        <w:t xml:space="preserve">  </w:t>
      </w:r>
    </w:p>
    <w:p w:rsidR="006E4A75" w:rsidP="00292BA8" w14:paraId="4E544253" w14:textId="2021DE95">
      <w:pPr>
        <w:pStyle w:val="ParaNum"/>
        <w:jc w:val="left"/>
      </w:pPr>
      <w:r w:rsidRPr="003B7EE1">
        <w:t xml:space="preserve">To obtain a waiver of the Commission's </w:t>
      </w:r>
      <w:r w:rsidR="009635E3">
        <w:t>r</w:t>
      </w:r>
      <w:r w:rsidRPr="003B7EE1">
        <w:t>ules, a petitioner</w:t>
      </w:r>
      <w:r>
        <w:t xml:space="preserve"> must demonstrate either that:  </w:t>
      </w:r>
      <w:r w:rsidRPr="003B7EE1">
        <w:t>(</w:t>
      </w:r>
      <w:r w:rsidRPr="003B7EE1">
        <w:t>i</w:t>
      </w:r>
      <w:r w:rsidRPr="003B7EE1">
        <w:t>) the underlying purpose of the rule(s) would not be served or would be frustrated by application to the present case, and that a grant of the waiver would be in the public interest;</w:t>
      </w:r>
      <w:r>
        <w:rPr>
          <w:rStyle w:val="FootnoteReference"/>
          <w:szCs w:val="22"/>
        </w:rPr>
        <w:footnoteReference w:id="12"/>
      </w:r>
      <w:r w:rsidRPr="003B7EE1">
        <w:t xml:space="preserve"> or (ii)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13"/>
      </w:r>
      <w:r w:rsidR="001F7726">
        <w:t xml:space="preserve">  An applicant seeking a waiver faces a high hurdle and must plead with particularity the facts and circumstances that warrant a waiver.</w:t>
      </w:r>
      <w:r>
        <w:rPr>
          <w:rStyle w:val="FootnoteReference"/>
        </w:rPr>
        <w:footnoteReference w:id="14"/>
      </w:r>
      <w:r w:rsidR="001F7726">
        <w:t xml:space="preserve">  </w:t>
      </w:r>
    </w:p>
    <w:p w:rsidR="0004135B" w:rsidRPr="0004135B" w:rsidP="0004163D" w14:paraId="3CBB791C" w14:textId="74ED4F63">
      <w:pPr>
        <w:pStyle w:val="ParaNum"/>
        <w:jc w:val="left"/>
      </w:pPr>
      <w:r w:rsidRPr="00A91430">
        <w:rPr>
          <w:szCs w:val="22"/>
        </w:rPr>
        <w:t xml:space="preserve">The underlying </w:t>
      </w:r>
      <w:r w:rsidRPr="00A91430" w:rsidR="00813FC2">
        <w:rPr>
          <w:szCs w:val="22"/>
        </w:rPr>
        <w:t>purpose of s</w:t>
      </w:r>
      <w:r w:rsidRPr="00A91430" w:rsidR="008618F6">
        <w:rPr>
          <w:szCs w:val="22"/>
        </w:rPr>
        <w:t>ection 90.621</w:t>
      </w:r>
      <w:r w:rsidRPr="00A91430" w:rsidR="00811D9A">
        <w:rPr>
          <w:szCs w:val="22"/>
        </w:rPr>
        <w:t>(b)</w:t>
      </w:r>
      <w:r w:rsidRPr="00A91430" w:rsidR="008618F6">
        <w:rPr>
          <w:szCs w:val="22"/>
        </w:rPr>
        <w:t>(</w:t>
      </w:r>
      <w:r w:rsidRPr="00A91430" w:rsidR="004A716E">
        <w:rPr>
          <w:szCs w:val="22"/>
        </w:rPr>
        <w:t>6</w:t>
      </w:r>
      <w:r w:rsidRPr="00A91430" w:rsidR="008618F6">
        <w:rPr>
          <w:szCs w:val="22"/>
        </w:rPr>
        <w:t xml:space="preserve">) </w:t>
      </w:r>
      <w:r w:rsidRPr="00A91430" w:rsidR="00AC09F3">
        <w:rPr>
          <w:szCs w:val="22"/>
        </w:rPr>
        <w:t>is to protect the interference rights of both an incumbent licensee and a licensee authorized to operate within the minimum separation distance allowed, while allowing the incumbent to modify its station operations.</w:t>
      </w:r>
      <w:r>
        <w:rPr>
          <w:rStyle w:val="FootnoteReference"/>
          <w:szCs w:val="22"/>
        </w:rPr>
        <w:footnoteReference w:id="15"/>
      </w:r>
      <w:r w:rsidRPr="00A91430" w:rsidR="00AC09F3">
        <w:rPr>
          <w:szCs w:val="22"/>
        </w:rPr>
        <w:t xml:space="preserve">  </w:t>
      </w:r>
      <w:r w:rsidRPr="00A91430" w:rsidR="00661899">
        <w:rPr>
          <w:szCs w:val="22"/>
        </w:rPr>
        <w:t xml:space="preserve">Denver’s </w:t>
      </w:r>
      <w:r w:rsidR="00CB20D3">
        <w:rPr>
          <w:szCs w:val="22"/>
        </w:rPr>
        <w:t xml:space="preserve">engineering analysis confirms that its </w:t>
      </w:r>
      <w:r w:rsidRPr="00A91430" w:rsidR="00661899">
        <w:rPr>
          <w:szCs w:val="22"/>
        </w:rPr>
        <w:t xml:space="preserve">proposed modification </w:t>
      </w:r>
      <w:r w:rsidR="00CB20D3">
        <w:rPr>
          <w:szCs w:val="22"/>
        </w:rPr>
        <w:t>does not</w:t>
      </w:r>
      <w:r w:rsidRPr="00A91430" w:rsidR="00661899">
        <w:rPr>
          <w:szCs w:val="22"/>
        </w:rPr>
        <w:t xml:space="preserve"> frustrate the purpose of that rule.</w:t>
      </w:r>
      <w:r w:rsidRPr="00A91430" w:rsidR="008B3D7B">
        <w:rPr>
          <w:szCs w:val="22"/>
        </w:rPr>
        <w:t xml:space="preserve">  </w:t>
      </w:r>
      <w:r w:rsidR="00CB20D3">
        <w:rPr>
          <w:szCs w:val="22"/>
        </w:rPr>
        <w:t xml:space="preserve">As such, </w:t>
      </w:r>
      <w:r w:rsidR="002C0794">
        <w:t xml:space="preserve">we </w:t>
      </w:r>
      <w:r w:rsidR="001E3804">
        <w:t>grant</w:t>
      </w:r>
      <w:r>
        <w:t xml:space="preserve"> </w:t>
      </w:r>
      <w:r w:rsidR="002C0794">
        <w:t>its</w:t>
      </w:r>
      <w:r>
        <w:t xml:space="preserve"> request for waiver of </w:t>
      </w:r>
      <w:r w:rsidR="00382750">
        <w:t>s</w:t>
      </w:r>
      <w:r>
        <w:t>ection 90.621(b)(</w:t>
      </w:r>
      <w:r w:rsidR="001E3804">
        <w:t>6</w:t>
      </w:r>
      <w:r>
        <w:t>) of the Commission’s rules</w:t>
      </w:r>
      <w:r w:rsidR="001E3804">
        <w:t>.</w:t>
      </w:r>
    </w:p>
    <w:p w:rsidR="00E068DB" w:rsidP="00530915" w14:paraId="7F2203B4" w14:textId="77777777">
      <w:pPr>
        <w:pStyle w:val="Heading1"/>
      </w:pPr>
      <w:r>
        <w:t>Ordering Clause</w:t>
      </w:r>
      <w:r w:rsidR="00023DBF">
        <w:t>S</w:t>
      </w:r>
    </w:p>
    <w:p w:rsidR="00715D98" w:rsidRPr="003B7EE1" w:rsidP="00C958B4" w14:paraId="56F51D1B" w14:textId="2AF2E98A">
      <w:pPr>
        <w:pStyle w:val="ParaNum"/>
        <w:widowControl/>
        <w:jc w:val="left"/>
      </w:pPr>
      <w:r>
        <w:t>Accordingly, IT IS ORDERED,</w:t>
      </w:r>
      <w:r w:rsidRPr="00F715B7">
        <w:t xml:space="preserve"> </w:t>
      </w:r>
      <w:r w:rsidRPr="00156EFD">
        <w:t>pursuant to Section 4(</w:t>
      </w:r>
      <w:r w:rsidRPr="00156EFD">
        <w:t>i</w:t>
      </w:r>
      <w:r w:rsidRPr="00156EFD">
        <w:t>) of the Communications Act of 1934, as amended, 47 U.S.C. § 154(</w:t>
      </w:r>
      <w:r w:rsidRPr="00156EFD">
        <w:t>i</w:t>
      </w:r>
      <w:r w:rsidRPr="00156EFD">
        <w:t xml:space="preserve">), and </w:t>
      </w:r>
      <w:r w:rsidR="00382750">
        <w:t>s</w:t>
      </w:r>
      <w:r w:rsidRPr="00156EFD">
        <w:t xml:space="preserve">ection </w:t>
      </w:r>
      <w:r>
        <w:t>1.925</w:t>
      </w:r>
      <w:r w:rsidRPr="00156EFD">
        <w:t xml:space="preserve"> of the </w:t>
      </w:r>
      <w:r>
        <w:t>Commission’s rules</w:t>
      </w:r>
      <w:r w:rsidRPr="00156EFD">
        <w:t xml:space="preserve">, 47 </w:t>
      </w:r>
      <w:r w:rsidR="00382750">
        <w:t>CFR</w:t>
      </w:r>
      <w:r w:rsidRPr="00156EFD">
        <w:t xml:space="preserve"> § 1.</w:t>
      </w:r>
      <w:r>
        <w:t>925</w:t>
      </w:r>
      <w:r w:rsidRPr="00156EFD">
        <w:t>, the</w:t>
      </w:r>
      <w:r w:rsidR="0004135B">
        <w:t xml:space="preserve"> r</w:t>
      </w:r>
      <w:r>
        <w:t>equest</w:t>
      </w:r>
      <w:r w:rsidR="0004135B">
        <w:t xml:space="preserve"> for w</w:t>
      </w:r>
      <w:r>
        <w:t>aiver</w:t>
      </w:r>
      <w:r w:rsidRPr="00156EFD">
        <w:t xml:space="preserve"> </w:t>
      </w:r>
      <w:r w:rsidR="00080FA8">
        <w:t xml:space="preserve">of </w:t>
      </w:r>
      <w:r w:rsidR="00382750">
        <w:t>s</w:t>
      </w:r>
      <w:r w:rsidR="00080FA8">
        <w:t>ection 90.621(b)(</w:t>
      </w:r>
      <w:r w:rsidR="005C180D">
        <w:t>6</w:t>
      </w:r>
      <w:r w:rsidR="00080FA8">
        <w:t xml:space="preserve">) of the Commission’s rules </w:t>
      </w:r>
      <w:r>
        <w:t xml:space="preserve">filed by </w:t>
      </w:r>
      <w:r w:rsidR="00382750">
        <w:t xml:space="preserve">the City and County of </w:t>
      </w:r>
      <w:r w:rsidR="00237BA9">
        <w:t>Denver</w:t>
      </w:r>
      <w:r>
        <w:t xml:space="preserve">, </w:t>
      </w:r>
      <w:r w:rsidR="00382750">
        <w:t xml:space="preserve">Colorado </w:t>
      </w:r>
      <w:r>
        <w:t xml:space="preserve">on </w:t>
      </w:r>
      <w:r w:rsidR="00235D63">
        <w:t>April</w:t>
      </w:r>
      <w:r w:rsidRPr="003B7EE1" w:rsidR="007C602F">
        <w:t xml:space="preserve"> </w:t>
      </w:r>
      <w:r w:rsidR="00235D63">
        <w:t>1</w:t>
      </w:r>
      <w:r w:rsidR="007C602F">
        <w:t>3</w:t>
      </w:r>
      <w:r w:rsidRPr="003B7EE1" w:rsidR="007C602F">
        <w:t>, 20</w:t>
      </w:r>
      <w:r w:rsidR="00235D63">
        <w:t>20</w:t>
      </w:r>
      <w:r w:rsidR="007C602F">
        <w:t>,</w:t>
      </w:r>
      <w:r w:rsidRPr="003B7EE1">
        <w:t xml:space="preserve"> </w:t>
      </w:r>
      <w:r w:rsidR="00811D9A">
        <w:t xml:space="preserve">IS </w:t>
      </w:r>
      <w:r w:rsidR="00235D63">
        <w:t>GRANTED</w:t>
      </w:r>
      <w:r w:rsidR="00080FA8">
        <w:t>.</w:t>
      </w:r>
    </w:p>
    <w:p w:rsidR="00032207" w:rsidP="007F1B54" w14:paraId="146A7372" w14:textId="44520A54">
      <w:pPr>
        <w:pStyle w:val="ParaNum"/>
        <w:widowControl/>
        <w:jc w:val="left"/>
      </w:pPr>
      <w:r w:rsidRPr="003B7EE1">
        <w:t>IT IS FURTHER ORDERED</w:t>
      </w:r>
      <w:r w:rsidR="007C602F">
        <w:t xml:space="preserve"> that application FCC File No. </w:t>
      </w:r>
      <w:r w:rsidR="007C602F">
        <w:rPr>
          <w:szCs w:val="22"/>
        </w:rPr>
        <w:t>0</w:t>
      </w:r>
      <w:r w:rsidRPr="003B7EE1" w:rsidR="007C602F">
        <w:rPr>
          <w:szCs w:val="22"/>
        </w:rPr>
        <w:t>00</w:t>
      </w:r>
      <w:r w:rsidR="00BA441F">
        <w:rPr>
          <w:szCs w:val="22"/>
        </w:rPr>
        <w:t>9039161</w:t>
      </w:r>
      <w:r w:rsidRPr="003B7EE1">
        <w:t xml:space="preserve"> SHALL BE</w:t>
      </w:r>
      <w:r>
        <w:t xml:space="preserve"> </w:t>
      </w:r>
      <w:r w:rsidR="00BA441F">
        <w:t>PROCESSED</w:t>
      </w:r>
      <w:r w:rsidRPr="003B7EE1">
        <w:t xml:space="preserve"> in accordance with this decision.  </w:t>
      </w:r>
    </w:p>
    <w:p w:rsidR="00715D98" w:rsidP="00292BA8" w14:paraId="52DB9FB3" w14:textId="2E58CD58">
      <w:pPr>
        <w:pStyle w:val="ParaNum"/>
        <w:widowControl/>
        <w:tabs>
          <w:tab w:val="num" w:pos="3600"/>
        </w:tabs>
        <w:jc w:val="left"/>
      </w:pPr>
      <w:r>
        <w:t xml:space="preserve">This action is taken under delegated authority pursuant to Sections 0.191 and 0.392 of the Commission's rules, 47 </w:t>
      </w:r>
      <w:r w:rsidR="00382750">
        <w:t>CFR</w:t>
      </w:r>
      <w:r>
        <w:t xml:space="preserve"> §§ 0.191, 0.392.</w:t>
      </w:r>
    </w:p>
    <w:p w:rsidR="001839B8" w:rsidP="00530915" w14:paraId="4E8A7436" w14:textId="77777777">
      <w:pPr>
        <w:tabs>
          <w:tab w:val="left" w:pos="-720"/>
        </w:tabs>
        <w:suppressAutoHyphens/>
        <w:spacing w:line="227" w:lineRule="auto"/>
        <w:jc w:val="both"/>
        <w:rPr>
          <w:spacing w:val="-2"/>
        </w:rPr>
      </w:pPr>
      <w:r>
        <w:rPr>
          <w:spacing w:val="-2"/>
        </w:rPr>
        <w:tab/>
      </w:r>
      <w:r>
        <w:rPr>
          <w:spacing w:val="-2"/>
        </w:rPr>
        <w:tab/>
      </w:r>
      <w:r>
        <w:rPr>
          <w:spacing w:val="-2"/>
        </w:rPr>
        <w:tab/>
      </w:r>
      <w:r>
        <w:rPr>
          <w:spacing w:val="-2"/>
        </w:rPr>
        <w:tab/>
      </w:r>
      <w:r>
        <w:rPr>
          <w:spacing w:val="-2"/>
        </w:rPr>
        <w:tab/>
      </w:r>
    </w:p>
    <w:p w:rsidR="00715D98" w:rsidP="00530915" w14:paraId="309921D2" w14:textId="77777777">
      <w:pPr>
        <w:tabs>
          <w:tab w:val="left" w:pos="-720"/>
        </w:tabs>
        <w:suppressAutoHyphens/>
        <w:spacing w:line="227" w:lineRule="auto"/>
        <w:jc w:val="both"/>
        <w:rPr>
          <w:spacing w:val="-2"/>
        </w:rPr>
      </w:pPr>
      <w:r>
        <w:rPr>
          <w:spacing w:val="-2"/>
        </w:rPr>
        <w:tab/>
      </w:r>
      <w:r>
        <w:rPr>
          <w:spacing w:val="-2"/>
        </w:rPr>
        <w:tab/>
      </w:r>
      <w:r>
        <w:rPr>
          <w:spacing w:val="-2"/>
        </w:rPr>
        <w:tab/>
      </w:r>
      <w:r>
        <w:rPr>
          <w:spacing w:val="-2"/>
        </w:rPr>
        <w:tab/>
      </w:r>
      <w:r>
        <w:rPr>
          <w:spacing w:val="-2"/>
        </w:rPr>
        <w:tab/>
      </w:r>
      <w:r w:rsidR="007C602F">
        <w:rPr>
          <w:spacing w:val="-2"/>
        </w:rPr>
        <w:tab/>
      </w:r>
      <w:r>
        <w:rPr>
          <w:spacing w:val="-2"/>
        </w:rPr>
        <w:t xml:space="preserve">FEDERAL COMMUNICATIONS COMMISSION </w:t>
      </w:r>
    </w:p>
    <w:p w:rsidR="00715D98" w:rsidP="00530915" w14:paraId="7DB345D5" w14:textId="77777777">
      <w:pPr>
        <w:tabs>
          <w:tab w:val="left" w:pos="-720"/>
        </w:tabs>
        <w:suppressAutoHyphens/>
        <w:spacing w:line="227" w:lineRule="auto"/>
        <w:jc w:val="both"/>
        <w:rPr>
          <w:spacing w:val="-2"/>
        </w:rPr>
      </w:pPr>
    </w:p>
    <w:p w:rsidR="00715D98" w:rsidP="00530915" w14:paraId="618B06B2" w14:textId="77777777">
      <w:pPr>
        <w:tabs>
          <w:tab w:val="left" w:pos="-720"/>
        </w:tabs>
        <w:suppressAutoHyphens/>
        <w:spacing w:line="227" w:lineRule="auto"/>
        <w:jc w:val="both"/>
        <w:rPr>
          <w:spacing w:val="-2"/>
        </w:rPr>
      </w:pPr>
    </w:p>
    <w:p w:rsidR="00715D98" w:rsidP="00530915" w14:paraId="2D8CC07E" w14:textId="77777777">
      <w:pPr>
        <w:tabs>
          <w:tab w:val="left" w:pos="-720"/>
        </w:tabs>
        <w:suppressAutoHyphens/>
        <w:spacing w:line="227" w:lineRule="auto"/>
        <w:jc w:val="both"/>
        <w:rPr>
          <w:spacing w:val="-2"/>
        </w:rPr>
      </w:pPr>
    </w:p>
    <w:p w:rsidR="001C623C" w:rsidP="00530915" w14:paraId="0BC175D9" w14:textId="77777777">
      <w:pPr>
        <w:tabs>
          <w:tab w:val="left" w:pos="-720"/>
        </w:tabs>
        <w:suppressAutoHyphens/>
        <w:spacing w:line="227" w:lineRule="auto"/>
        <w:jc w:val="both"/>
        <w:rPr>
          <w:spacing w:val="-2"/>
        </w:rPr>
      </w:pPr>
    </w:p>
    <w:p w:rsidR="00715D98" w:rsidP="00530915" w14:paraId="17D2B1AB" w14:textId="06118E47">
      <w:pPr>
        <w:tabs>
          <w:tab w:val="left" w:pos="-720"/>
        </w:tabs>
        <w:suppressAutoHyphens/>
        <w:spacing w:line="227" w:lineRule="auto"/>
        <w:jc w:val="both"/>
        <w:rPr>
          <w:spacing w:val="-2"/>
        </w:rPr>
      </w:pPr>
      <w:r>
        <w:rPr>
          <w:spacing w:val="-2"/>
        </w:rPr>
        <w:tab/>
      </w:r>
      <w:r>
        <w:rPr>
          <w:spacing w:val="-2"/>
        </w:rPr>
        <w:tab/>
      </w:r>
      <w:r>
        <w:rPr>
          <w:spacing w:val="-2"/>
        </w:rPr>
        <w:tab/>
      </w:r>
      <w:r>
        <w:rPr>
          <w:spacing w:val="-2"/>
        </w:rPr>
        <w:tab/>
      </w:r>
      <w:r>
        <w:rPr>
          <w:spacing w:val="-2"/>
        </w:rPr>
        <w:tab/>
      </w:r>
      <w:r w:rsidR="007C602F">
        <w:rPr>
          <w:spacing w:val="-2"/>
        </w:rPr>
        <w:tab/>
      </w:r>
      <w:r w:rsidR="00144670">
        <w:rPr>
          <w:spacing w:val="-2"/>
        </w:rPr>
        <w:t>John A. Evanoff</w:t>
      </w:r>
      <w:r w:rsidR="00E068DB">
        <w:rPr>
          <w:spacing w:val="-2"/>
        </w:rPr>
        <w:t xml:space="preserve"> </w:t>
      </w:r>
    </w:p>
    <w:p w:rsidR="00715D98" w:rsidP="00530915" w14:paraId="08F6AA91" w14:textId="7E42012B">
      <w:pPr>
        <w:tabs>
          <w:tab w:val="left" w:pos="-720"/>
        </w:tabs>
        <w:suppressAutoHyphens/>
        <w:spacing w:line="227" w:lineRule="auto"/>
        <w:jc w:val="both"/>
        <w:rPr>
          <w:spacing w:val="-2"/>
        </w:rPr>
      </w:pPr>
      <w:r>
        <w:rPr>
          <w:spacing w:val="-2"/>
        </w:rPr>
        <w:tab/>
      </w:r>
      <w:r>
        <w:rPr>
          <w:spacing w:val="-2"/>
        </w:rPr>
        <w:tab/>
      </w:r>
      <w:r>
        <w:rPr>
          <w:spacing w:val="-2"/>
        </w:rPr>
        <w:tab/>
      </w:r>
      <w:r>
        <w:rPr>
          <w:spacing w:val="-2"/>
        </w:rPr>
        <w:tab/>
      </w:r>
      <w:r>
        <w:rPr>
          <w:spacing w:val="-2"/>
        </w:rPr>
        <w:tab/>
      </w:r>
      <w:r w:rsidR="007C602F">
        <w:rPr>
          <w:spacing w:val="-2"/>
        </w:rPr>
        <w:tab/>
      </w:r>
      <w:r>
        <w:rPr>
          <w:spacing w:val="-2"/>
        </w:rPr>
        <w:t>Chief, P</w:t>
      </w:r>
      <w:r w:rsidR="001C623C">
        <w:rPr>
          <w:spacing w:val="-2"/>
        </w:rPr>
        <w:t xml:space="preserve">olicy </w:t>
      </w:r>
      <w:r w:rsidR="00BA441F">
        <w:rPr>
          <w:spacing w:val="-2"/>
        </w:rPr>
        <w:t xml:space="preserve">and Licensing </w:t>
      </w:r>
      <w:r w:rsidR="001C623C">
        <w:rPr>
          <w:spacing w:val="-2"/>
        </w:rPr>
        <w:t xml:space="preserve">Division </w:t>
      </w:r>
    </w:p>
    <w:p w:rsidR="00715D98" w:rsidP="009C3158" w14:paraId="0DC59D77" w14:textId="143AEB7F">
      <w:pPr>
        <w:tabs>
          <w:tab w:val="left" w:pos="-720"/>
        </w:tabs>
        <w:suppressAutoHyphens/>
        <w:spacing w:line="227" w:lineRule="auto"/>
        <w:jc w:val="both"/>
      </w:pPr>
      <w:r>
        <w:rPr>
          <w:spacing w:val="-2"/>
        </w:rPr>
        <w:tab/>
      </w:r>
      <w:r>
        <w:rPr>
          <w:spacing w:val="-2"/>
        </w:rPr>
        <w:tab/>
      </w:r>
      <w:r>
        <w:rPr>
          <w:spacing w:val="-2"/>
        </w:rPr>
        <w:tab/>
      </w:r>
      <w:r>
        <w:rPr>
          <w:spacing w:val="-2"/>
        </w:rPr>
        <w:tab/>
      </w:r>
      <w:r>
        <w:rPr>
          <w:spacing w:val="-2"/>
        </w:rPr>
        <w:tab/>
      </w:r>
      <w:r w:rsidR="007C602F">
        <w:rPr>
          <w:spacing w:val="-2"/>
        </w:rPr>
        <w:tab/>
      </w:r>
      <w:r w:rsidR="001C623C">
        <w:rPr>
          <w:spacing w:val="-2"/>
        </w:rPr>
        <w:t xml:space="preserve">Public Safety and Homeland Security </w:t>
      </w:r>
      <w:r>
        <w:rPr>
          <w:spacing w:val="-2"/>
        </w:rPr>
        <w:t>Bureau</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5C2" w14:paraId="2E70094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629C" w14:paraId="4D53A219" w14:textId="77777777">
      <w:pPr>
        <w:rPr>
          <w:sz w:val="20"/>
        </w:rPr>
      </w:pPr>
      <w:r>
        <w:separator/>
      </w:r>
    </w:p>
  </w:footnote>
  <w:footnote w:type="continuationSeparator" w:id="1">
    <w:p w:rsidR="00C0629C" w14:paraId="3A30F7BA" w14:textId="77777777">
      <w:pPr>
        <w:rPr>
          <w:sz w:val="20"/>
        </w:rPr>
      </w:pPr>
      <w:r>
        <w:rPr>
          <w:sz w:val="20"/>
        </w:rPr>
        <w:separator/>
      </w:r>
    </w:p>
    <w:p w:rsidR="00C0629C" w14:paraId="039C64C1" w14:textId="77777777">
      <w:pPr>
        <w:rPr>
          <w:sz w:val="20"/>
        </w:rPr>
      </w:pPr>
      <w:r>
        <w:rPr>
          <w:sz w:val="20"/>
        </w:rPr>
        <w:t>(...continued from previous page)</w:t>
      </w:r>
    </w:p>
  </w:footnote>
  <w:footnote w:type="continuationNotice" w:id="2">
    <w:p w:rsidR="00C0629C" w14:paraId="0D78052C" w14:textId="77777777">
      <w:pPr>
        <w:jc w:val="right"/>
        <w:rPr>
          <w:sz w:val="20"/>
        </w:rPr>
      </w:pPr>
      <w:r>
        <w:rPr>
          <w:sz w:val="20"/>
        </w:rPr>
        <w:t>(continued....)</w:t>
      </w:r>
    </w:p>
  </w:footnote>
  <w:footnote w:id="3">
    <w:p w:rsidR="00A735C2" w:rsidRPr="00C001C9" w:rsidP="007F1B54" w14:paraId="4268CB3F" w14:textId="0845E90D">
      <w:pPr>
        <w:pStyle w:val="FootnoteText"/>
        <w:jc w:val="left"/>
      </w:pPr>
      <w:r w:rsidRPr="003B7EE1">
        <w:rPr>
          <w:rStyle w:val="FootnoteReference"/>
          <w:sz w:val="22"/>
          <w:szCs w:val="22"/>
        </w:rPr>
        <w:footnoteRef/>
      </w:r>
      <w:r>
        <w:rPr>
          <w:sz w:val="22"/>
          <w:szCs w:val="22"/>
        </w:rPr>
        <w:t xml:space="preserve"> </w:t>
      </w:r>
      <w:r w:rsidR="00237BA9">
        <w:t>Denver</w:t>
      </w:r>
      <w:r w:rsidRPr="00C001C9">
        <w:t xml:space="preserve"> seeks </w:t>
      </w:r>
      <w:r w:rsidR="001466B9">
        <w:t xml:space="preserve">to modify </w:t>
      </w:r>
      <w:r w:rsidR="00EF22F1">
        <w:t xml:space="preserve">its authorization by </w:t>
      </w:r>
      <w:r w:rsidR="008B7AA8">
        <w:t>raising its an</w:t>
      </w:r>
      <w:r w:rsidR="005C5325">
        <w:t>tenna 6.5 meters at Site 1</w:t>
      </w:r>
      <w:r w:rsidRPr="00C001C9">
        <w:t xml:space="preserve">.  </w:t>
      </w:r>
      <w:r w:rsidRPr="00C001C9">
        <w:rPr>
          <w:i/>
        </w:rPr>
        <w:t>See</w:t>
      </w:r>
      <w:r>
        <w:t xml:space="preserve"> FCC File No. </w:t>
      </w:r>
      <w:r w:rsidR="00D80CB1">
        <w:t>0009039161</w:t>
      </w:r>
      <w:r>
        <w:t xml:space="preserve"> (filed </w:t>
      </w:r>
      <w:r w:rsidR="00D80CB1">
        <w:t>Apr</w:t>
      </w:r>
      <w:r>
        <w:t xml:space="preserve">. </w:t>
      </w:r>
      <w:r w:rsidR="00986EB1">
        <w:t>1</w:t>
      </w:r>
      <w:r>
        <w:t>3</w:t>
      </w:r>
      <w:r w:rsidRPr="00C001C9">
        <w:t>, 20</w:t>
      </w:r>
      <w:r w:rsidR="00986EB1">
        <w:t>2</w:t>
      </w:r>
      <w:r w:rsidRPr="00C001C9">
        <w:t xml:space="preserve">0).  </w:t>
      </w:r>
      <w:r w:rsidR="002C0794">
        <w:t>See 47 CFR § 90.621(b)(6).</w:t>
      </w:r>
      <w:r w:rsidR="00CB20D3">
        <w:t xml:space="preserve"> </w:t>
      </w:r>
      <w:r w:rsidR="002C0794">
        <w:t xml:space="preserve"> </w:t>
      </w:r>
      <w:r w:rsidRPr="00192B3B" w:rsidR="002C0794">
        <w:rPr>
          <w:i/>
        </w:rPr>
        <w:t>See</w:t>
      </w:r>
      <w:r w:rsidR="002C0794">
        <w:t xml:space="preserve"> attachment to FCC File No. 0009039161 (Waiver Request).</w:t>
      </w:r>
    </w:p>
  </w:footnote>
  <w:footnote w:id="4">
    <w:p w:rsidR="00A735C2" w:rsidP="007F1B54" w14:paraId="668D2BDF" w14:textId="76EEDB15">
      <w:pPr>
        <w:pStyle w:val="FootnoteText"/>
        <w:jc w:val="left"/>
      </w:pPr>
      <w:bookmarkStart w:id="0" w:name="_Hlk72822827"/>
      <w:r>
        <w:rPr>
          <w:rStyle w:val="FootnoteReference"/>
        </w:rPr>
        <w:footnoteRef/>
      </w:r>
      <w:r>
        <w:t xml:space="preserve"> </w:t>
      </w:r>
      <w:r w:rsidR="00CB20D3">
        <w:t>W</w:t>
      </w:r>
      <w:r>
        <w:t>aiver Request</w:t>
      </w:r>
      <w:r w:rsidR="00CB20D3">
        <w:t xml:space="preserve"> </w:t>
      </w:r>
      <w:r w:rsidR="00E23E64">
        <w:t>at 1.</w:t>
      </w:r>
    </w:p>
    <w:bookmarkEnd w:id="0"/>
  </w:footnote>
  <w:footnote w:id="5">
    <w:p w:rsidR="003E2A89" w:rsidRPr="003E2A89" w14:paraId="60FD24E8" w14:textId="2A8B387A">
      <w:pPr>
        <w:pStyle w:val="FootnoteText"/>
        <w:rPr>
          <w:i/>
          <w:iCs/>
        </w:rPr>
      </w:pPr>
      <w:r>
        <w:rPr>
          <w:rStyle w:val="FootnoteReference"/>
        </w:rPr>
        <w:footnoteRef/>
      </w:r>
      <w:r>
        <w:t xml:space="preserve"> </w:t>
      </w:r>
      <w:r>
        <w:rPr>
          <w:i/>
          <w:iCs/>
        </w:rPr>
        <w:t>Id.</w:t>
      </w:r>
    </w:p>
  </w:footnote>
  <w:footnote w:id="6">
    <w:p w:rsidR="00BC639F" w14:paraId="2C4B9717" w14:textId="051983A2">
      <w:pPr>
        <w:pStyle w:val="FootnoteText"/>
      </w:pPr>
      <w:r>
        <w:rPr>
          <w:rStyle w:val="FootnoteReference"/>
        </w:rPr>
        <w:footnoteRef/>
      </w:r>
      <w:r w:rsidRPr="002C0794">
        <w:rPr>
          <w:i/>
          <w:iCs/>
        </w:rPr>
        <w:t xml:space="preserve"> See</w:t>
      </w:r>
      <w:r w:rsidRPr="00BC639F">
        <w:t xml:space="preserve"> 47 CFR § 90.621(b)(6).  </w:t>
      </w:r>
      <w:r>
        <w:t xml:space="preserve">The </w:t>
      </w:r>
      <w:r w:rsidRPr="00C93A78">
        <w:rPr>
          <w:szCs w:val="22"/>
        </w:rPr>
        <w:t xml:space="preserve">22 dBu contour </w:t>
      </w:r>
      <w:r>
        <w:rPr>
          <w:szCs w:val="22"/>
        </w:rPr>
        <w:t xml:space="preserve">is </w:t>
      </w:r>
      <w:r w:rsidRPr="00C93A78">
        <w:rPr>
          <w:szCs w:val="22"/>
        </w:rPr>
        <w:t>calculated using the station's maximum power and antenna height at its original location</w:t>
      </w:r>
      <w:r>
        <w:rPr>
          <w:szCs w:val="22"/>
        </w:rPr>
        <w:t>.</w:t>
      </w:r>
    </w:p>
  </w:footnote>
  <w:footnote w:id="7">
    <w:p w:rsidR="00595C95" w:rsidRPr="00595C95" w14:paraId="445D4032" w14:textId="3039BE36">
      <w:pPr>
        <w:pStyle w:val="FootnoteText"/>
        <w:rPr>
          <w:i/>
          <w:iCs/>
        </w:rPr>
      </w:pPr>
      <w:r>
        <w:rPr>
          <w:rStyle w:val="FootnoteReference"/>
        </w:rPr>
        <w:footnoteRef/>
      </w:r>
      <w:r>
        <w:t xml:space="preserve"> </w:t>
      </w:r>
      <w:r w:rsidR="00BC639F">
        <w:t>Waiver Request</w:t>
      </w:r>
      <w:r w:rsidR="00CB20D3">
        <w:t xml:space="preserve"> at </w:t>
      </w:r>
      <w:r w:rsidR="00E23E64">
        <w:t>1.</w:t>
      </w:r>
    </w:p>
  </w:footnote>
  <w:footnote w:id="8">
    <w:p w:rsidR="003277C4" w:rsidRPr="003277C4" w14:paraId="6EC7FDDA" w14:textId="76D4D741">
      <w:pPr>
        <w:pStyle w:val="FootnoteText"/>
      </w:pPr>
      <w:r>
        <w:rPr>
          <w:rStyle w:val="FootnoteReference"/>
        </w:rPr>
        <w:footnoteRef/>
      </w:r>
      <w:r>
        <w:t xml:space="preserve"> </w:t>
      </w:r>
      <w:r>
        <w:rPr>
          <w:i/>
          <w:iCs/>
        </w:rPr>
        <w:t>Id.</w:t>
      </w:r>
      <w:r>
        <w:t xml:space="preserve"> at 1-2.</w:t>
      </w:r>
    </w:p>
  </w:footnote>
  <w:footnote w:id="9">
    <w:p w:rsidR="00D12A4F" w:rsidRPr="00D12A4F" w14:paraId="0BB25850" w14:textId="038146AB">
      <w:pPr>
        <w:pStyle w:val="FootnoteText"/>
      </w:pPr>
      <w:r>
        <w:rPr>
          <w:rStyle w:val="FootnoteReference"/>
        </w:rPr>
        <w:footnoteRef/>
      </w:r>
      <w:r>
        <w:t xml:space="preserve"> </w:t>
      </w:r>
      <w:r>
        <w:rPr>
          <w:i/>
          <w:iCs/>
        </w:rPr>
        <w:t xml:space="preserve">Id. </w:t>
      </w:r>
      <w:r>
        <w:t>at 3.</w:t>
      </w:r>
    </w:p>
  </w:footnote>
  <w:footnote w:id="10">
    <w:p w:rsidR="00144670" w14:paraId="06F25A32" w14:textId="3877B264">
      <w:pPr>
        <w:pStyle w:val="FootnoteText"/>
      </w:pPr>
      <w:r>
        <w:rPr>
          <w:rStyle w:val="FootnoteReference"/>
        </w:rPr>
        <w:footnoteRef/>
      </w:r>
      <w:r>
        <w:t xml:space="preserve"> </w:t>
      </w:r>
      <w:r w:rsidRPr="002C0794">
        <w:rPr>
          <w:i/>
          <w:iCs/>
        </w:rPr>
        <w:t>See</w:t>
      </w:r>
      <w:r w:rsidRPr="00BC639F">
        <w:t xml:space="preserve"> 47 CFR § 90.621(b)(</w:t>
      </w:r>
      <w:r>
        <w:t>5</w:t>
      </w:r>
      <w:r w:rsidRPr="00BC639F">
        <w:t xml:space="preserve">).  </w:t>
      </w:r>
      <w:r>
        <w:t xml:space="preserve">The </w:t>
      </w:r>
      <w:r w:rsidRPr="00C93A78">
        <w:rPr>
          <w:szCs w:val="22"/>
        </w:rPr>
        <w:t xml:space="preserve">22 </w:t>
      </w:r>
      <w:r w:rsidRPr="00C93A78">
        <w:rPr>
          <w:szCs w:val="22"/>
        </w:rPr>
        <w:t>dBu</w:t>
      </w:r>
      <w:r w:rsidRPr="00C93A78">
        <w:rPr>
          <w:szCs w:val="22"/>
        </w:rPr>
        <w:t xml:space="preserve"> contour </w:t>
      </w:r>
      <w:r>
        <w:rPr>
          <w:szCs w:val="22"/>
        </w:rPr>
        <w:t xml:space="preserve">is </w:t>
      </w:r>
      <w:r w:rsidRPr="00C93A78">
        <w:rPr>
          <w:szCs w:val="22"/>
        </w:rPr>
        <w:t>calculated using the station's maximum power and antenna height at its original location</w:t>
      </w:r>
      <w:r>
        <w:rPr>
          <w:szCs w:val="22"/>
        </w:rPr>
        <w:t>.</w:t>
      </w:r>
    </w:p>
  </w:footnote>
  <w:footnote w:id="11">
    <w:p w:rsidR="00144670" w14:paraId="15735DBB" w14:textId="1A909109">
      <w:pPr>
        <w:pStyle w:val="FootnoteText"/>
      </w:pPr>
      <w:r>
        <w:rPr>
          <w:rStyle w:val="FootnoteReference"/>
        </w:rPr>
        <w:footnoteRef/>
      </w:r>
      <w:r>
        <w:t xml:space="preserve"> Waiver Request at </w:t>
      </w:r>
      <w:r w:rsidR="009C3158">
        <w:t>note</w:t>
      </w:r>
      <w:r>
        <w:t xml:space="preserve"> 4.</w:t>
      </w:r>
    </w:p>
  </w:footnote>
  <w:footnote w:id="12">
    <w:p w:rsidR="00A735C2" w:rsidRPr="00ED0E3E" w:rsidP="007F1B54" w14:paraId="520EBDAA" w14:textId="54228412">
      <w:pPr>
        <w:pStyle w:val="FootnoteText"/>
        <w:jc w:val="left"/>
      </w:pPr>
      <w:r w:rsidRPr="00ED0E3E">
        <w:rPr>
          <w:rStyle w:val="FootnoteReference"/>
        </w:rPr>
        <w:footnoteRef/>
      </w:r>
      <w:r w:rsidRPr="00ED0E3E">
        <w:t xml:space="preserve"> 47 </w:t>
      </w:r>
      <w:r w:rsidR="00382750">
        <w:t>CFR</w:t>
      </w:r>
      <w:r w:rsidRPr="00ED0E3E">
        <w:t xml:space="preserve"> § 1.925(b)(3)(</w:t>
      </w:r>
      <w:r w:rsidRPr="00ED0E3E">
        <w:t>i</w:t>
      </w:r>
      <w:r w:rsidRPr="00ED0E3E">
        <w:t>).</w:t>
      </w:r>
    </w:p>
  </w:footnote>
  <w:footnote w:id="13">
    <w:p w:rsidR="00A735C2" w:rsidRPr="003B7EE1" w:rsidP="007F1B54" w14:paraId="1A8F1420" w14:textId="45F710D3">
      <w:pPr>
        <w:pStyle w:val="FootnoteText"/>
        <w:jc w:val="left"/>
        <w:rPr>
          <w:sz w:val="22"/>
          <w:szCs w:val="22"/>
        </w:rPr>
      </w:pPr>
      <w:r w:rsidRPr="00ED0E3E">
        <w:rPr>
          <w:rStyle w:val="FootnoteReference"/>
        </w:rPr>
        <w:footnoteRef/>
      </w:r>
      <w:r w:rsidRPr="00ED0E3E">
        <w:t xml:space="preserve"> 47 </w:t>
      </w:r>
      <w:r w:rsidR="00382750">
        <w:t>CFR</w:t>
      </w:r>
      <w:r w:rsidRPr="00ED0E3E">
        <w:t xml:space="preserve"> § 1.925(b)(3)(ii).</w:t>
      </w:r>
    </w:p>
  </w:footnote>
  <w:footnote w:id="14">
    <w:p w:rsidR="00A735C2" w:rsidRPr="001F7726" w:rsidP="007F1B54" w14:paraId="7E03E2A4" w14:textId="43F6301E">
      <w:pPr>
        <w:pStyle w:val="FootnoteText"/>
        <w:jc w:val="left"/>
      </w:pPr>
      <w:r>
        <w:rPr>
          <w:rStyle w:val="FootnoteReference"/>
        </w:rPr>
        <w:footnoteRef/>
      </w:r>
      <w:r>
        <w:t xml:space="preserve"> </w:t>
      </w:r>
      <w:r>
        <w:rPr>
          <w:i/>
        </w:rPr>
        <w:t xml:space="preserve">WAIT Radio v. FCC, </w:t>
      </w:r>
      <w:r>
        <w:t xml:space="preserve">413 F.2d 1153, 1157 (D.C. Cir. 1969), </w:t>
      </w:r>
      <w:r>
        <w:rPr>
          <w:i/>
        </w:rPr>
        <w:t xml:space="preserve">aff’d, </w:t>
      </w:r>
      <w:r>
        <w:t xml:space="preserve">459 F.2d 1203 (1973), </w:t>
      </w:r>
      <w:r>
        <w:rPr>
          <w:i/>
        </w:rPr>
        <w:t xml:space="preserve">cert. denied, </w:t>
      </w:r>
      <w:r>
        <w:t xml:space="preserve">409 </w:t>
      </w:r>
      <w:smartTag w:uri="urn:schemas-microsoft-com:office:smarttags" w:element="place">
        <w:smartTag w:uri="urn:schemas-microsoft-com:office:smarttags" w:element="country-region">
          <w:r>
            <w:t>U.S.</w:t>
          </w:r>
        </w:smartTag>
      </w:smartTag>
      <w:r>
        <w:t xml:space="preserve"> 1027 (1972) (</w:t>
      </w:r>
      <w:r>
        <w:rPr>
          <w:i/>
        </w:rPr>
        <w:t xml:space="preserve">citing Rio Grande Family Radio Fellowship, Inc. v. FCC, </w:t>
      </w:r>
      <w:r>
        <w:t xml:space="preserve">406 F.2d 664 (D.C. Cir. 1968)); </w:t>
      </w:r>
      <w:r w:rsidRPr="00382750">
        <w:rPr>
          <w:i/>
          <w:iCs/>
        </w:rPr>
        <w:t>Birach</w:t>
      </w:r>
      <w:r w:rsidRPr="00382750">
        <w:rPr>
          <w:i/>
          <w:iCs/>
        </w:rPr>
        <w:t xml:space="preserve"> Broad. Corp</w:t>
      </w:r>
      <w:r>
        <w:t xml:space="preserve">., </w:t>
      </w:r>
      <w:r w:rsidRPr="00382750">
        <w:rPr>
          <w:iCs/>
        </w:rPr>
        <w:t>Memorandum Opinion and Order</w:t>
      </w:r>
      <w:r>
        <w:rPr>
          <w:i/>
        </w:rPr>
        <w:t xml:space="preserve">, </w:t>
      </w:r>
      <w:r>
        <w:t>18 FCC Rcd 1414, 1415 (2003).</w:t>
      </w:r>
    </w:p>
  </w:footnote>
  <w:footnote w:id="15">
    <w:p w:rsidR="00EC706A" w:rsidRPr="00F53571" w14:paraId="452352C6" w14:textId="4A8966D6">
      <w:pPr>
        <w:pStyle w:val="FootnoteText"/>
      </w:pPr>
      <w:r>
        <w:rPr>
          <w:rStyle w:val="FootnoteReference"/>
        </w:rPr>
        <w:footnoteRef/>
      </w:r>
      <w:r>
        <w:t xml:space="preserve"> </w:t>
      </w:r>
      <w:r w:rsidRPr="00382750" w:rsidR="00986FE2">
        <w:rPr>
          <w:i/>
          <w:iCs/>
        </w:rPr>
        <w:t>Third District Enterprises</w:t>
      </w:r>
      <w:r w:rsidRPr="00382750" w:rsidR="00087A1F">
        <w:rPr>
          <w:i/>
          <w:iCs/>
        </w:rPr>
        <w:t>, LLC</w:t>
      </w:r>
      <w:r w:rsidR="00087A1F">
        <w:t xml:space="preserve">, </w:t>
      </w:r>
      <w:r w:rsidRPr="00382750" w:rsidR="00F53571">
        <w:t>Order</w:t>
      </w:r>
      <w:r w:rsidR="00F53571">
        <w:t xml:space="preserve">, </w:t>
      </w:r>
      <w:r w:rsidR="00146106">
        <w:t xml:space="preserve">27 FCC </w:t>
      </w:r>
      <w:r w:rsidR="00146106">
        <w:t>Rcd</w:t>
      </w:r>
      <w:r w:rsidR="00146106">
        <w:t xml:space="preserve"> 1980</w:t>
      </w:r>
      <w:r w:rsidR="005D7792">
        <w:t>, 1990 para.</w:t>
      </w:r>
      <w:r w:rsidR="00A941D2">
        <w:t xml:space="preserve"> 25 (WTB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5C2" w14:paraId="442867B6" w14:textId="5DE57CF3">
    <w:pPr>
      <w:pStyle w:val="Header"/>
      <w:tabs>
        <w:tab w:val="clear" w:pos="4320"/>
        <w:tab w:val="center" w:pos="4680"/>
        <w:tab w:val="clear" w:pos="8640"/>
        <w:tab w:val="right" w:pos="9360"/>
      </w:tabs>
      <w:rPr>
        <w:b/>
      </w:rPr>
    </w:pPr>
    <w:r>
      <w:rPr>
        <w:b/>
      </w:rPr>
      <w:tab/>
      <w:t xml:space="preserve">Federal Communications Commission </w:t>
    </w:r>
    <w:r>
      <w:rPr>
        <w:b/>
      </w:rPr>
      <w:tab/>
      <w:t xml:space="preserve">DA </w:t>
    </w:r>
    <w:r w:rsidR="002B5F5A">
      <w:rPr>
        <w:b/>
      </w:rPr>
      <w:t>21-XXX</w:t>
    </w:r>
    <w:r>
      <w:rPr>
        <w:b/>
      </w:rPr>
      <w:t xml:space="preserve"> </w:t>
    </w:r>
  </w:p>
  <w:p w:rsidR="00A735C2" w14:paraId="5D1F7C32" w14:textId="6461951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A735C2" w14:paraId="1BEC64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5C2" w14:paraId="2DD81CA7" w14:textId="109AECEC">
    <w:pPr>
      <w:pStyle w:val="Header"/>
      <w:tabs>
        <w:tab w:val="clear" w:pos="4320"/>
        <w:tab w:val="center" w:pos="4680"/>
        <w:tab w:val="clear" w:pos="8640"/>
        <w:tab w:val="right" w:pos="9360"/>
      </w:tabs>
      <w:rPr>
        <w:b/>
      </w:rPr>
    </w:pPr>
    <w:r>
      <w:rPr>
        <w:b/>
      </w:rPr>
      <w:tab/>
    </w:r>
    <w:r>
      <w:rPr>
        <w:b/>
      </w:rPr>
      <w:t>Federal Communications Commission</w:t>
    </w:r>
    <w:r>
      <w:rPr>
        <w:b/>
      </w:rPr>
      <w:tab/>
      <w:t xml:space="preserve"> DA </w:t>
    </w:r>
    <w:r w:rsidR="0064208E">
      <w:rPr>
        <w:b/>
      </w:rPr>
      <w:t>21</w:t>
    </w:r>
    <w:r>
      <w:rPr>
        <w:b/>
      </w:rPr>
      <w:t>-</w:t>
    </w:r>
    <w:r w:rsidR="00D15573">
      <w:rPr>
        <w:b/>
      </w:rPr>
      <w:t>1268</w:t>
    </w:r>
    <w:r>
      <w:rPr>
        <w:b/>
      </w:rPr>
      <w:t xml:space="preserve"> </w:t>
    </w:r>
  </w:p>
  <w:p w:rsidR="00A735C2" w14:paraId="56D00A55" w14:textId="7A55D7F8">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13365274"/>
    <w:lvl w:ilvl="0">
      <w:start w:val="1"/>
      <w:numFmt w:val="decimal"/>
      <w:pStyle w:val="ParaNumChar"/>
      <w:lvlText w:val="%1."/>
      <w:lvlJc w:val="left"/>
      <w:pPr>
        <w:tabs>
          <w:tab w:val="num" w:pos="1080"/>
        </w:tabs>
        <w:ind w:left="0" w:firstLine="720"/>
      </w:p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8E"/>
    <w:rsid w:val="00005C8C"/>
    <w:rsid w:val="00023DBF"/>
    <w:rsid w:val="00032207"/>
    <w:rsid w:val="0004135B"/>
    <w:rsid w:val="0004163D"/>
    <w:rsid w:val="0004232E"/>
    <w:rsid w:val="00047A7A"/>
    <w:rsid w:val="00053FBB"/>
    <w:rsid w:val="000560C6"/>
    <w:rsid w:val="00061DB1"/>
    <w:rsid w:val="00070854"/>
    <w:rsid w:val="00080F71"/>
    <w:rsid w:val="00080FA8"/>
    <w:rsid w:val="00087A1F"/>
    <w:rsid w:val="00094910"/>
    <w:rsid w:val="00095789"/>
    <w:rsid w:val="000A4566"/>
    <w:rsid w:val="000C4EF8"/>
    <w:rsid w:val="000C6222"/>
    <w:rsid w:val="000D39D4"/>
    <w:rsid w:val="00101DD0"/>
    <w:rsid w:val="00110E61"/>
    <w:rsid w:val="00115333"/>
    <w:rsid w:val="0012442F"/>
    <w:rsid w:val="0012497F"/>
    <w:rsid w:val="00144670"/>
    <w:rsid w:val="00146106"/>
    <w:rsid w:val="001466B9"/>
    <w:rsid w:val="00150AF2"/>
    <w:rsid w:val="00156EFD"/>
    <w:rsid w:val="00161251"/>
    <w:rsid w:val="001839B8"/>
    <w:rsid w:val="00185D64"/>
    <w:rsid w:val="00192B3B"/>
    <w:rsid w:val="001A1B02"/>
    <w:rsid w:val="001A36EB"/>
    <w:rsid w:val="001C623C"/>
    <w:rsid w:val="001E3804"/>
    <w:rsid w:val="001E5C07"/>
    <w:rsid w:val="001F05C7"/>
    <w:rsid w:val="001F7726"/>
    <w:rsid w:val="001F7BC5"/>
    <w:rsid w:val="00207248"/>
    <w:rsid w:val="00221448"/>
    <w:rsid w:val="00234EAC"/>
    <w:rsid w:val="00235D63"/>
    <w:rsid w:val="00237BA9"/>
    <w:rsid w:val="00242ADC"/>
    <w:rsid w:val="00273C51"/>
    <w:rsid w:val="00275CC1"/>
    <w:rsid w:val="00292BA8"/>
    <w:rsid w:val="002B2BAB"/>
    <w:rsid w:val="002B5F5A"/>
    <w:rsid w:val="002B75E6"/>
    <w:rsid w:val="002C0794"/>
    <w:rsid w:val="0030648F"/>
    <w:rsid w:val="003277C4"/>
    <w:rsid w:val="0033229E"/>
    <w:rsid w:val="003772DF"/>
    <w:rsid w:val="00381963"/>
    <w:rsid w:val="00382750"/>
    <w:rsid w:val="00383BCD"/>
    <w:rsid w:val="00385BDA"/>
    <w:rsid w:val="00386C75"/>
    <w:rsid w:val="00391293"/>
    <w:rsid w:val="00395503"/>
    <w:rsid w:val="003A6614"/>
    <w:rsid w:val="003B7EE1"/>
    <w:rsid w:val="003C1AA5"/>
    <w:rsid w:val="003E2A89"/>
    <w:rsid w:val="003E2E0F"/>
    <w:rsid w:val="00401408"/>
    <w:rsid w:val="004234E7"/>
    <w:rsid w:val="00444D0D"/>
    <w:rsid w:val="004709A7"/>
    <w:rsid w:val="00472132"/>
    <w:rsid w:val="004820B7"/>
    <w:rsid w:val="004A42F6"/>
    <w:rsid w:val="004A716E"/>
    <w:rsid w:val="004C4BD8"/>
    <w:rsid w:val="004C5909"/>
    <w:rsid w:val="004D1841"/>
    <w:rsid w:val="004D223B"/>
    <w:rsid w:val="004D3495"/>
    <w:rsid w:val="0051625A"/>
    <w:rsid w:val="00530915"/>
    <w:rsid w:val="00545E72"/>
    <w:rsid w:val="00547451"/>
    <w:rsid w:val="00573B33"/>
    <w:rsid w:val="00575C03"/>
    <w:rsid w:val="005822F5"/>
    <w:rsid w:val="00590437"/>
    <w:rsid w:val="00591243"/>
    <w:rsid w:val="00591BFB"/>
    <w:rsid w:val="00595C95"/>
    <w:rsid w:val="005A5C24"/>
    <w:rsid w:val="005C1487"/>
    <w:rsid w:val="005C180D"/>
    <w:rsid w:val="005C2E4C"/>
    <w:rsid w:val="005C5325"/>
    <w:rsid w:val="005D7792"/>
    <w:rsid w:val="006275D4"/>
    <w:rsid w:val="00634B2C"/>
    <w:rsid w:val="0064208E"/>
    <w:rsid w:val="00654E0D"/>
    <w:rsid w:val="00661899"/>
    <w:rsid w:val="00662352"/>
    <w:rsid w:val="00681F7F"/>
    <w:rsid w:val="00686CEC"/>
    <w:rsid w:val="006976FA"/>
    <w:rsid w:val="006A1C59"/>
    <w:rsid w:val="006A729D"/>
    <w:rsid w:val="006D182A"/>
    <w:rsid w:val="006D7FFB"/>
    <w:rsid w:val="006E4A75"/>
    <w:rsid w:val="006F129D"/>
    <w:rsid w:val="00710BDE"/>
    <w:rsid w:val="00715D98"/>
    <w:rsid w:val="00721615"/>
    <w:rsid w:val="007230F8"/>
    <w:rsid w:val="00733591"/>
    <w:rsid w:val="00754E86"/>
    <w:rsid w:val="00756CE4"/>
    <w:rsid w:val="00757B54"/>
    <w:rsid w:val="00765411"/>
    <w:rsid w:val="00766C8F"/>
    <w:rsid w:val="00776A0C"/>
    <w:rsid w:val="00781685"/>
    <w:rsid w:val="007954FF"/>
    <w:rsid w:val="00795896"/>
    <w:rsid w:val="007A0BE0"/>
    <w:rsid w:val="007A7739"/>
    <w:rsid w:val="007C391B"/>
    <w:rsid w:val="007C476C"/>
    <w:rsid w:val="007C602F"/>
    <w:rsid w:val="007D14BB"/>
    <w:rsid w:val="007D7198"/>
    <w:rsid w:val="007E25B7"/>
    <w:rsid w:val="007F1B54"/>
    <w:rsid w:val="007F396B"/>
    <w:rsid w:val="00801D40"/>
    <w:rsid w:val="0081132D"/>
    <w:rsid w:val="00811D9A"/>
    <w:rsid w:val="00813FC2"/>
    <w:rsid w:val="008334E9"/>
    <w:rsid w:val="008618F6"/>
    <w:rsid w:val="008665C8"/>
    <w:rsid w:val="0087039E"/>
    <w:rsid w:val="008751E1"/>
    <w:rsid w:val="00876C0B"/>
    <w:rsid w:val="0088096F"/>
    <w:rsid w:val="00885F9C"/>
    <w:rsid w:val="00895C17"/>
    <w:rsid w:val="008B3D7B"/>
    <w:rsid w:val="008B7AA8"/>
    <w:rsid w:val="008E2D89"/>
    <w:rsid w:val="008F2953"/>
    <w:rsid w:val="00956A4E"/>
    <w:rsid w:val="009635E3"/>
    <w:rsid w:val="00974C28"/>
    <w:rsid w:val="00980426"/>
    <w:rsid w:val="00986EB1"/>
    <w:rsid w:val="00986FE2"/>
    <w:rsid w:val="009C3158"/>
    <w:rsid w:val="009C50E7"/>
    <w:rsid w:val="009C670C"/>
    <w:rsid w:val="009D5E04"/>
    <w:rsid w:val="009D7EC8"/>
    <w:rsid w:val="009E1815"/>
    <w:rsid w:val="009F0174"/>
    <w:rsid w:val="009F6D9F"/>
    <w:rsid w:val="00A02473"/>
    <w:rsid w:val="00A735C2"/>
    <w:rsid w:val="00A833E1"/>
    <w:rsid w:val="00A91430"/>
    <w:rsid w:val="00A941D2"/>
    <w:rsid w:val="00AB4DFD"/>
    <w:rsid w:val="00AC09F3"/>
    <w:rsid w:val="00AC23C7"/>
    <w:rsid w:val="00AC493A"/>
    <w:rsid w:val="00B0139B"/>
    <w:rsid w:val="00B22BA3"/>
    <w:rsid w:val="00B32D9D"/>
    <w:rsid w:val="00B3337A"/>
    <w:rsid w:val="00B4499A"/>
    <w:rsid w:val="00B960D1"/>
    <w:rsid w:val="00BA197E"/>
    <w:rsid w:val="00BA23F7"/>
    <w:rsid w:val="00BA441F"/>
    <w:rsid w:val="00BB61FE"/>
    <w:rsid w:val="00BC639F"/>
    <w:rsid w:val="00BE52A3"/>
    <w:rsid w:val="00BE72DC"/>
    <w:rsid w:val="00BF4E31"/>
    <w:rsid w:val="00BF7688"/>
    <w:rsid w:val="00C001C9"/>
    <w:rsid w:val="00C05980"/>
    <w:rsid w:val="00C0629C"/>
    <w:rsid w:val="00C73D00"/>
    <w:rsid w:val="00C74174"/>
    <w:rsid w:val="00C7794C"/>
    <w:rsid w:val="00C86A58"/>
    <w:rsid w:val="00C93A78"/>
    <w:rsid w:val="00C958B4"/>
    <w:rsid w:val="00CB20D3"/>
    <w:rsid w:val="00CB45D3"/>
    <w:rsid w:val="00CE59E8"/>
    <w:rsid w:val="00CF63D7"/>
    <w:rsid w:val="00D06884"/>
    <w:rsid w:val="00D12A4F"/>
    <w:rsid w:val="00D15573"/>
    <w:rsid w:val="00D24783"/>
    <w:rsid w:val="00D268EB"/>
    <w:rsid w:val="00D32C82"/>
    <w:rsid w:val="00D3714F"/>
    <w:rsid w:val="00D3725B"/>
    <w:rsid w:val="00D655AF"/>
    <w:rsid w:val="00D767CC"/>
    <w:rsid w:val="00D80CB1"/>
    <w:rsid w:val="00D945D6"/>
    <w:rsid w:val="00D9741C"/>
    <w:rsid w:val="00DC5986"/>
    <w:rsid w:val="00DD6051"/>
    <w:rsid w:val="00DE74D5"/>
    <w:rsid w:val="00DF1555"/>
    <w:rsid w:val="00DF4D20"/>
    <w:rsid w:val="00DF688F"/>
    <w:rsid w:val="00E068DB"/>
    <w:rsid w:val="00E20760"/>
    <w:rsid w:val="00E23E64"/>
    <w:rsid w:val="00E45856"/>
    <w:rsid w:val="00E64950"/>
    <w:rsid w:val="00EA0533"/>
    <w:rsid w:val="00EB6798"/>
    <w:rsid w:val="00EC09A7"/>
    <w:rsid w:val="00EC706A"/>
    <w:rsid w:val="00ED0C72"/>
    <w:rsid w:val="00ED0E3E"/>
    <w:rsid w:val="00EE0949"/>
    <w:rsid w:val="00EF22F1"/>
    <w:rsid w:val="00F0017B"/>
    <w:rsid w:val="00F12434"/>
    <w:rsid w:val="00F30CEF"/>
    <w:rsid w:val="00F3440E"/>
    <w:rsid w:val="00F409EF"/>
    <w:rsid w:val="00F51BEC"/>
    <w:rsid w:val="00F53571"/>
    <w:rsid w:val="00F53F49"/>
    <w:rsid w:val="00F60CEC"/>
    <w:rsid w:val="00F646B6"/>
    <w:rsid w:val="00F665C8"/>
    <w:rsid w:val="00F712FC"/>
    <w:rsid w:val="00F715B7"/>
    <w:rsid w:val="00F82E9E"/>
    <w:rsid w:val="00FA190F"/>
    <w:rsid w:val="00FA5370"/>
    <w:rsid w:val="00FC0EE7"/>
    <w:rsid w:val="00FD07C5"/>
    <w:rsid w:val="00FD73D7"/>
    <w:rsid w:val="00FF59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F3ED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5D98"/>
    <w:pPr>
      <w:widowControl w:val="0"/>
    </w:pPr>
    <w:rPr>
      <w:snapToGrid w:val="0"/>
      <w:kern w:val="28"/>
      <w:sz w:val="22"/>
    </w:r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numPr>
        <w:numId w:val="13"/>
      </w:numPr>
      <w:tabs>
        <w:tab w:val="clear" w:pos="1080"/>
        <w:tab w:val="left" w:pos="1440"/>
      </w:tabs>
      <w:spacing w:after="220"/>
      <w:jc w:val="both"/>
    </w:p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rsid w:val="00715D98"/>
    <w:rPr>
      <w:lang w:val="en-US" w:eastAsia="en-US" w:bidi="ar-SA"/>
    </w:rPr>
  </w:style>
  <w:style w:type="paragraph" w:customStyle="1" w:styleId="ParaNumChar">
    <w:name w:val="ParaNum Char"/>
    <w:basedOn w:val="Normal"/>
    <w:link w:val="ParaNumCharChar"/>
    <w:rsid w:val="00715D98"/>
    <w:pPr>
      <w:numPr>
        <w:numId w:val="22"/>
      </w:numPr>
      <w:tabs>
        <w:tab w:val="clear" w:pos="1080"/>
        <w:tab w:val="num" w:pos="1440"/>
      </w:tabs>
      <w:spacing w:after="120"/>
    </w:pPr>
  </w:style>
  <w:style w:type="character" w:customStyle="1" w:styleId="ParaNumCharChar">
    <w:name w:val="ParaNum Char Char"/>
    <w:link w:val="ParaNumChar"/>
    <w:rsid w:val="00715D98"/>
    <w:rPr>
      <w:snapToGrid w:val="0"/>
      <w:kern w:val="28"/>
      <w:sz w:val="22"/>
      <w:lang w:val="en-US" w:eastAsia="en-US" w:bidi="ar-SA"/>
    </w:rPr>
  </w:style>
  <w:style w:type="character" w:customStyle="1" w:styleId="FootnoteTextChar1Char1">
    <w:name w:val="Footnote Text Char1 Char1"/>
    <w:aliases w:val="Footnote Text Char2 Char Char Char Char Char Char"/>
    <w:rsid w:val="00715D98"/>
    <w:rPr>
      <w:lang w:val="en-US" w:eastAsia="en-US" w:bidi="ar-SA"/>
    </w:rPr>
  </w:style>
  <w:style w:type="character" w:customStyle="1" w:styleId="ParaNumCharChar2">
    <w:name w:val="ParaNum Char Char2"/>
    <w:rsid w:val="00715D98"/>
    <w:rPr>
      <w:snapToGrid w:val="0"/>
      <w:kern w:val="28"/>
      <w:sz w:val="22"/>
      <w:lang w:val="en-US" w:eastAsia="en-US" w:bidi="ar-SA"/>
    </w:rPr>
  </w:style>
  <w:style w:type="character" w:customStyle="1" w:styleId="FootnoteTextCharCharCharCharCharCharChar">
    <w:name w:val="Footnote Text Char Char Char Char Char Char Char"/>
    <w:rsid w:val="006E4A75"/>
    <w:rPr>
      <w:lang w:val="en-US" w:eastAsia="en-US" w:bidi="ar-SA"/>
    </w:rPr>
  </w:style>
  <w:style w:type="character" w:customStyle="1" w:styleId="normaltextfont">
    <w:name w:val="normaltextfont"/>
    <w:rsid w:val="001E5C07"/>
    <w:rPr>
      <w:rFonts w:ascii="Verdana" w:hAnsi="Verdana" w:hint="default"/>
      <w:sz w:val="19"/>
      <w:szCs w:val="19"/>
    </w:rPr>
  </w:style>
  <w:style w:type="paragraph" w:styleId="BalloonText">
    <w:name w:val="Balloon Text"/>
    <w:basedOn w:val="Normal"/>
    <w:semiHidden/>
    <w:rsid w:val="00444D0D"/>
    <w:rPr>
      <w:rFonts w:ascii="Tahoma" w:hAnsi="Tahoma" w:cs="Tahoma"/>
      <w:sz w:val="16"/>
      <w:szCs w:val="16"/>
    </w:rPr>
  </w:style>
  <w:style w:type="character" w:customStyle="1" w:styleId="coconcept2328">
    <w:name w:val="co_concept_23_28"/>
    <w:rsid w:val="00F4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