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F05F1" w:rsidRPr="00AF05F1" w:rsidP="00AF05F1" w14:paraId="40EE36D5" w14:textId="77777777">
      <w:pPr>
        <w:jc w:val="center"/>
        <w:rPr>
          <w:b/>
          <w:color w:val="000000"/>
        </w:rPr>
      </w:pPr>
      <w:r w:rsidRPr="00AF05F1">
        <w:rPr>
          <w:b/>
          <w:color w:val="000000" w:themeColor="text1"/>
        </w:rPr>
        <w:t>Before the</w:t>
      </w:r>
    </w:p>
    <w:p w:rsidR="00AF05F1" w:rsidRPr="00AF05F1" w:rsidP="00AF05F1" w14:paraId="0DBA537D" w14:textId="77777777">
      <w:pPr>
        <w:jc w:val="center"/>
        <w:rPr>
          <w:b/>
          <w:bCs/>
          <w:caps/>
          <w:color w:val="000000"/>
        </w:rPr>
      </w:pPr>
      <w:r w:rsidRPr="00AF05F1">
        <w:rPr>
          <w:b/>
          <w:bCs/>
          <w:caps/>
          <w:color w:val="000000" w:themeColor="text1"/>
        </w:rPr>
        <w:t>F</w:t>
      </w:r>
      <w:r w:rsidRPr="00AF05F1">
        <w:rPr>
          <w:b/>
          <w:bCs/>
          <w:color w:val="000000" w:themeColor="text1"/>
        </w:rPr>
        <w:t>ederal Communications Commission</w:t>
      </w:r>
    </w:p>
    <w:p w:rsidR="00AF05F1" w:rsidRPr="00AF05F1" w:rsidP="00AF05F1" w14:paraId="4021882D" w14:textId="77777777">
      <w:pPr>
        <w:jc w:val="center"/>
        <w:rPr>
          <w:b/>
          <w:color w:val="000000"/>
        </w:rPr>
      </w:pPr>
      <w:r w:rsidRPr="00AF05F1">
        <w:rPr>
          <w:b/>
          <w:color w:val="000000" w:themeColor="text1"/>
        </w:rPr>
        <w:t>Washington, DC 20554</w:t>
      </w:r>
    </w:p>
    <w:tbl>
      <w:tblPr>
        <w:tblW w:w="0" w:type="auto"/>
        <w:tblLayout w:type="fixed"/>
        <w:tblLook w:val="0000"/>
      </w:tblPr>
      <w:tblGrid>
        <w:gridCol w:w="4518"/>
        <w:gridCol w:w="630"/>
        <w:gridCol w:w="4248"/>
      </w:tblGrid>
      <w:tr w14:paraId="01060623" w14:textId="77777777" w:rsidTr="00AF0869">
        <w:tblPrEx>
          <w:tblW w:w="0" w:type="auto"/>
          <w:tblLayout w:type="fixed"/>
          <w:tblLook w:val="0000"/>
        </w:tblPrEx>
        <w:tc>
          <w:tcPr>
            <w:tcW w:w="4518" w:type="dxa"/>
          </w:tcPr>
          <w:p w:rsidR="00AF05F1" w:rsidRPr="00AF05F1" w:rsidP="00AF05F1" w14:paraId="6171EECD" w14:textId="77777777">
            <w:pPr>
              <w:tabs>
                <w:tab w:val="center" w:pos="4680"/>
              </w:tabs>
              <w:suppressAutoHyphens/>
              <w:rPr>
                <w:color w:val="000000"/>
                <w:spacing w:val="-2"/>
              </w:rPr>
            </w:pPr>
          </w:p>
          <w:p w:rsidR="00AF05F1" w:rsidRPr="00AF05F1" w:rsidP="00AF05F1" w14:paraId="6AE3211C" w14:textId="77777777">
            <w:pPr>
              <w:tabs>
                <w:tab w:val="center" w:pos="4680"/>
              </w:tabs>
              <w:suppressAutoHyphens/>
              <w:rPr>
                <w:color w:val="000000"/>
                <w:spacing w:val="-2"/>
              </w:rPr>
            </w:pPr>
            <w:r w:rsidRPr="00AF05F1">
              <w:rPr>
                <w:color w:val="000000"/>
                <w:spacing w:val="-2"/>
              </w:rPr>
              <w:t>In the Matter of</w:t>
            </w:r>
          </w:p>
          <w:p w:rsidR="00AF05F1" w:rsidRPr="00AF05F1" w:rsidP="00AF05F1" w14:paraId="267A2BEE" w14:textId="77777777">
            <w:pPr>
              <w:tabs>
                <w:tab w:val="center" w:pos="4680"/>
              </w:tabs>
              <w:suppressAutoHyphens/>
              <w:rPr>
                <w:color w:val="000000"/>
                <w:spacing w:val="-2"/>
              </w:rPr>
            </w:pPr>
          </w:p>
          <w:p w:rsidR="00AF05F1" w:rsidRPr="00AF05F1" w:rsidP="00AF05F1" w14:paraId="37F40D92" w14:textId="22C09C68">
            <w:pPr>
              <w:tabs>
                <w:tab w:val="center" w:pos="4680"/>
              </w:tabs>
              <w:suppressAutoHyphens/>
              <w:rPr>
                <w:color w:val="000000" w:themeColor="text1"/>
              </w:rPr>
            </w:pPr>
            <w:r w:rsidRPr="00AF05F1">
              <w:rPr>
                <w:color w:val="000000"/>
                <w:spacing w:val="-2"/>
              </w:rPr>
              <w:t>City of Sandy</w:t>
            </w:r>
            <w:r w:rsidR="00AD2BE0">
              <w:rPr>
                <w:color w:val="000000"/>
                <w:spacing w:val="-2"/>
              </w:rPr>
              <w:t>, O</w:t>
            </w:r>
            <w:r w:rsidR="001C4C56">
              <w:rPr>
                <w:color w:val="000000"/>
                <w:spacing w:val="-2"/>
              </w:rPr>
              <w:t>regon</w:t>
            </w:r>
            <w:r w:rsidRPr="00AF05F1">
              <w:rPr>
                <w:color w:val="000000"/>
                <w:spacing w:val="-2"/>
              </w:rPr>
              <w:t xml:space="preserve"> d/b/a </w:t>
            </w:r>
          </w:p>
          <w:p w:rsidR="00AF05F1" w:rsidRPr="00AF05F1" w:rsidP="00AF05F1" w14:paraId="28B97827" w14:textId="77777777">
            <w:pPr>
              <w:tabs>
                <w:tab w:val="center" w:pos="4680"/>
              </w:tabs>
              <w:suppressAutoHyphens/>
              <w:rPr>
                <w:color w:val="000000" w:themeColor="text1"/>
              </w:rPr>
            </w:pPr>
          </w:p>
          <w:p w:rsidR="00AF05F1" w:rsidRPr="00AF05F1" w:rsidP="00AF05F1" w14:paraId="6E432909" w14:textId="77777777">
            <w:pPr>
              <w:tabs>
                <w:tab w:val="center" w:pos="4680"/>
              </w:tabs>
              <w:suppressAutoHyphens/>
              <w:rPr>
                <w:color w:val="000000"/>
                <w:spacing w:val="-2"/>
              </w:rPr>
            </w:pPr>
            <w:r w:rsidRPr="00AF05F1">
              <w:rPr>
                <w:color w:val="000000"/>
                <w:spacing w:val="-2"/>
              </w:rPr>
              <w:t>SandyNet</w:t>
            </w:r>
          </w:p>
          <w:p w:rsidR="00AF05F1" w:rsidRPr="00AF05F1" w:rsidP="00AF05F1" w14:paraId="218A394E" w14:textId="77777777">
            <w:pPr>
              <w:tabs>
                <w:tab w:val="center" w:pos="4680"/>
              </w:tabs>
              <w:suppressAutoHyphens/>
              <w:rPr>
                <w:color w:val="000000"/>
                <w:spacing w:val="-2"/>
              </w:rPr>
            </w:pPr>
          </w:p>
          <w:p w:rsidR="00AF05F1" w:rsidRPr="00AF05F1" w:rsidP="00AF05F1" w14:paraId="4EC522B4" w14:textId="77777777">
            <w:pPr>
              <w:tabs>
                <w:tab w:val="center" w:pos="4680"/>
              </w:tabs>
              <w:suppressAutoHyphens/>
              <w:rPr>
                <w:color w:val="000000"/>
                <w:spacing w:val="-2"/>
              </w:rPr>
            </w:pPr>
          </w:p>
        </w:tc>
        <w:tc>
          <w:tcPr>
            <w:tcW w:w="630" w:type="dxa"/>
          </w:tcPr>
          <w:p w:rsidR="00AF05F1" w:rsidRPr="00AF05F1" w:rsidP="00AF05F1" w14:paraId="7BD12429" w14:textId="77777777">
            <w:pPr>
              <w:tabs>
                <w:tab w:val="center" w:pos="4680"/>
              </w:tabs>
              <w:suppressAutoHyphens/>
              <w:rPr>
                <w:b/>
                <w:color w:val="000000"/>
                <w:spacing w:val="-2"/>
              </w:rPr>
            </w:pPr>
          </w:p>
          <w:p w:rsidR="00AF05F1" w:rsidRPr="00AF05F1" w:rsidP="00AF05F1" w14:paraId="216531C2" w14:textId="77777777">
            <w:pPr>
              <w:tabs>
                <w:tab w:val="center" w:pos="4680"/>
              </w:tabs>
              <w:suppressAutoHyphens/>
              <w:rPr>
                <w:color w:val="000000"/>
                <w:spacing w:val="-2"/>
              </w:rPr>
            </w:pPr>
            <w:r w:rsidRPr="00AF05F1">
              <w:rPr>
                <w:color w:val="000000"/>
                <w:spacing w:val="-2"/>
              </w:rPr>
              <w:t>)</w:t>
            </w:r>
          </w:p>
          <w:p w:rsidR="00AF05F1" w:rsidRPr="00AF05F1" w:rsidP="00AF05F1" w14:paraId="42329281" w14:textId="77777777">
            <w:pPr>
              <w:tabs>
                <w:tab w:val="center" w:pos="4680"/>
              </w:tabs>
              <w:suppressAutoHyphens/>
              <w:rPr>
                <w:color w:val="000000"/>
                <w:spacing w:val="-2"/>
              </w:rPr>
            </w:pPr>
            <w:r w:rsidRPr="00AF05F1">
              <w:rPr>
                <w:color w:val="000000"/>
                <w:spacing w:val="-2"/>
              </w:rPr>
              <w:t>)</w:t>
            </w:r>
          </w:p>
          <w:p w:rsidR="00AF05F1" w:rsidRPr="00AF05F1" w:rsidP="00AF05F1" w14:paraId="292B2D17" w14:textId="77777777">
            <w:pPr>
              <w:tabs>
                <w:tab w:val="center" w:pos="4680"/>
              </w:tabs>
              <w:suppressAutoHyphens/>
              <w:rPr>
                <w:color w:val="000000"/>
                <w:spacing w:val="-2"/>
              </w:rPr>
            </w:pPr>
            <w:r w:rsidRPr="00AF05F1">
              <w:rPr>
                <w:color w:val="000000"/>
                <w:spacing w:val="-2"/>
              </w:rPr>
              <w:t>)</w:t>
            </w:r>
          </w:p>
          <w:p w:rsidR="00AF05F1" w:rsidRPr="00AF05F1" w:rsidP="00AF05F1" w14:paraId="786D971B" w14:textId="77777777">
            <w:pPr>
              <w:tabs>
                <w:tab w:val="center" w:pos="4680"/>
              </w:tabs>
              <w:suppressAutoHyphens/>
              <w:rPr>
                <w:color w:val="000000"/>
                <w:spacing w:val="-2"/>
              </w:rPr>
            </w:pPr>
            <w:r w:rsidRPr="00AF05F1">
              <w:rPr>
                <w:color w:val="000000"/>
                <w:spacing w:val="-2"/>
              </w:rPr>
              <w:t>)</w:t>
            </w:r>
          </w:p>
          <w:p w:rsidR="00AF05F1" w:rsidRPr="00AF05F1" w:rsidP="00AF05F1" w14:paraId="1F4AD927" w14:textId="77777777">
            <w:pPr>
              <w:tabs>
                <w:tab w:val="center" w:pos="4680"/>
              </w:tabs>
              <w:suppressAutoHyphens/>
              <w:rPr>
                <w:color w:val="000000"/>
                <w:spacing w:val="-2"/>
              </w:rPr>
            </w:pPr>
            <w:r w:rsidRPr="00AF05F1">
              <w:rPr>
                <w:color w:val="000000"/>
                <w:spacing w:val="-2"/>
              </w:rPr>
              <w:t>)</w:t>
            </w:r>
          </w:p>
          <w:p w:rsidR="00AF05F1" w:rsidRPr="00AF05F1" w:rsidP="00AF05F1" w14:paraId="157967D7" w14:textId="77777777">
            <w:pPr>
              <w:tabs>
                <w:tab w:val="center" w:pos="4680"/>
              </w:tabs>
              <w:suppressAutoHyphens/>
              <w:rPr>
                <w:b/>
                <w:color w:val="000000"/>
                <w:spacing w:val="-2"/>
              </w:rPr>
            </w:pPr>
          </w:p>
          <w:p w:rsidR="00AF05F1" w:rsidRPr="00AF05F1" w:rsidP="00AF05F1" w14:paraId="6D915F32" w14:textId="77777777">
            <w:pPr>
              <w:tabs>
                <w:tab w:val="center" w:pos="4680"/>
              </w:tabs>
              <w:suppressAutoHyphens/>
              <w:rPr>
                <w:b/>
                <w:color w:val="000000"/>
                <w:spacing w:val="-2"/>
              </w:rPr>
            </w:pPr>
          </w:p>
        </w:tc>
        <w:tc>
          <w:tcPr>
            <w:tcW w:w="4248" w:type="dxa"/>
          </w:tcPr>
          <w:p w:rsidR="00AF05F1" w:rsidRPr="00AF05F1" w:rsidP="00AF05F1" w14:paraId="7CFDF4ED" w14:textId="77777777">
            <w:pPr>
              <w:rPr>
                <w:color w:val="000000" w:themeColor="text1"/>
              </w:rPr>
            </w:pPr>
          </w:p>
          <w:p w:rsidR="00AF05F1" w:rsidRPr="00315A94" w:rsidP="00AF05F1" w14:paraId="35AA1A5D" w14:textId="77777777">
            <w:pPr>
              <w:spacing w:line="480" w:lineRule="auto"/>
              <w:rPr>
                <w:color w:val="000000"/>
                <w:spacing w:val="-2"/>
                <w:szCs w:val="22"/>
              </w:rPr>
            </w:pPr>
            <w:r w:rsidRPr="00315A94">
              <w:rPr>
                <w:color w:val="000000"/>
                <w:spacing w:val="-2"/>
                <w:szCs w:val="22"/>
              </w:rPr>
              <w:t>File No</w:t>
            </w:r>
            <w:r w:rsidRPr="0073175E">
              <w:rPr>
                <w:spacing w:val="-2"/>
                <w:szCs w:val="22"/>
              </w:rPr>
              <w:t xml:space="preserve">.: </w:t>
            </w:r>
            <w:r w:rsidRPr="0073175E" w:rsidR="000964C8">
              <w:rPr>
                <w:spacing w:val="-2"/>
                <w:szCs w:val="22"/>
              </w:rPr>
              <w:t xml:space="preserve"> </w:t>
            </w:r>
            <w:r w:rsidRPr="0073175E" w:rsidR="00315A94">
              <w:rPr>
                <w:szCs w:val="22"/>
                <w:shd w:val="clear" w:color="auto" w:fill="FFFFFF"/>
              </w:rPr>
              <w:t>EB-IHD-20-00031712</w:t>
            </w:r>
          </w:p>
          <w:p w:rsidR="00AF05F1" w:rsidRPr="00606283" w:rsidP="00AF05F1" w14:paraId="59C23BC6" w14:textId="08EE76FC">
            <w:pPr>
              <w:spacing w:line="480" w:lineRule="auto"/>
              <w:rPr>
                <w:color w:val="000000"/>
                <w:spacing w:val="-2"/>
                <w:szCs w:val="22"/>
              </w:rPr>
            </w:pPr>
            <w:r w:rsidRPr="00606283">
              <w:rPr>
                <w:color w:val="000000"/>
                <w:spacing w:val="-2"/>
                <w:szCs w:val="22"/>
              </w:rPr>
              <w:t>NAL/Acct. No.:</w:t>
            </w:r>
            <w:r w:rsidRPr="00606283" w:rsidR="000964C8">
              <w:rPr>
                <w:color w:val="000000"/>
                <w:spacing w:val="-2"/>
                <w:szCs w:val="22"/>
              </w:rPr>
              <w:t xml:space="preserve"> </w:t>
            </w:r>
            <w:r w:rsidRPr="00606283">
              <w:rPr>
                <w:color w:val="000000"/>
                <w:spacing w:val="-2"/>
                <w:szCs w:val="22"/>
              </w:rPr>
              <w:t xml:space="preserve"> </w:t>
            </w:r>
            <w:r w:rsidRPr="00606283" w:rsidR="00606283">
              <w:rPr>
                <w:color w:val="222222"/>
                <w:szCs w:val="22"/>
                <w:shd w:val="clear" w:color="auto" w:fill="FFFFFF"/>
              </w:rPr>
              <w:t>202132080016</w:t>
            </w:r>
          </w:p>
          <w:p w:rsidR="00AF05F1" w:rsidRPr="0073175E" w:rsidP="00AF05F1" w14:paraId="0B7BFA8B" w14:textId="6987A374">
            <w:pPr>
              <w:spacing w:line="480" w:lineRule="auto"/>
              <w:rPr>
                <w:spacing w:val="-2"/>
              </w:rPr>
            </w:pPr>
            <w:r w:rsidRPr="0073175E">
              <w:rPr>
                <w:spacing w:val="-2"/>
              </w:rPr>
              <w:t>FRN:</w:t>
            </w:r>
            <w:r w:rsidRPr="0073175E" w:rsidR="00A42105">
              <w:rPr>
                <w:spacing w:val="-2"/>
              </w:rPr>
              <w:t xml:space="preserve">  0004119376</w:t>
            </w:r>
          </w:p>
          <w:p w:rsidR="00AF05F1" w:rsidRPr="00AF05F1" w:rsidP="00AF05F1" w14:paraId="2E475148" w14:textId="77777777">
            <w:pPr>
              <w:rPr>
                <w:color w:val="000000"/>
              </w:rPr>
            </w:pPr>
          </w:p>
        </w:tc>
      </w:tr>
    </w:tbl>
    <w:p w:rsidR="00AF05F1" w:rsidRPr="00AF05F1" w:rsidP="00AF05F1" w14:paraId="5F260B0F" w14:textId="77777777">
      <w:pPr>
        <w:jc w:val="center"/>
        <w:rPr>
          <w:b/>
          <w:bCs/>
          <w:caps/>
          <w:color w:val="000000"/>
        </w:rPr>
      </w:pPr>
      <w:r w:rsidRPr="00AF05F1">
        <w:rPr>
          <w:b/>
          <w:bCs/>
          <w:caps/>
          <w:color w:val="000000" w:themeColor="text1"/>
        </w:rPr>
        <w:t>NOTICE OF APPARENT LIABILITY FOR FORFEITURE</w:t>
      </w:r>
    </w:p>
    <w:p w:rsidR="00AF05F1" w:rsidRPr="00AF05F1" w:rsidP="00AF05F1" w14:paraId="51832DF1" w14:textId="77777777">
      <w:pPr>
        <w:jc w:val="center"/>
        <w:rPr>
          <w:b/>
          <w:bCs/>
          <w:caps/>
          <w:color w:val="000000" w:themeColor="text1"/>
        </w:rPr>
      </w:pPr>
    </w:p>
    <w:p w:rsidR="00AF05F1" w:rsidRPr="00AF05F1" w:rsidP="00AF05F1" w14:paraId="308666A5" w14:textId="353B0D76">
      <w:pPr>
        <w:tabs>
          <w:tab w:val="left" w:pos="720"/>
          <w:tab w:val="right" w:pos="9360"/>
        </w:tabs>
        <w:suppressAutoHyphens/>
        <w:jc w:val="center"/>
      </w:pPr>
      <w:r w:rsidRPr="00AF05F1">
        <w:rPr>
          <w:b/>
          <w:bCs/>
          <w:spacing w:val="-2"/>
        </w:rPr>
        <w:t>Adopted:</w:t>
      </w:r>
      <w:r w:rsidR="000964C8">
        <w:rPr>
          <w:b/>
          <w:bCs/>
          <w:spacing w:val="-2"/>
        </w:rPr>
        <w:t xml:space="preserve"> </w:t>
      </w:r>
      <w:r w:rsidRPr="00AF05F1">
        <w:rPr>
          <w:b/>
          <w:bCs/>
          <w:spacing w:val="-2"/>
        </w:rPr>
        <w:t xml:space="preserve"> </w:t>
      </w:r>
      <w:r w:rsidR="00734F87">
        <w:rPr>
          <w:b/>
          <w:bCs/>
          <w:spacing w:val="-2"/>
        </w:rPr>
        <w:t>February</w:t>
      </w:r>
      <w:r w:rsidR="00E34909">
        <w:rPr>
          <w:b/>
          <w:bCs/>
          <w:spacing w:val="-2"/>
        </w:rPr>
        <w:t xml:space="preserve"> 25</w:t>
      </w:r>
      <w:r w:rsidRPr="00AF05F1">
        <w:rPr>
          <w:b/>
          <w:bCs/>
          <w:spacing w:val="-2"/>
        </w:rPr>
        <w:t>, 202</w:t>
      </w:r>
      <w:r w:rsidR="001D643A">
        <w:rPr>
          <w:b/>
          <w:bCs/>
          <w:spacing w:val="-2"/>
        </w:rPr>
        <w:t>1</w:t>
      </w:r>
      <w:r w:rsidR="00F06398">
        <w:rPr>
          <w:b/>
          <w:bCs/>
          <w:spacing w:val="-2"/>
        </w:rPr>
        <w:t xml:space="preserve"> </w:t>
      </w:r>
      <w:r w:rsidRPr="00AF05F1">
        <w:rPr>
          <w:b/>
          <w:bCs/>
          <w:spacing w:val="-2"/>
        </w:rPr>
        <w:t xml:space="preserve">                                                                </w:t>
      </w:r>
      <w:r w:rsidRPr="00AF05F1">
        <w:rPr>
          <w:b/>
          <w:spacing w:val="-2"/>
        </w:rPr>
        <w:tab/>
      </w:r>
      <w:r w:rsidRPr="00AF05F1">
        <w:rPr>
          <w:b/>
          <w:bCs/>
          <w:spacing w:val="-2"/>
        </w:rPr>
        <w:t>Released:</w:t>
      </w:r>
      <w:r w:rsidR="000964C8">
        <w:rPr>
          <w:b/>
          <w:bCs/>
          <w:spacing w:val="-2"/>
        </w:rPr>
        <w:t xml:space="preserve"> </w:t>
      </w:r>
      <w:r w:rsidRPr="00AF05F1">
        <w:rPr>
          <w:b/>
          <w:bCs/>
          <w:spacing w:val="-2"/>
        </w:rPr>
        <w:t xml:space="preserve"> </w:t>
      </w:r>
      <w:bookmarkStart w:id="0" w:name="_Hlk56780665"/>
      <w:r w:rsidR="00734F87">
        <w:rPr>
          <w:b/>
          <w:bCs/>
          <w:spacing w:val="-2"/>
        </w:rPr>
        <w:t>February</w:t>
      </w:r>
      <w:r w:rsidRPr="00AF05F1" w:rsidR="00734F87">
        <w:rPr>
          <w:b/>
          <w:bCs/>
          <w:spacing w:val="-2"/>
        </w:rPr>
        <w:t xml:space="preserve"> </w:t>
      </w:r>
      <w:r w:rsidR="00E34909">
        <w:rPr>
          <w:b/>
          <w:bCs/>
          <w:spacing w:val="-2"/>
        </w:rPr>
        <w:t>25</w:t>
      </w:r>
      <w:r w:rsidRPr="00AF05F1">
        <w:rPr>
          <w:b/>
          <w:bCs/>
          <w:spacing w:val="-2"/>
        </w:rPr>
        <w:t>, 202</w:t>
      </w:r>
      <w:r w:rsidR="001D643A">
        <w:rPr>
          <w:b/>
          <w:bCs/>
          <w:spacing w:val="-2"/>
        </w:rPr>
        <w:t>1</w:t>
      </w:r>
      <w:bookmarkEnd w:id="0"/>
    </w:p>
    <w:p w:rsidR="00AF05F1" w:rsidRPr="00AF05F1" w:rsidP="00AF05F1" w14:paraId="2F1C9797" w14:textId="77777777">
      <w:pPr>
        <w:tabs>
          <w:tab w:val="left" w:pos="720"/>
          <w:tab w:val="right" w:pos="9360"/>
        </w:tabs>
        <w:suppressAutoHyphens/>
      </w:pPr>
    </w:p>
    <w:p w:rsidR="00AF05F1" w:rsidRPr="00AF05F1" w:rsidP="00AF05F1" w14:paraId="76F058EA" w14:textId="79AB1F47">
      <w:pPr>
        <w:tabs>
          <w:tab w:val="left" w:pos="720"/>
          <w:tab w:val="right" w:pos="9360"/>
        </w:tabs>
        <w:suppressAutoHyphens/>
        <w:rPr>
          <w:spacing w:val="-2"/>
        </w:rPr>
      </w:pPr>
      <w:r w:rsidRPr="00AF05F1">
        <w:rPr>
          <w:spacing w:val="-2"/>
        </w:rPr>
        <w:t xml:space="preserve">By </w:t>
      </w:r>
      <w:r w:rsidR="00C66C21">
        <w:rPr>
          <w:spacing w:val="-2"/>
        </w:rPr>
        <w:t xml:space="preserve">the </w:t>
      </w:r>
      <w:r w:rsidR="002020A4">
        <w:rPr>
          <w:spacing w:val="-2"/>
        </w:rPr>
        <w:t xml:space="preserve">Chief, </w:t>
      </w:r>
      <w:r w:rsidR="00F06398">
        <w:rPr>
          <w:spacing w:val="-2"/>
        </w:rPr>
        <w:t>Enforcement Bureau</w:t>
      </w:r>
      <w:r w:rsidR="00362600">
        <w:rPr>
          <w:spacing w:val="-2"/>
        </w:rPr>
        <w:t>:</w:t>
      </w:r>
    </w:p>
    <w:p w:rsidR="00AF05F1" w:rsidRPr="00AF05F1" w:rsidP="00AF05F1" w14:paraId="7D8FF9C5" w14:textId="77777777">
      <w:pPr>
        <w:jc w:val="both"/>
      </w:pPr>
    </w:p>
    <w:p w:rsidR="0019289F" w:rsidRPr="00F77790" w:rsidP="00F15F4C" w14:paraId="176E0902" w14:textId="77777777">
      <w:pPr>
        <w:pStyle w:val="Heading1"/>
        <w:widowControl/>
      </w:pPr>
      <w:r>
        <w:t>INTRODUCTION</w:t>
      </w:r>
    </w:p>
    <w:p w:rsidR="0019289F" w:rsidRPr="00AF05F1" w:rsidP="00F15F4C" w14:paraId="379259A6" w14:textId="352DE398">
      <w:pPr>
        <w:pStyle w:val="ParaNum"/>
        <w:widowControl/>
      </w:pPr>
      <w:bookmarkStart w:id="1" w:name="_Hlk56780086"/>
      <w:r>
        <w:t xml:space="preserve">The City of Sandy, Oregon d/b/a </w:t>
      </w:r>
      <w:r w:rsidRPr="00AF05F1">
        <w:t>SandyNet</w:t>
      </w:r>
      <w:r>
        <w:t xml:space="preserve"> (SandyNet)</w:t>
      </w:r>
      <w:r w:rsidR="00425DE8">
        <w:t xml:space="preserve">, a facilities-based broadband provider, </w:t>
      </w:r>
      <w:r w:rsidR="000E5CD5">
        <w:t xml:space="preserve">apparently </w:t>
      </w:r>
      <w:r w:rsidR="00425DE8">
        <w:t>failed to file FCC Form 477 twenty</w:t>
      </w:r>
      <w:r w:rsidR="00727185">
        <w:t>-</w:t>
      </w:r>
      <w:r w:rsidR="00425DE8">
        <w:t xml:space="preserve">seven times and </w:t>
      </w:r>
      <w:r w:rsidR="000E5CD5">
        <w:t xml:space="preserve">apparently </w:t>
      </w:r>
      <w:r w:rsidR="00425DE8">
        <w:t xml:space="preserve">filed late three times.  </w:t>
      </w:r>
      <w:r w:rsidR="00425DE8">
        <w:t>Taking into account</w:t>
      </w:r>
      <w:r w:rsidR="00425DE8">
        <w:t xml:space="preserve"> </w:t>
      </w:r>
      <w:r w:rsidR="00425DE8">
        <w:t>SandyNet’s</w:t>
      </w:r>
      <w:r w:rsidR="00425DE8">
        <w:t xml:space="preserve"> history of </w:t>
      </w:r>
      <w:r w:rsidR="000E5CD5">
        <w:t xml:space="preserve">apparent </w:t>
      </w:r>
      <w:r w:rsidR="00425DE8">
        <w:t>Form 477 violations, w</w:t>
      </w:r>
      <w:r w:rsidRPr="00AF05F1" w:rsidR="00AF05F1">
        <w:t xml:space="preserve">e propose </w:t>
      </w:r>
      <w:r w:rsidR="00AF6125">
        <w:t xml:space="preserve">a </w:t>
      </w:r>
      <w:r w:rsidRPr="00AF05F1" w:rsidR="00AF05F1">
        <w:t>penalt</w:t>
      </w:r>
      <w:r w:rsidR="00AF6125">
        <w:t>y of</w:t>
      </w:r>
      <w:r w:rsidRPr="00AF05F1" w:rsidR="00AF05F1">
        <w:t xml:space="preserve"> $1</w:t>
      </w:r>
      <w:r w:rsidR="00D0401D">
        <w:t>0</w:t>
      </w:r>
      <w:r w:rsidRPr="00AF05F1" w:rsidR="00AF05F1">
        <w:t xml:space="preserve">,000 against SandyNet for apparently failing to timely file its broadband data.  </w:t>
      </w:r>
    </w:p>
    <w:bookmarkEnd w:id="1"/>
    <w:p w:rsidR="0019289F" w:rsidRPr="00F77790" w:rsidP="00F15F4C" w14:paraId="0485F9DE" w14:textId="77777777">
      <w:pPr>
        <w:pStyle w:val="Heading1"/>
        <w:widowControl/>
      </w:pPr>
      <w:r w:rsidRPr="00CF2CD6">
        <w:t>Background</w:t>
      </w:r>
    </w:p>
    <w:p w:rsidR="00AF05F1" w:rsidP="00F15F4C" w14:paraId="22CF74D8" w14:textId="604C8137">
      <w:pPr>
        <w:pStyle w:val="ParaNum"/>
        <w:widowControl/>
      </w:pPr>
      <w:r w:rsidRPr="00AF05F1">
        <w:t xml:space="preserve">To accomplish its broadband goals, the </w:t>
      </w:r>
      <w:r w:rsidR="00ED442A">
        <w:t xml:space="preserve">Federal Communications </w:t>
      </w:r>
      <w:r w:rsidRPr="00AF05F1">
        <w:t>Commission</w:t>
      </w:r>
      <w:r w:rsidR="00ED442A">
        <w:t xml:space="preserve"> (Commission or FCC)</w:t>
      </w:r>
      <w:r w:rsidRPr="00AF05F1">
        <w:t xml:space="preserve"> requires </w:t>
      </w:r>
      <w:r w:rsidR="00EF2D09">
        <w:t xml:space="preserve">facilities-based </w:t>
      </w:r>
      <w:r w:rsidRPr="00AF05F1">
        <w:t xml:space="preserve">broadband service providers to file FCC Form 477 </w:t>
      </w:r>
      <w:r w:rsidR="00B016D2">
        <w:t xml:space="preserve">twice each year.  The </w:t>
      </w:r>
      <w:r w:rsidR="00971A7E">
        <w:t>March 1</w:t>
      </w:r>
      <w:r w:rsidR="00B016D2">
        <w:t xml:space="preserve"> filing </w:t>
      </w:r>
      <w:r w:rsidR="00971A7E">
        <w:t>report</w:t>
      </w:r>
      <w:r w:rsidR="00B016D2">
        <w:t xml:space="preserve">s </w:t>
      </w:r>
      <w:r w:rsidR="00757B60">
        <w:t xml:space="preserve">data </w:t>
      </w:r>
      <w:r w:rsidR="00971A7E">
        <w:t>as of December 31 of the prior year</w:t>
      </w:r>
      <w:r w:rsidR="000E5CD5">
        <w:t>,</w:t>
      </w:r>
      <w:r w:rsidRPr="00AF05F1" w:rsidR="002A23CF">
        <w:t xml:space="preserve"> and </w:t>
      </w:r>
      <w:r w:rsidR="00B016D2">
        <w:t xml:space="preserve">the </w:t>
      </w:r>
      <w:r w:rsidRPr="00AF05F1" w:rsidR="002A23CF">
        <w:t>September</w:t>
      </w:r>
      <w:r w:rsidR="00971A7E">
        <w:t xml:space="preserve"> 1</w:t>
      </w:r>
      <w:r w:rsidR="00B016D2">
        <w:t xml:space="preserve"> filing </w:t>
      </w:r>
      <w:r w:rsidR="00971A7E">
        <w:t>report</w:t>
      </w:r>
      <w:r w:rsidR="00B016D2">
        <w:t>s</w:t>
      </w:r>
      <w:r w:rsidR="00757B60">
        <w:t xml:space="preserve"> data</w:t>
      </w:r>
      <w:r w:rsidR="00B016D2">
        <w:t xml:space="preserve"> </w:t>
      </w:r>
      <w:r w:rsidR="00971A7E">
        <w:t>as</w:t>
      </w:r>
      <w:r w:rsidR="00C27544">
        <w:t xml:space="preserve"> of </w:t>
      </w:r>
      <w:r w:rsidR="00971A7E">
        <w:t>June 30 of the current year</w:t>
      </w:r>
      <w:r w:rsidR="00B016D2">
        <w:t>.</w:t>
      </w:r>
      <w:r>
        <w:rPr>
          <w:rStyle w:val="FootnoteReference"/>
        </w:rPr>
        <w:footnoteReference w:id="3"/>
      </w:r>
      <w:r w:rsidR="00EF2D09">
        <w:t xml:space="preserve"> </w:t>
      </w:r>
      <w:r w:rsidRPr="00AF05F1">
        <w:t xml:space="preserve"> </w:t>
      </w:r>
      <w:r w:rsidRPr="00AF05F1" w:rsidR="00757B60">
        <w:t>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4"/>
      </w:r>
      <w:r w:rsidRPr="00AF05F1" w:rsidR="00757B60">
        <w:t xml:space="preserve"> </w:t>
      </w:r>
      <w:r w:rsidR="00092E30">
        <w:t xml:space="preserve"> </w:t>
      </w:r>
      <w:r w:rsidRPr="00AF05F1">
        <w:t>Form 477</w:t>
      </w:r>
      <w:r w:rsidR="000E5CD5">
        <w:t xml:space="preserve"> filings</w:t>
      </w:r>
      <w:r w:rsidRPr="00AF05F1">
        <w:t xml:space="preserve">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5"/>
      </w:r>
      <w:r w:rsidRPr="00AF05F1">
        <w:t xml:space="preserve"> </w:t>
      </w:r>
      <w:r w:rsidR="00092E30">
        <w:t xml:space="preserve"> The Commission uses </w:t>
      </w:r>
      <w:r w:rsidR="00092E30">
        <w:rPr>
          <w:kern w:val="0"/>
          <w:szCs w:val="22"/>
        </w:rPr>
        <w:t>data obtained from FCC Form 477 to “describe the deployment of broadband infrastructure,”</w:t>
      </w:r>
      <w:r>
        <w:rPr>
          <w:rStyle w:val="FootnoteReference"/>
          <w:kern w:val="0"/>
          <w:szCs w:val="22"/>
        </w:rPr>
        <w:footnoteReference w:id="6"/>
      </w:r>
      <w:r w:rsidR="00092E30">
        <w:rPr>
          <w:kern w:val="0"/>
          <w:szCs w:val="22"/>
        </w:rPr>
        <w:t xml:space="preserve"> and t</w:t>
      </w:r>
      <w:r w:rsidRPr="00AF05F1">
        <w:t>he collected</w:t>
      </w:r>
      <w:r w:rsidR="00B94222">
        <w:t xml:space="preserve"> data</w:t>
      </w:r>
      <w:r w:rsidRPr="00AF05F1">
        <w:t xml:space="preserve"> enable the Commission to appropriately target universal service funds to unserved and underserved regions and to meet public safety obligations.</w:t>
      </w:r>
      <w:r w:rsidR="000B6041">
        <w:t xml:space="preserve"> </w:t>
      </w:r>
      <w:r w:rsidRPr="00AF05F1">
        <w:t xml:space="preserve"> Federal and state agencies and the general public also benefit from the data reported on Form 477.</w:t>
      </w:r>
    </w:p>
    <w:p w:rsidR="00B34DB9" w:rsidRPr="00136D9E" w:rsidP="00F15F4C" w14:paraId="0BC248FB" w14:textId="0021302D">
      <w:pPr>
        <w:pStyle w:val="ParaNum"/>
        <w:widowControl/>
      </w:pPr>
      <w:r w:rsidRPr="00136D9E">
        <w:t>Since 2005</w:t>
      </w:r>
      <w:r w:rsidR="00BA0EF2">
        <w:t xml:space="preserve">, and beginning with the filing due September 1, 2005 for data as of June 30, 2005, </w:t>
      </w:r>
      <w:r w:rsidRPr="00136D9E">
        <w:t>the Commission has required “</w:t>
      </w:r>
      <w:r w:rsidRPr="003436FD">
        <w:rPr>
          <w:i/>
          <w:iCs/>
        </w:rPr>
        <w:t>all</w:t>
      </w:r>
      <w:r w:rsidRPr="00136D9E">
        <w:t xml:space="preserve"> facilities-based providers” of fixed and mobile broadband connections to end-users to submit counts of broadband connections in FCC Form 477.</w:t>
      </w:r>
      <w:r>
        <w:rPr>
          <w:rStyle w:val="FootnoteReference"/>
          <w:sz w:val="22"/>
          <w:szCs w:val="22"/>
        </w:rPr>
        <w:footnoteReference w:id="7"/>
      </w:r>
      <w:r w:rsidR="00905926">
        <w:t xml:space="preserve">  </w:t>
      </w:r>
      <w:r w:rsidR="00AD17CC">
        <w:t>As</w:t>
      </w:r>
      <w:r w:rsidR="00407E32">
        <w:t xml:space="preserve"> explained</w:t>
      </w:r>
      <w:r w:rsidR="00AD17CC">
        <w:t xml:space="preserve"> in </w:t>
      </w:r>
      <w:r w:rsidR="00C60376">
        <w:t xml:space="preserve">a related 2004 </w:t>
      </w:r>
      <w:r w:rsidR="002245A6">
        <w:t xml:space="preserve">FCC </w:t>
      </w:r>
      <w:r w:rsidR="00C60376">
        <w:t>news release</w:t>
      </w:r>
      <w:r w:rsidR="00AD17CC">
        <w:t>, t</w:t>
      </w:r>
      <w:r w:rsidR="00625407">
        <w:t>his includes</w:t>
      </w:r>
      <w:r w:rsidR="00BF4616">
        <w:t xml:space="preserve"> facilities-based </w:t>
      </w:r>
      <w:r w:rsidR="002C7904">
        <w:t>providers</w:t>
      </w:r>
      <w:r w:rsidR="00E75137">
        <w:t xml:space="preserve"> </w:t>
      </w:r>
      <w:r w:rsidR="002C7904">
        <w:t>in rural areas, regardless of their size.</w:t>
      </w:r>
      <w:r>
        <w:rPr>
          <w:rStyle w:val="FootnoteReference"/>
        </w:rPr>
        <w:footnoteReference w:id="8"/>
      </w:r>
      <w:r w:rsidRPr="00136D9E">
        <w:t xml:space="preserve">  </w:t>
      </w:r>
      <w:r w:rsidRPr="00136D9E" w:rsidR="00BB2EA4">
        <w:t>F</w:t>
      </w:r>
      <w:r w:rsidRPr="003436FD">
        <w:t xml:space="preserve">ixed wireless facilities-based broadband providers have been required to file both “deployment” and “subscription” data on their FCC Form </w:t>
      </w:r>
      <w:r w:rsidR="005770E5">
        <w:t>4</w:t>
      </w:r>
      <w:r w:rsidRPr="003436FD">
        <w:t>77 filings</w:t>
      </w:r>
      <w:r w:rsidRPr="003436FD" w:rsidR="00BB2EA4">
        <w:t xml:space="preserve"> since 2014</w:t>
      </w:r>
      <w:r w:rsidRPr="003436FD">
        <w:t>.</w:t>
      </w:r>
      <w:r>
        <w:rPr>
          <w:rStyle w:val="FootnoteReference"/>
          <w:sz w:val="22"/>
          <w:szCs w:val="22"/>
        </w:rPr>
        <w:footnoteReference w:id="9"/>
      </w:r>
      <w:r w:rsidR="00905926">
        <w:t xml:space="preserve"> </w:t>
      </w:r>
      <w:r w:rsidRPr="00136D9E">
        <w:t xml:space="preserve"> </w:t>
      </w:r>
      <w:r w:rsidRPr="00136D9E" w:rsidR="00BB2EA4">
        <w:t>The Commission has underscored the importance of timely and accurate FCC Form 477 filings through enforcement advisories and enforcement action.</w:t>
      </w:r>
      <w:r>
        <w:rPr>
          <w:rStyle w:val="FootnoteReference"/>
          <w:sz w:val="22"/>
          <w:szCs w:val="22"/>
        </w:rPr>
        <w:footnoteReference w:id="10"/>
      </w:r>
      <w:r w:rsidRPr="00136D9E" w:rsidR="00BB2EA4">
        <w:t xml:space="preserve">  </w:t>
      </w:r>
    </w:p>
    <w:p w:rsidR="001A40B8" w:rsidP="00F15F4C" w14:paraId="377675BD" w14:textId="5157432F">
      <w:pPr>
        <w:pStyle w:val="ParaNum"/>
        <w:widowControl/>
        <w:rPr>
          <w:bCs/>
        </w:rPr>
      </w:pPr>
      <w:r w:rsidRPr="00EA426F">
        <w:rPr>
          <w:bCs/>
        </w:rPr>
        <w:t>SandyNet is</w:t>
      </w:r>
      <w:r w:rsidR="00EA426F">
        <w:rPr>
          <w:bCs/>
        </w:rPr>
        <w:t xml:space="preserve"> </w:t>
      </w:r>
      <w:r w:rsidRPr="00EA426F">
        <w:rPr>
          <w:bCs/>
        </w:rPr>
        <w:t xml:space="preserve">a </w:t>
      </w:r>
      <w:r w:rsidRPr="00EA426F">
        <w:rPr>
          <w:rStyle w:val="markgui5yvd3s"/>
          <w:bdr w:val="none" w:sz="0" w:space="0" w:color="auto" w:frame="1"/>
          <w:shd w:val="clear" w:color="auto" w:fill="FFFFFF"/>
        </w:rPr>
        <w:t>facilities</w:t>
      </w:r>
      <w:r w:rsidRPr="00EA426F">
        <w:rPr>
          <w:shd w:val="clear" w:color="auto" w:fill="FFFFFF"/>
        </w:rPr>
        <w:t xml:space="preserve">-based provider </w:t>
      </w:r>
      <w:r w:rsidR="00EA426F">
        <w:rPr>
          <w:shd w:val="clear" w:color="auto" w:fill="FFFFFF"/>
        </w:rPr>
        <w:t>of broadband connections to end users via fiber and terrestrial fixed wireless</w:t>
      </w:r>
      <w:r w:rsidR="00E063ED">
        <w:rPr>
          <w:shd w:val="clear" w:color="auto" w:fill="FFFFFF"/>
        </w:rPr>
        <w:t>.</w:t>
      </w:r>
      <w:r>
        <w:rPr>
          <w:rStyle w:val="FootnoteReference"/>
          <w:shd w:val="clear" w:color="auto" w:fill="FFFFFF"/>
        </w:rPr>
        <w:footnoteReference w:id="11"/>
      </w:r>
      <w:r w:rsidR="00E063ED">
        <w:rPr>
          <w:shd w:val="clear" w:color="auto" w:fill="FFFFFF"/>
        </w:rPr>
        <w:t xml:space="preserve">  </w:t>
      </w:r>
      <w:r w:rsidR="00EA426F">
        <w:rPr>
          <w:shd w:val="clear" w:color="auto" w:fill="FFFFFF"/>
        </w:rPr>
        <w:t>SandyNet also provides</w:t>
      </w:r>
      <w:r w:rsidR="006D4F5F">
        <w:rPr>
          <w:shd w:val="clear" w:color="auto" w:fill="FFFFFF"/>
        </w:rPr>
        <w:t xml:space="preserve"> </w:t>
      </w:r>
      <w:r w:rsidRPr="00C201E3" w:rsidR="006D4F5F">
        <w:rPr>
          <w:shd w:val="clear" w:color="auto" w:fill="FFFFFF"/>
        </w:rPr>
        <w:t>interconnected</w:t>
      </w:r>
      <w:r w:rsidR="00EA426F">
        <w:rPr>
          <w:shd w:val="clear" w:color="auto" w:fill="FFFFFF"/>
        </w:rPr>
        <w:t xml:space="preserve"> VoIP services.</w:t>
      </w:r>
      <w:r>
        <w:rPr>
          <w:rStyle w:val="FootnoteReference"/>
          <w:shd w:val="clear" w:color="auto" w:fill="FFFFFF"/>
        </w:rPr>
        <w:footnoteReference w:id="12"/>
      </w:r>
      <w:r w:rsidR="00EA426F">
        <w:rPr>
          <w:shd w:val="clear" w:color="auto" w:fill="FFFFFF"/>
        </w:rPr>
        <w:t xml:space="preserve">  </w:t>
      </w:r>
      <w:r w:rsidRPr="00EA426F">
        <w:rPr>
          <w:bCs/>
        </w:rPr>
        <w:t>SandyNet</w:t>
      </w:r>
      <w:r w:rsidR="00752014">
        <w:rPr>
          <w:bCs/>
        </w:rPr>
        <w:t xml:space="preserve"> holds three Commission licenses</w:t>
      </w:r>
      <w:r w:rsidRPr="00EA426F">
        <w:rPr>
          <w:bCs/>
        </w:rPr>
        <w:t>.</w:t>
      </w:r>
      <w:r>
        <w:rPr>
          <w:rStyle w:val="FootnoteReference"/>
          <w:bCs/>
        </w:rPr>
        <w:footnoteReference w:id="13"/>
      </w:r>
      <w:r w:rsidR="005120BA">
        <w:rPr>
          <w:bCs/>
        </w:rPr>
        <w:t xml:space="preserve">  </w:t>
      </w:r>
    </w:p>
    <w:p w:rsidR="0019289F" w:rsidRPr="001A40B8" w:rsidP="00F15F4C" w14:paraId="568FA21C" w14:textId="225FF060">
      <w:pPr>
        <w:pStyle w:val="ParaNum"/>
        <w:widowControl/>
      </w:pPr>
      <w:bookmarkStart w:id="5" w:name="_Hlk58322345"/>
      <w:r w:rsidRPr="003436FD">
        <w:t xml:space="preserve">Although it </w:t>
      </w:r>
      <w:r w:rsidR="00087C4C">
        <w:t>appears to have</w:t>
      </w:r>
      <w:r w:rsidRPr="003436FD">
        <w:t xml:space="preserve"> offer</w:t>
      </w:r>
      <w:r w:rsidR="001143EB">
        <w:t>ed</w:t>
      </w:r>
      <w:r w:rsidRPr="003436FD">
        <w:t xml:space="preserve"> broadband services to end users since at least 2004,</w:t>
      </w:r>
      <w:r>
        <w:rPr>
          <w:rStyle w:val="FootnoteReference"/>
          <w:bCs/>
        </w:rPr>
        <w:footnoteReference w:id="14"/>
      </w:r>
      <w:r w:rsidRPr="003436FD">
        <w:t xml:space="preserve"> SandyNet </w:t>
      </w:r>
      <w:r w:rsidR="000E5CD5">
        <w:t xml:space="preserve">apparently </w:t>
      </w:r>
      <w:r w:rsidRPr="003436FD">
        <w:t>did not make its first Form 477 filings with the FCC until 2020.</w:t>
      </w:r>
      <w:r w:rsidR="00136D9E">
        <w:t xml:space="preserve"> </w:t>
      </w:r>
      <w:r>
        <w:t xml:space="preserve"> </w:t>
      </w:r>
      <w:r w:rsidRPr="003436FD" w:rsidR="00103B1B">
        <w:t>SandyNet</w:t>
      </w:r>
      <w:r w:rsidRPr="003436FD" w:rsidR="00981C29">
        <w:t xml:space="preserve"> </w:t>
      </w:r>
      <w:r w:rsidR="000E5CD5">
        <w:t xml:space="preserve">apparently </w:t>
      </w:r>
      <w:r w:rsidRPr="003436FD" w:rsidR="00026F1B">
        <w:t xml:space="preserve">made its first ever </w:t>
      </w:r>
      <w:r w:rsidRPr="003436FD" w:rsidR="00981C29">
        <w:t>Form 477 filing</w:t>
      </w:r>
      <w:r w:rsidRPr="003436FD" w:rsidR="00026F1B">
        <w:t xml:space="preserve"> </w:t>
      </w:r>
      <w:r w:rsidRPr="003436FD" w:rsidR="00EF2D09">
        <w:t xml:space="preserve">on </w:t>
      </w:r>
      <w:r w:rsidRPr="003436FD" w:rsidR="00103B1B">
        <w:t>April 29, 2020.</w:t>
      </w:r>
      <w:r>
        <w:rPr>
          <w:rStyle w:val="FootnoteReference"/>
          <w:bCs/>
        </w:rPr>
        <w:footnoteReference w:id="15"/>
      </w:r>
      <w:r w:rsidRPr="003436FD" w:rsidR="00026F1B">
        <w:t xml:space="preserve"> </w:t>
      </w:r>
      <w:r w:rsidRPr="003436FD" w:rsidR="00136D9E">
        <w:t xml:space="preserve"> </w:t>
      </w:r>
      <w:r w:rsidRPr="003436FD" w:rsidR="00026F1B">
        <w:t>Th</w:t>
      </w:r>
      <w:r w:rsidR="00B94222">
        <w:t xml:space="preserve">at filing </w:t>
      </w:r>
      <w:r w:rsidR="000E5CD5">
        <w:t xml:space="preserve">had been </w:t>
      </w:r>
      <w:r w:rsidR="00B94222">
        <w:t>due on</w:t>
      </w:r>
      <w:r w:rsidRPr="003436FD" w:rsidR="00026F1B">
        <w:t xml:space="preserve"> March 2, 2020</w:t>
      </w:r>
      <w:r w:rsidR="00B94222">
        <w:t>, almost two months earlier</w:t>
      </w:r>
      <w:r w:rsidRPr="003436FD" w:rsidR="00026F1B">
        <w:t xml:space="preserve">. </w:t>
      </w:r>
      <w:r w:rsidRPr="003436FD" w:rsidR="00103B1B">
        <w:t xml:space="preserve"> </w:t>
      </w:r>
      <w:r w:rsidRPr="003436FD" w:rsidR="00026F1B">
        <w:t>Subsequently, o</w:t>
      </w:r>
      <w:r w:rsidRPr="003436FD" w:rsidR="003C3446">
        <w:t>n</w:t>
      </w:r>
      <w:r w:rsidRPr="003436FD" w:rsidR="00680A63">
        <w:t xml:space="preserve"> July </w:t>
      </w:r>
      <w:r w:rsidRPr="003436FD" w:rsidR="00C50D5D">
        <w:t>14</w:t>
      </w:r>
      <w:r w:rsidRPr="003436FD" w:rsidR="00757B60">
        <w:t xml:space="preserve"> </w:t>
      </w:r>
      <w:r w:rsidRPr="003436FD" w:rsidR="00C50D5D">
        <w:t>and 15</w:t>
      </w:r>
      <w:r w:rsidRPr="003436FD" w:rsidR="00680A63">
        <w:t>, 2020,</w:t>
      </w:r>
      <w:r w:rsidRPr="003436FD" w:rsidR="00D06EFF">
        <w:t xml:space="preserve"> SandyNet filed the Forms 477 </w:t>
      </w:r>
      <w:r w:rsidRPr="003436FD" w:rsidR="00026F1B">
        <w:t xml:space="preserve">that had been </w:t>
      </w:r>
      <w:r w:rsidRPr="003436FD" w:rsidR="00D06EFF">
        <w:t>due on March 8 and September 3, 2019</w:t>
      </w:r>
      <w:r w:rsidR="00F63DAB">
        <w:t>, respectively</w:t>
      </w:r>
      <w:r w:rsidRPr="003436FD" w:rsidR="00D06EFF">
        <w:t>.</w:t>
      </w:r>
      <w:r>
        <w:rPr>
          <w:rStyle w:val="FootnoteReference"/>
          <w:bCs/>
        </w:rPr>
        <w:footnoteReference w:id="16"/>
      </w:r>
      <w:r w:rsidR="0009765E">
        <w:t xml:space="preserve"> </w:t>
      </w:r>
      <w:r w:rsidRPr="003436FD" w:rsidR="00026F1B">
        <w:t xml:space="preserve">    </w:t>
      </w:r>
      <w:r w:rsidRPr="003436FD" w:rsidR="00D06EFF">
        <w:t xml:space="preserve"> </w:t>
      </w:r>
      <w:r w:rsidRPr="003436FD" w:rsidR="005120BA">
        <w:t xml:space="preserve">      </w:t>
      </w:r>
    </w:p>
    <w:bookmarkEnd w:id="5"/>
    <w:p w:rsidR="0019289F" w:rsidRPr="00F77790" w:rsidP="00F15F4C" w14:paraId="5F4AECD4" w14:textId="77777777">
      <w:pPr>
        <w:pStyle w:val="Heading1"/>
        <w:widowControl/>
      </w:pPr>
      <w:r>
        <w:t>DISCUSSION</w:t>
      </w:r>
    </w:p>
    <w:p w:rsidR="00065305" w:rsidP="00F15F4C" w14:paraId="586C66FE" w14:textId="2871E1B5">
      <w:pPr>
        <w:pStyle w:val="ParaNum"/>
        <w:widowControl/>
      </w:pPr>
      <w:r>
        <w:t>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w:t>
      </w:r>
      <w:r w:rsidR="00C20E85">
        <w:t xml:space="preserve">s across the United States, and failing to provide it materially impairs the Commission’s ability to assess broadband deployment and to measure the subscribership upon which Commission policy is based. </w:t>
      </w:r>
      <w:r w:rsidRPr="00AF05F1" w:rsidR="00AF05F1">
        <w:t xml:space="preserve"> </w:t>
      </w:r>
    </w:p>
    <w:p w:rsidR="006C3872" w:rsidRPr="00AF6125" w:rsidP="00F15F4C" w14:paraId="33EC97F3" w14:textId="24E4F762">
      <w:pPr>
        <w:pStyle w:val="Heading2"/>
        <w:widowControl/>
      </w:pPr>
      <w:r>
        <w:t>SandyNet Apparently Violated Sections 1.7001 and 1.7002 of the Commission’s Rules</w:t>
      </w:r>
    </w:p>
    <w:p w:rsidR="00AF05F1" w:rsidRPr="00AF05F1" w:rsidP="00F15F4C" w14:paraId="51B80047" w14:textId="57C0BD90">
      <w:pPr>
        <w:pStyle w:val="ParaNum"/>
        <w:widowControl/>
      </w:pPr>
      <w:r w:rsidRPr="00AF05F1">
        <w:t xml:space="preserve">We conclude that </w:t>
      </w:r>
      <w:r w:rsidR="006764BA">
        <w:t>SandyNet</w:t>
      </w:r>
      <w:r w:rsidRPr="00AF05F1">
        <w:t xml:space="preserve"> apparently violated </w:t>
      </w:r>
      <w:r w:rsidR="00FC2E56">
        <w:t>s</w:t>
      </w:r>
      <w:r w:rsidRPr="00AF05F1">
        <w:t>ection</w:t>
      </w:r>
      <w:r w:rsidR="006C3872">
        <w:t>s</w:t>
      </w:r>
      <w:r w:rsidRPr="00AF05F1">
        <w:t xml:space="preserve"> 1.7001 and 1.7002 of the </w:t>
      </w:r>
      <w:r w:rsidR="005E28D2">
        <w:t>Commission’s rules</w:t>
      </w:r>
      <w:r w:rsidRPr="00AF05F1" w:rsidR="005E28D2">
        <w:t xml:space="preserve"> </w:t>
      </w:r>
      <w:r w:rsidR="00C677E7">
        <w:t>by failing to make</w:t>
      </w:r>
      <w:r w:rsidR="001D643A">
        <w:t xml:space="preserve"> twenty-seven</w:t>
      </w:r>
      <w:r w:rsidR="00C677E7">
        <w:t xml:space="preserve"> required Form 477 filing</w:t>
      </w:r>
      <w:r w:rsidR="00410F4B">
        <w:t>s</w:t>
      </w:r>
      <w:r w:rsidR="000240F3">
        <w:t xml:space="preserve"> </w:t>
      </w:r>
      <w:r w:rsidRPr="009B0C8F" w:rsidR="005316D8">
        <w:rPr>
          <w:color w:val="000000"/>
          <w:bdr w:val="none" w:sz="0" w:space="0" w:color="auto" w:frame="1"/>
          <w:shd w:val="clear" w:color="auto" w:fill="FFFFFF"/>
        </w:rPr>
        <w:t xml:space="preserve">– </w:t>
      </w:r>
      <w:r w:rsidR="00410F4B">
        <w:t xml:space="preserve">beginning in September 2005 and then </w:t>
      </w:r>
      <w:r w:rsidR="00B447CA">
        <w:t xml:space="preserve">twice </w:t>
      </w:r>
      <w:r w:rsidR="00F222AA">
        <w:t>each</w:t>
      </w:r>
      <w:r w:rsidR="00B447CA">
        <w:t xml:space="preserve"> year from 200</w:t>
      </w:r>
      <w:r w:rsidR="00410F4B">
        <w:t>6</w:t>
      </w:r>
      <w:r w:rsidR="001D0C38">
        <w:t>-2018</w:t>
      </w:r>
      <w:r w:rsidR="00410F4B">
        <w:t xml:space="preserve"> </w:t>
      </w:r>
      <w:r w:rsidRPr="009B0C8F" w:rsidR="005316D8">
        <w:rPr>
          <w:color w:val="000000"/>
          <w:bdr w:val="none" w:sz="0" w:space="0" w:color="auto" w:frame="1"/>
          <w:shd w:val="clear" w:color="auto" w:fill="FFFFFF"/>
        </w:rPr>
        <w:t xml:space="preserve">– </w:t>
      </w:r>
      <w:r w:rsidR="00C677E7">
        <w:t xml:space="preserve">and </w:t>
      </w:r>
      <w:r w:rsidRPr="00AF05F1">
        <w:t xml:space="preserve">by failing to timely file </w:t>
      </w:r>
      <w:bookmarkStart w:id="7" w:name="_Hlk57636635"/>
      <w:r w:rsidR="00C677E7">
        <w:t xml:space="preserve">three </w:t>
      </w:r>
      <w:r w:rsidRPr="00AF05F1">
        <w:t>Form</w:t>
      </w:r>
      <w:r w:rsidR="001D0C38">
        <w:t>s</w:t>
      </w:r>
      <w:r w:rsidRPr="00AF05F1">
        <w:t xml:space="preserve"> 477</w:t>
      </w:r>
      <w:r w:rsidR="0062635F">
        <w:t>, which</w:t>
      </w:r>
      <w:r w:rsidR="00805E8E">
        <w:t xml:space="preserve"> were </w:t>
      </w:r>
      <w:r w:rsidRPr="00AF05F1">
        <w:t xml:space="preserve">due </w:t>
      </w:r>
      <w:r w:rsidR="00805E8E">
        <w:t xml:space="preserve">on </w:t>
      </w:r>
      <w:r w:rsidRPr="00AF05F1">
        <w:t>March</w:t>
      </w:r>
      <w:r w:rsidR="002A23CF">
        <w:t xml:space="preserve"> 2,</w:t>
      </w:r>
      <w:r w:rsidRPr="00AF05F1">
        <w:t xml:space="preserve"> 2020</w:t>
      </w:r>
      <w:bookmarkEnd w:id="7"/>
      <w:r w:rsidR="003A7B20">
        <w:t>, September 3</w:t>
      </w:r>
      <w:r w:rsidR="0062635F">
        <w:t>, 2019,</w:t>
      </w:r>
      <w:r w:rsidR="00805E8E">
        <w:t xml:space="preserve"> </w:t>
      </w:r>
      <w:r w:rsidR="003A7B20">
        <w:t>and March 8, 2019</w:t>
      </w:r>
      <w:r w:rsidRPr="00AF05F1">
        <w:t>.</w:t>
      </w:r>
      <w:r>
        <w:rPr>
          <w:rStyle w:val="FootnoteReference"/>
          <w:szCs w:val="22"/>
        </w:rPr>
        <w:footnoteReference w:id="17"/>
      </w:r>
      <w:r w:rsidRPr="00AF05F1" w:rsidR="009A5B8B">
        <w:rPr>
          <w:szCs w:val="22"/>
        </w:rPr>
        <w:t xml:space="preserve">  </w:t>
      </w:r>
    </w:p>
    <w:p w:rsidR="00343CEE" w:rsidP="00F15F4C" w14:paraId="1AEF941D" w14:textId="70A69BB8">
      <w:pPr>
        <w:pStyle w:val="ParaNum"/>
        <w:widowControl/>
      </w:pPr>
      <w:r>
        <w:t xml:space="preserve">Even though </w:t>
      </w:r>
      <w:r>
        <w:t>SandyNet</w:t>
      </w:r>
      <w:r>
        <w:t xml:space="preserve"> ha</w:t>
      </w:r>
      <w:r w:rsidR="008C3819">
        <w:t>s</w:t>
      </w:r>
      <w:r>
        <w:t xml:space="preserve"> been providing facilities-based broadband service to end users </w:t>
      </w:r>
      <w:r w:rsidR="00770E6C">
        <w:t xml:space="preserve">for </w:t>
      </w:r>
      <w:r>
        <w:t xml:space="preserve">at least </w:t>
      </w:r>
      <w:r w:rsidR="00770E6C">
        <w:t>sixteen years</w:t>
      </w:r>
      <w:r>
        <w:rPr>
          <w:rStyle w:val="FootnoteReference"/>
          <w:szCs w:val="22"/>
        </w:rPr>
        <w:footnoteReference w:id="18"/>
      </w:r>
      <w:r>
        <w:t xml:space="preserve"> and</w:t>
      </w:r>
      <w:r w:rsidR="00CB7DE1">
        <w:t xml:space="preserve"> therefore </w:t>
      </w:r>
      <w:r w:rsidR="0062635F">
        <w:t>h</w:t>
      </w:r>
      <w:r w:rsidR="009A5B8B">
        <w:t xml:space="preserve">as </w:t>
      </w:r>
      <w:r w:rsidR="0062635F">
        <w:t xml:space="preserve">been </w:t>
      </w:r>
      <w:r>
        <w:t>required</w:t>
      </w:r>
      <w:r w:rsidR="0062635F">
        <w:t xml:space="preserve"> to</w:t>
      </w:r>
      <w:r>
        <w:t xml:space="preserve"> </w:t>
      </w:r>
      <w:r w:rsidR="00AB6806">
        <w:t xml:space="preserve">file </w:t>
      </w:r>
      <w:r w:rsidRPr="00136D9E">
        <w:t>FCC Form 477</w:t>
      </w:r>
      <w:r w:rsidR="00AB6806">
        <w:t xml:space="preserve"> </w:t>
      </w:r>
      <w:r w:rsidR="0062635F">
        <w:t xml:space="preserve">twice every year </w:t>
      </w:r>
      <w:r w:rsidR="00CB7DE1">
        <w:t xml:space="preserve">for at least </w:t>
      </w:r>
      <w:r w:rsidR="00E559A5">
        <w:t>fifteen</w:t>
      </w:r>
      <w:r w:rsidR="00E6333B">
        <w:t xml:space="preserve"> years</w:t>
      </w:r>
      <w:r w:rsidRPr="00136D9E" w:rsidR="00AB6806">
        <w:t>,</w:t>
      </w:r>
      <w:r>
        <w:rPr>
          <w:rStyle w:val="FootnoteReference"/>
          <w:sz w:val="22"/>
          <w:szCs w:val="22"/>
        </w:rPr>
        <w:footnoteReference w:id="19"/>
      </w:r>
      <w:r w:rsidRPr="00136D9E">
        <w:t xml:space="preserve"> </w:t>
      </w:r>
      <w:r w:rsidR="009A5B8B">
        <w:t xml:space="preserve">it </w:t>
      </w:r>
      <w:r w:rsidR="005E28D2">
        <w:t xml:space="preserve">apparently </w:t>
      </w:r>
      <w:r w:rsidR="009A5B8B">
        <w:t xml:space="preserve">never </w:t>
      </w:r>
      <w:r>
        <w:t>mad</w:t>
      </w:r>
      <w:r w:rsidR="009A5B8B">
        <w:t xml:space="preserve">e a required </w:t>
      </w:r>
      <w:r>
        <w:t>filing</w:t>
      </w:r>
      <w:r w:rsidR="005262E8">
        <w:t xml:space="preserve"> </w:t>
      </w:r>
      <w:r w:rsidR="00472BE4">
        <w:t>until 2020</w:t>
      </w:r>
      <w:r w:rsidR="002A0FD9">
        <w:t>.</w:t>
      </w:r>
      <w:r w:rsidR="005E40FD">
        <w:t xml:space="preserve"> </w:t>
      </w:r>
      <w:r w:rsidR="00472BE4">
        <w:t xml:space="preserve"> </w:t>
      </w:r>
      <w:r w:rsidR="00E82820">
        <w:t xml:space="preserve">Specifically, </w:t>
      </w:r>
      <w:r w:rsidR="00472BE4">
        <w:t>SandyNet</w:t>
      </w:r>
      <w:r w:rsidR="008C3819">
        <w:t xml:space="preserve"> </w:t>
      </w:r>
      <w:r w:rsidR="005E28D2">
        <w:t xml:space="preserve">apparently </w:t>
      </w:r>
      <w:r w:rsidR="00472BE4">
        <w:t xml:space="preserve">failed to </w:t>
      </w:r>
      <w:r w:rsidR="00E5274C">
        <w:t xml:space="preserve">file FCC Form 477 </w:t>
      </w:r>
      <w:r w:rsidR="008F01E0">
        <w:t>twenty</w:t>
      </w:r>
      <w:r w:rsidR="00727185">
        <w:t>-</w:t>
      </w:r>
      <w:r w:rsidR="008F01E0">
        <w:t>seven</w:t>
      </w:r>
      <w:r w:rsidR="00BA0EF2">
        <w:t xml:space="preserve"> </w:t>
      </w:r>
      <w:r w:rsidR="00E5274C">
        <w:t>time</w:t>
      </w:r>
      <w:r w:rsidR="00037293">
        <w:t>s</w:t>
      </w:r>
      <w:r w:rsidR="007839A1">
        <w:t xml:space="preserve">: </w:t>
      </w:r>
      <w:r w:rsidR="002B0568">
        <w:t xml:space="preserve"> </w:t>
      </w:r>
      <w:r w:rsidR="00BA0EF2">
        <w:t xml:space="preserve">once in 2005, and </w:t>
      </w:r>
      <w:r w:rsidR="00037293">
        <w:t xml:space="preserve">twice </w:t>
      </w:r>
      <w:r w:rsidR="00472BE4">
        <w:t xml:space="preserve">every year </w:t>
      </w:r>
      <w:r w:rsidR="00BA0EF2">
        <w:t>since then</w:t>
      </w:r>
      <w:r w:rsidR="00F93F35">
        <w:t xml:space="preserve"> through </w:t>
      </w:r>
      <w:r w:rsidR="00BA0EF2">
        <w:t>2018.</w:t>
      </w:r>
      <w:r w:rsidR="00037293">
        <w:t xml:space="preserve">  </w:t>
      </w:r>
      <w:r w:rsidR="00472BE4">
        <w:t>In addition,</w:t>
      </w:r>
      <w:r>
        <w:t xml:space="preserve"> SandyNet</w:t>
      </w:r>
      <w:r w:rsidR="00046A5C">
        <w:t xml:space="preserve"> </w:t>
      </w:r>
      <w:r w:rsidR="005E28D2">
        <w:t xml:space="preserve">apparently </w:t>
      </w:r>
      <w:r w:rsidR="00DB6076">
        <w:t>late-</w:t>
      </w:r>
      <w:r w:rsidR="00046A5C">
        <w:t xml:space="preserve">filed </w:t>
      </w:r>
      <w:r>
        <w:t>Form</w:t>
      </w:r>
      <w:r w:rsidR="003C3446">
        <w:t>s</w:t>
      </w:r>
      <w:r>
        <w:t xml:space="preserve"> 477</w:t>
      </w:r>
      <w:r w:rsidR="00046A5C">
        <w:t xml:space="preserve"> that were </w:t>
      </w:r>
      <w:r>
        <w:t xml:space="preserve">due </w:t>
      </w:r>
      <w:r w:rsidR="00046A5C">
        <w:t xml:space="preserve">on </w:t>
      </w:r>
      <w:r>
        <w:t xml:space="preserve">March 8, </w:t>
      </w:r>
      <w:r>
        <w:t>2019</w:t>
      </w:r>
      <w:r w:rsidR="006C66B7">
        <w:t xml:space="preserve">, </w:t>
      </w:r>
      <w:r>
        <w:t>September 3, 2019</w:t>
      </w:r>
      <w:r w:rsidR="006C66B7">
        <w:t>,</w:t>
      </w:r>
      <w:r>
        <w:t xml:space="preserve"> </w:t>
      </w:r>
      <w:r w:rsidR="006C66B7">
        <w:t>and</w:t>
      </w:r>
      <w:r w:rsidR="00667BB2">
        <w:t xml:space="preserve"> March 2, 2020</w:t>
      </w:r>
      <w:r w:rsidRPr="00AF05F1" w:rsidR="00AF05F1">
        <w:t>.</w:t>
      </w:r>
      <w:r>
        <w:rPr>
          <w:rStyle w:val="FootnoteReference"/>
          <w:szCs w:val="22"/>
        </w:rPr>
        <w:footnoteReference w:id="20"/>
      </w:r>
      <w:r w:rsidRPr="00AF05F1" w:rsidR="00AF05F1">
        <w:t xml:space="preserve">  </w:t>
      </w:r>
      <w:r w:rsidR="00517806">
        <w:t>Of these, only the</w:t>
      </w:r>
      <w:r w:rsidR="004E0870">
        <w:t xml:space="preserve"> filing due on March 2, 2020 is within our one-year statute of limitations</w:t>
      </w:r>
      <w:r w:rsidR="00680A63">
        <w:t xml:space="preserve"> for proposing a forfeiture</w:t>
      </w:r>
      <w:r w:rsidR="004E0870">
        <w:t>.</w:t>
      </w:r>
      <w:r>
        <w:rPr>
          <w:rStyle w:val="FootnoteReference"/>
          <w:szCs w:val="22"/>
        </w:rPr>
        <w:footnoteReference w:id="21"/>
      </w:r>
      <w:r w:rsidR="004E0870">
        <w:t xml:space="preserve">  </w:t>
      </w:r>
      <w:r w:rsidRPr="004E4F60" w:rsidR="004E4F60">
        <w:rPr>
          <w:highlight w:val="yellow"/>
        </w:rPr>
        <w:t xml:space="preserve"> </w:t>
      </w:r>
    </w:p>
    <w:p w:rsidR="002A055D" w:rsidRPr="003436FD" w:rsidP="00F15F4C" w14:paraId="7411DAB9" w14:textId="77777777">
      <w:pPr>
        <w:pStyle w:val="Heading2"/>
        <w:widowControl/>
        <w:rPr>
          <w:rFonts w:eastAsiaTheme="minorEastAsia"/>
          <w:bCs/>
        </w:rPr>
      </w:pPr>
      <w:r w:rsidRPr="006900A1">
        <w:t>Proposed Forfeiture</w:t>
      </w:r>
    </w:p>
    <w:p w:rsidR="00024110" w:rsidP="00F15F4C" w14:paraId="6C00E244" w14:textId="2D114AB9">
      <w:pPr>
        <w:pStyle w:val="ParaNum"/>
        <w:widowControl/>
        <w:rPr>
          <w:bCs/>
          <w:szCs w:val="22"/>
        </w:rPr>
      </w:pPr>
      <w:r>
        <w:rPr>
          <w:bCs/>
        </w:rP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bCs/>
        </w:rPr>
        <w:footnoteReference w:id="22"/>
      </w:r>
      <w:r>
        <w:rPr>
          <w:bCs/>
        </w:rPr>
        <w:t xml:space="preserve">  For the</w:t>
      </w:r>
      <w:r w:rsidR="00FD275F">
        <w:rPr>
          <w:bCs/>
        </w:rPr>
        <w:t xml:space="preserve"> type of</w:t>
      </w:r>
      <w:r>
        <w:rPr>
          <w:bCs/>
        </w:rPr>
        <w:t xml:space="preserve"> violation</w:t>
      </w:r>
      <w:r w:rsidR="002A7074">
        <w:rPr>
          <w:bCs/>
        </w:rPr>
        <w:t xml:space="preserve"> at issue</w:t>
      </w:r>
      <w:r>
        <w:rPr>
          <w:bCs/>
        </w:rPr>
        <w:t xml:space="preserve"> here, </w:t>
      </w:r>
      <w:r w:rsidR="00FC2E56">
        <w:rPr>
          <w:bCs/>
        </w:rPr>
        <w:t>s</w:t>
      </w:r>
      <w:r>
        <w:rPr>
          <w:bCs/>
        </w:rPr>
        <w:t xml:space="preserve">ection 503(b)(2)(D) of the Act authorizes us to assess a forfeiture of up to </w:t>
      </w:r>
      <w:r w:rsidR="00D87562">
        <w:rPr>
          <w:bCs/>
        </w:rPr>
        <w:t xml:space="preserve">$20,731 </w:t>
      </w:r>
      <w:r w:rsidR="00FD275F">
        <w:rPr>
          <w:bCs/>
        </w:rPr>
        <w:t>for each violation or each day of a continuing violation, up to a statutory maximum of</w:t>
      </w:r>
      <w:r w:rsidR="00D87562">
        <w:rPr>
          <w:bCs/>
        </w:rPr>
        <w:t xml:space="preserve"> $155,485 </w:t>
      </w:r>
      <w:r w:rsidR="00FD275F">
        <w:rPr>
          <w:bCs/>
        </w:rPr>
        <w:t>for a single act or failure to act</w:t>
      </w:r>
      <w:r>
        <w:rPr>
          <w:bCs/>
        </w:rPr>
        <w:t>.</w:t>
      </w:r>
      <w:r>
        <w:rPr>
          <w:rStyle w:val="FootnoteReference"/>
          <w:bCs/>
        </w:rPr>
        <w:footnoteReference w:id="23"/>
      </w:r>
      <w:r w:rsidR="008B4259">
        <w:rPr>
          <w:bCs/>
        </w:rPr>
        <w:t xml:space="preserve"> </w:t>
      </w:r>
      <w:r>
        <w:rPr>
          <w:bCs/>
        </w:rPr>
        <w:t xml:space="preserve"> </w:t>
      </w:r>
      <w:r w:rsidRPr="00FD275F" w:rsidR="00FD275F">
        <w:rPr>
          <w:bCs/>
          <w:szCs w:val="22"/>
        </w:rPr>
        <w:t>In exercising our forfeiture authority, we must consider the “nature, circumstance</w:t>
      </w:r>
      <w:r w:rsidR="00FD541D">
        <w:rPr>
          <w:bCs/>
          <w:szCs w:val="22"/>
        </w:rPr>
        <w:t>s</w:t>
      </w:r>
      <w:r w:rsidRPr="00FD275F" w:rsidR="00FD275F">
        <w:rPr>
          <w:bCs/>
          <w:szCs w:val="22"/>
        </w:rPr>
        <w:t xml:space="preserve">, extent, and gravity of the violation and, with respect to the violator, the degree of culpability, any history of prior offenses, ability to pay, and </w:t>
      </w:r>
      <w:r w:rsidR="00FD541D">
        <w:rPr>
          <w:bCs/>
          <w:szCs w:val="22"/>
        </w:rPr>
        <w:t xml:space="preserve">such </w:t>
      </w:r>
      <w:r w:rsidRPr="00FD275F" w:rsidR="00FD275F">
        <w:rPr>
          <w:bCs/>
          <w:szCs w:val="22"/>
        </w:rPr>
        <w:t>other matters as justice may require</w:t>
      </w:r>
      <w:r w:rsidRPr="00896653" w:rsidR="00FD275F">
        <w:rPr>
          <w:bCs/>
          <w:szCs w:val="22"/>
        </w:rPr>
        <w:t>.</w:t>
      </w:r>
      <w:r w:rsidR="000A6C35">
        <w:rPr>
          <w:bCs/>
          <w:szCs w:val="22"/>
        </w:rPr>
        <w:t>”</w:t>
      </w:r>
      <w:r>
        <w:rPr>
          <w:kern w:val="0"/>
          <w:szCs w:val="22"/>
          <w:vertAlign w:val="superscript"/>
        </w:rPr>
        <w:footnoteReference w:id="24"/>
      </w:r>
      <w:r>
        <w:rPr>
          <w:bCs/>
          <w:szCs w:val="22"/>
        </w:rPr>
        <w:t xml:space="preserve">  </w:t>
      </w:r>
    </w:p>
    <w:p w:rsidR="00024110" w:rsidP="00F15F4C" w14:paraId="78F53CAA" w14:textId="1E85D053">
      <w:pPr>
        <w:pStyle w:val="ParaNum"/>
        <w:widowControl/>
        <w:rPr>
          <w:bCs/>
          <w:szCs w:val="22"/>
        </w:rPr>
      </w:pPr>
      <w:r>
        <w:rPr>
          <w:bCs/>
          <w:szCs w:val="22"/>
        </w:rPr>
        <w:t xml:space="preserve">In addition, the Commission </w:t>
      </w:r>
      <w:r w:rsidRPr="00024110">
        <w:rPr>
          <w:bCs/>
          <w:szCs w:val="22"/>
        </w:rPr>
        <w:t>has established forfeiture guidelines that establish base penalties for certain violations and identify criteria that we consider when determining the appropriate penalty in any given case.</w:t>
      </w:r>
      <w:r>
        <w:rPr>
          <w:kern w:val="0"/>
          <w:vertAlign w:val="superscript"/>
        </w:rPr>
        <w:footnoteReference w:id="25"/>
      </w:r>
      <w:r>
        <w:rPr>
          <w:bCs/>
          <w:szCs w:val="22"/>
        </w:rPr>
        <w:t xml:space="preserve">  </w:t>
      </w:r>
      <w:r>
        <w:t xml:space="preserve">Section 1.80(b) of the Commission’s rules establishes a base forfeiture of $3,000 for failure to file a required form or information, for each violation or each day of a continuing violation.  </w:t>
      </w:r>
      <w:r w:rsidRPr="007B4335" w:rsidR="007B4335">
        <w:t>We have discretion, however</w:t>
      </w:r>
      <w:r w:rsidR="00EC46E7">
        <w:t>,</w:t>
      </w:r>
      <w:r w:rsidRPr="007B4335" w:rsidR="007B4335">
        <w:t xml:space="preserve"> to depart from these guidelines, </w:t>
      </w:r>
      <w:r w:rsidRPr="007B4335" w:rsidR="007B4335">
        <w:t>taking into account</w:t>
      </w:r>
      <w:r w:rsidRPr="007B4335" w:rsidR="007B4335">
        <w:t xml:space="preserve"> the particular facts of each individual case.</w:t>
      </w:r>
      <w:r>
        <w:rPr>
          <w:rStyle w:val="FootnoteReference"/>
        </w:rPr>
        <w:footnoteReference w:id="26"/>
      </w:r>
    </w:p>
    <w:p w:rsidR="001A2A0A" w:rsidRPr="00FE0242" w:rsidP="00F15F4C" w14:paraId="73255099" w14:textId="193467A0">
      <w:pPr>
        <w:pStyle w:val="ParaNum"/>
        <w:widowControl/>
        <w:rPr>
          <w:rFonts w:eastAsiaTheme="minorEastAsia"/>
          <w:bCs/>
          <w:kern w:val="0"/>
        </w:rPr>
      </w:pPr>
      <w:r>
        <w:rPr>
          <w:bCs/>
        </w:rPr>
        <w:t>G</w:t>
      </w:r>
      <w:r w:rsidRPr="001621E7" w:rsidR="0044418C">
        <w:t>iven the critical need to ensure accurate broadband services data and the fundamental role that FCC Form 477 data plays in policymaking and broadband subsidy funding decision-making,</w:t>
      </w:r>
      <w:r w:rsidR="00050ECA">
        <w:t xml:space="preserve"> including accurate targeting of such subsidies only to areas in need of them,</w:t>
      </w:r>
      <w:r w:rsidRPr="001621E7" w:rsidR="0044418C">
        <w:t xml:space="preserve"> violations of FCC Form 477 filing obligations are especially serious.</w:t>
      </w:r>
      <w:r>
        <w:rPr>
          <w:rStyle w:val="FootnoteReference"/>
        </w:rPr>
        <w:footnoteReference w:id="27"/>
      </w:r>
      <w:r w:rsidRPr="001621E7" w:rsidR="0044418C">
        <w:t xml:space="preserve">  Here, </w:t>
      </w:r>
      <w:r w:rsidRPr="001621E7" w:rsidR="00E05C1C">
        <w:t>SandyNet</w:t>
      </w:r>
      <w:r w:rsidRPr="001621E7" w:rsidR="0044418C">
        <w:t xml:space="preserve"> </w:t>
      </w:r>
      <w:r w:rsidR="005E28D2">
        <w:t xml:space="preserve">apparently </w:t>
      </w:r>
      <w:r w:rsidRPr="001621E7" w:rsidR="0044418C">
        <w:t>has</w:t>
      </w:r>
      <w:r w:rsidRPr="001621E7" w:rsidR="00F816D0">
        <w:t xml:space="preserve"> </w:t>
      </w:r>
      <w:r w:rsidRPr="001621E7" w:rsidR="0044418C">
        <w:t xml:space="preserve">missed </w:t>
      </w:r>
      <w:r w:rsidR="001D643A">
        <w:t xml:space="preserve">twenty-seven </w:t>
      </w:r>
      <w:r w:rsidRPr="001621E7" w:rsidR="0044418C">
        <w:t>filin</w:t>
      </w:r>
      <w:r w:rsidR="002E604E">
        <w:t>g</w:t>
      </w:r>
      <w:r w:rsidR="001029F8">
        <w:t>s</w:t>
      </w:r>
      <w:r w:rsidR="002E604E">
        <w:t xml:space="preserve"> in total</w:t>
      </w:r>
      <w:r w:rsidRPr="001621E7" w:rsidR="0044418C">
        <w:t xml:space="preserve">. </w:t>
      </w:r>
      <w:r w:rsidRPr="001621E7" w:rsidR="00F816D0">
        <w:t xml:space="preserve"> </w:t>
      </w:r>
      <w:r w:rsidRPr="001621E7" w:rsidR="0044418C">
        <w:t xml:space="preserve">All </w:t>
      </w:r>
      <w:r w:rsidR="001D643A">
        <w:t>twenty-seven</w:t>
      </w:r>
      <w:r w:rsidRPr="001621E7" w:rsidR="0009765E">
        <w:t xml:space="preserve"> </w:t>
      </w:r>
      <w:r w:rsidRPr="001621E7" w:rsidR="0044418C">
        <w:t>are violations of our rule</w:t>
      </w:r>
      <w:r w:rsidRPr="001621E7" w:rsidR="00F816D0">
        <w:t xml:space="preserve">s.  </w:t>
      </w:r>
      <w:r w:rsidR="00FE0242">
        <w:t xml:space="preserve">SandyNet </w:t>
      </w:r>
      <w:r w:rsidRPr="001621E7" w:rsidR="00FE0242">
        <w:t>submit</w:t>
      </w:r>
      <w:r w:rsidR="00FE0242">
        <w:t>ted</w:t>
      </w:r>
      <w:r w:rsidRPr="001621E7" w:rsidR="00FE0242">
        <w:t xml:space="preserve"> its </w:t>
      </w:r>
      <w:r w:rsidR="0063539B">
        <w:t>Form</w:t>
      </w:r>
      <w:r w:rsidR="00B15176">
        <w:t>s</w:t>
      </w:r>
      <w:r w:rsidR="0063539B">
        <w:t xml:space="preserve"> 477 due in </w:t>
      </w:r>
      <w:r w:rsidRPr="001621E7" w:rsidR="00FE0242">
        <w:t xml:space="preserve">March </w:t>
      </w:r>
      <w:r w:rsidR="00FE0242">
        <w:t>and</w:t>
      </w:r>
      <w:r w:rsidRPr="001621E7" w:rsidR="00FE0242">
        <w:t xml:space="preserve"> September </w:t>
      </w:r>
      <w:r w:rsidR="0063539B">
        <w:t xml:space="preserve">of </w:t>
      </w:r>
      <w:r w:rsidRPr="001621E7" w:rsidR="00FE0242">
        <w:t xml:space="preserve">2019 </w:t>
      </w:r>
      <w:r w:rsidR="00FE0242">
        <w:t>in</w:t>
      </w:r>
      <w:r w:rsidRPr="001621E7" w:rsidR="00FE0242">
        <w:t xml:space="preserve"> July 2020.</w:t>
      </w:r>
      <w:r>
        <w:rPr>
          <w:rStyle w:val="FootnoteReference"/>
        </w:rPr>
        <w:footnoteReference w:id="28"/>
      </w:r>
      <w:r w:rsidRPr="001621E7" w:rsidR="00FE0242">
        <w:t xml:space="preserve">  </w:t>
      </w:r>
      <w:r w:rsidR="00C43E09">
        <w:t xml:space="preserve">Its </w:t>
      </w:r>
      <w:r w:rsidRPr="001621E7" w:rsidR="00FE0242">
        <w:t xml:space="preserve">March 2020 Form 477 </w:t>
      </w:r>
      <w:r w:rsidR="00C43E09">
        <w:t>was</w:t>
      </w:r>
      <w:r w:rsidR="00FC154A">
        <w:t xml:space="preserve"> almost two </w:t>
      </w:r>
      <w:r w:rsidR="00C43E09">
        <w:t>month</w:t>
      </w:r>
      <w:r w:rsidR="00FC154A">
        <w:t>s</w:t>
      </w:r>
      <w:r w:rsidR="00C43E09">
        <w:t xml:space="preserve"> late</w:t>
      </w:r>
      <w:r w:rsidRPr="001621E7" w:rsidR="00FE0242">
        <w:t>.</w:t>
      </w:r>
      <w:r w:rsidR="001029F8">
        <w:t xml:space="preserve">  </w:t>
      </w:r>
      <w:r w:rsidRPr="001621E7" w:rsidR="001029F8">
        <w:t xml:space="preserve">Even though </w:t>
      </w:r>
      <w:r w:rsidRPr="001621E7" w:rsidR="001029F8">
        <w:t>the statute of limitations</w:t>
      </w:r>
      <w:r w:rsidR="001029F8">
        <w:t xml:space="preserve"> for assessing a forfeiture</w:t>
      </w:r>
      <w:r w:rsidRPr="001621E7" w:rsidR="001029F8">
        <w:t xml:space="preserve"> has run</w:t>
      </w:r>
      <w:r w:rsidR="001029F8">
        <w:t xml:space="preserve"> on all but one violation</w:t>
      </w:r>
      <w:r w:rsidRPr="001621E7" w:rsidR="001029F8">
        <w:t>,</w:t>
      </w:r>
      <w:r>
        <w:rPr>
          <w:rStyle w:val="FootnoteReference"/>
        </w:rPr>
        <w:footnoteReference w:id="29"/>
      </w:r>
      <w:r w:rsidRPr="001621E7" w:rsidR="001029F8">
        <w:t xml:space="preserve"> this is compelling evidence of a history of</w:t>
      </w:r>
      <w:r w:rsidR="001029F8">
        <w:t xml:space="preserve"> disregard for the Commission’s filing requirements</w:t>
      </w:r>
      <w:r w:rsidRPr="001621E7" w:rsidR="001029F8">
        <w:t>.</w:t>
      </w:r>
      <w:r w:rsidR="001029F8">
        <w:t xml:space="preserve">  </w:t>
      </w:r>
    </w:p>
    <w:p w:rsidR="00AF05F1" w:rsidRPr="00542635" w:rsidP="00F15F4C" w14:paraId="7991EDBF" w14:textId="4516B595">
      <w:pPr>
        <w:pStyle w:val="ParaNum"/>
        <w:widowControl/>
        <w:rPr>
          <w:rFonts w:eastAsiaTheme="minorEastAsia"/>
          <w:bCs/>
          <w:kern w:val="0"/>
        </w:rPr>
      </w:pPr>
      <w:r w:rsidRPr="001621E7">
        <w:t xml:space="preserve">Considering that </w:t>
      </w:r>
      <w:r w:rsidRPr="001621E7" w:rsidR="002B3721">
        <w:t>SandyNet</w:t>
      </w:r>
      <w:r w:rsidRPr="001621E7">
        <w:t xml:space="preserve"> has a</w:t>
      </w:r>
      <w:r w:rsidR="005E28D2">
        <w:t>n apparent</w:t>
      </w:r>
      <w:r w:rsidRPr="001621E7">
        <w:t xml:space="preserve"> history of prior offenses that </w:t>
      </w:r>
      <w:r w:rsidR="001A2A0A">
        <w:t>fall outside</w:t>
      </w:r>
      <w:r w:rsidRPr="001621E7">
        <w:t xml:space="preserve"> the statute of limitations, an upward adjustment </w:t>
      </w:r>
      <w:r w:rsidR="005E28D2">
        <w:t xml:space="preserve">of the </w:t>
      </w:r>
      <w:r w:rsidR="00271B12">
        <w:t xml:space="preserve">$3,000 </w:t>
      </w:r>
      <w:r w:rsidR="005E28D2">
        <w:t xml:space="preserve">base forfeiture </w:t>
      </w:r>
      <w:r w:rsidRPr="001621E7">
        <w:t>is justified.</w:t>
      </w:r>
      <w:r w:rsidRPr="001621E7" w:rsidR="002B3721">
        <w:t xml:space="preserve"> </w:t>
      </w:r>
      <w:r w:rsidRPr="001621E7">
        <w:t xml:space="preserve"> </w:t>
      </w:r>
      <w:r w:rsidRPr="001621E7" w:rsidR="002B3721">
        <w:t>As a result of its three late</w:t>
      </w:r>
      <w:r w:rsidR="008E3063">
        <w:t>-filed</w:t>
      </w:r>
      <w:r w:rsidRPr="001621E7" w:rsidR="002B3721">
        <w:t xml:space="preserve"> and </w:t>
      </w:r>
      <w:r w:rsidR="001D643A">
        <w:t>twenty-seven</w:t>
      </w:r>
      <w:r w:rsidRPr="001621E7" w:rsidR="00F816D0">
        <w:t xml:space="preserve"> </w:t>
      </w:r>
      <w:r w:rsidRPr="001621E7" w:rsidR="002B3721">
        <w:t>never</w:t>
      </w:r>
      <w:r w:rsidR="008E3063">
        <w:t>-</w:t>
      </w:r>
      <w:r w:rsidRPr="001621E7" w:rsidR="002B3721">
        <w:t xml:space="preserve">filed Forms 477, </w:t>
      </w:r>
      <w:r w:rsidR="001A2A0A">
        <w:t>SandyNet’s</w:t>
      </w:r>
      <w:r w:rsidRPr="001621E7" w:rsidR="002B3721">
        <w:t xml:space="preserve"> </w:t>
      </w:r>
      <w:r w:rsidRPr="001621E7">
        <w:t>data were</w:t>
      </w:r>
      <w:r w:rsidRPr="001621E7" w:rsidR="002B3721">
        <w:t xml:space="preserve"> not</w:t>
      </w:r>
      <w:r w:rsidRPr="001621E7">
        <w:t xml:space="preserve"> included in Commission reports and analysis, </w:t>
      </w:r>
      <w:r w:rsidR="004E2212">
        <w:t xml:space="preserve">which </w:t>
      </w:r>
      <w:r w:rsidRPr="001621E7" w:rsidR="00C506A7">
        <w:t xml:space="preserve">distorted the </w:t>
      </w:r>
      <w:r w:rsidRPr="001621E7">
        <w:t xml:space="preserve">actual </w:t>
      </w:r>
      <w:r w:rsidR="00DA25DA">
        <w:t xml:space="preserve">broadband </w:t>
      </w:r>
      <w:r w:rsidRPr="001621E7">
        <w:t>deployment and subscription figures for the United States.</w:t>
      </w:r>
      <w:r w:rsidRPr="001621E7" w:rsidR="00FA7481">
        <w:t xml:space="preserve">  Thus</w:t>
      </w:r>
      <w:r w:rsidRPr="001621E7" w:rsidR="00C506A7">
        <w:t>,</w:t>
      </w:r>
      <w:r w:rsidRPr="001621E7" w:rsidR="00FA7481">
        <w:t xml:space="preserve"> based on these factors, as well as the gravity of impact that such missing data have on guiding broadband policy and monetary decision-making, we propose</w:t>
      </w:r>
      <w:r w:rsidRPr="001621E7" w:rsidR="00406F90">
        <w:t xml:space="preserve"> an upward adjustment of $</w:t>
      </w:r>
      <w:r w:rsidR="00D0401D">
        <w:t>7</w:t>
      </w:r>
      <w:r w:rsidRPr="001621E7" w:rsidR="00406F90">
        <w:t xml:space="preserve">,000 for </w:t>
      </w:r>
      <w:r w:rsidRPr="001621E7" w:rsidR="00406F90">
        <w:t>SandyNet’s</w:t>
      </w:r>
      <w:r w:rsidRPr="001621E7" w:rsidR="00406F90">
        <w:t xml:space="preserve"> apparently late March 2020 filing</w:t>
      </w:r>
      <w:r w:rsidR="000977E7">
        <w:t xml:space="preserve">, </w:t>
      </w:r>
      <w:r w:rsidR="000977E7">
        <w:rPr>
          <w:bCs/>
        </w:rPr>
        <w:t xml:space="preserve">which takes into account the circumstances surrounding the </w:t>
      </w:r>
      <w:r w:rsidR="005E28D2">
        <w:rPr>
          <w:bCs/>
        </w:rPr>
        <w:t xml:space="preserve">apparent </w:t>
      </w:r>
      <w:r w:rsidR="000977E7">
        <w:rPr>
          <w:bCs/>
        </w:rPr>
        <w:t xml:space="preserve">violation and </w:t>
      </w:r>
      <w:r w:rsidR="000977E7">
        <w:rPr>
          <w:bCs/>
        </w:rPr>
        <w:t>SandyNet’s</w:t>
      </w:r>
      <w:r w:rsidR="000977E7">
        <w:rPr>
          <w:bCs/>
        </w:rPr>
        <w:t xml:space="preserve"> history of </w:t>
      </w:r>
      <w:r w:rsidR="005E28D2">
        <w:rPr>
          <w:bCs/>
        </w:rPr>
        <w:t xml:space="preserve">apparently </w:t>
      </w:r>
      <w:r w:rsidR="000977E7">
        <w:rPr>
          <w:bCs/>
        </w:rPr>
        <w:t>failing to</w:t>
      </w:r>
      <w:r w:rsidR="007A289B">
        <w:rPr>
          <w:bCs/>
        </w:rPr>
        <w:t xml:space="preserve"> file, and to</w:t>
      </w:r>
      <w:r w:rsidR="000977E7">
        <w:rPr>
          <w:bCs/>
        </w:rPr>
        <w:t xml:space="preserve"> timely file</w:t>
      </w:r>
      <w:r w:rsidR="007A289B">
        <w:rPr>
          <w:bCs/>
        </w:rPr>
        <w:t>,</w:t>
      </w:r>
      <w:r w:rsidR="000977E7">
        <w:rPr>
          <w:bCs/>
        </w:rPr>
        <w:t xml:space="preserve"> Form 477.</w:t>
      </w:r>
      <w:r>
        <w:rPr>
          <w:rStyle w:val="FootnoteReference"/>
          <w:bCs/>
        </w:rPr>
        <w:footnoteReference w:id="30"/>
      </w:r>
      <w:r w:rsidRPr="001621E7" w:rsidR="00F816D0">
        <w:t xml:space="preserve"> </w:t>
      </w:r>
    </w:p>
    <w:p w:rsidR="00E963DB" w:rsidRPr="003436FD" w:rsidP="00F15F4C" w14:paraId="6E5AB571" w14:textId="7D13ACAE">
      <w:pPr>
        <w:pStyle w:val="ParaNum"/>
        <w:widowControl/>
      </w:pPr>
      <w:r w:rsidRPr="003436FD">
        <w:t xml:space="preserve">Therefore, after </w:t>
      </w:r>
      <w:r w:rsidRPr="003436FD" w:rsidR="005507DC">
        <w:t xml:space="preserve">applying </w:t>
      </w:r>
      <w:r w:rsidR="00FC2E56">
        <w:t>s</w:t>
      </w:r>
      <w:r w:rsidRPr="003436FD" w:rsidR="005507DC">
        <w:t xml:space="preserve">ection 1.80 of the </w:t>
      </w:r>
      <w:r w:rsidR="00271B12">
        <w:t>Commission’s rules</w:t>
      </w:r>
      <w:r w:rsidR="006F2DAA">
        <w:t>,</w:t>
      </w:r>
      <w:r w:rsidRPr="003436FD" w:rsidR="00271B12">
        <w:t xml:space="preserve"> </w:t>
      </w:r>
      <w:r w:rsidRPr="003436FD" w:rsidR="005507DC">
        <w:t xml:space="preserve">and </w:t>
      </w:r>
      <w:r w:rsidRPr="003436FD">
        <w:t>the statutory factors, we propose a total forfeiture of $1</w:t>
      </w:r>
      <w:r w:rsidR="00D0401D">
        <w:t>0</w:t>
      </w:r>
      <w:r w:rsidRPr="003436FD">
        <w:t>,00</w:t>
      </w:r>
      <w:r w:rsidRPr="003436FD" w:rsidR="000B6041">
        <w:t>0</w:t>
      </w:r>
      <w:r w:rsidRPr="003436FD" w:rsidR="00325532">
        <w:t>, for which SandyNet is apparently liable.</w:t>
      </w:r>
      <w:r>
        <w:rPr>
          <w:rStyle w:val="FootnoteReference"/>
        </w:rPr>
        <w:footnoteReference w:id="31"/>
      </w:r>
    </w:p>
    <w:p w:rsidR="0019289F" w:rsidRPr="00F77790" w:rsidP="00F15F4C" w14:paraId="28EF9009" w14:textId="77777777">
      <w:pPr>
        <w:pStyle w:val="Heading1"/>
        <w:widowControl/>
      </w:pPr>
      <w:r w:rsidRPr="00CF2CD6">
        <w:t>CONCLUSION</w:t>
      </w:r>
    </w:p>
    <w:p w:rsidR="0019289F" w:rsidRPr="0032445C" w:rsidP="00F15F4C" w14:paraId="097576F9" w14:textId="76D49627">
      <w:pPr>
        <w:pStyle w:val="ParaNum"/>
        <w:widowControl/>
      </w:pPr>
      <w:bookmarkStart w:id="9" w:name="_Hlk56780178"/>
      <w:r w:rsidRPr="00AF05F1">
        <w:t xml:space="preserve">We have determined that SandyNet apparently willfully or repeatedly violated </w:t>
      </w:r>
      <w:r w:rsidR="00FC2E56">
        <w:t>s</w:t>
      </w:r>
      <w:r w:rsidRPr="00AF05F1">
        <w:t xml:space="preserve">ections 1.7001 and 1.7002 of the </w:t>
      </w:r>
      <w:r w:rsidR="00271B12">
        <w:t>Commission’s rules</w:t>
      </w:r>
      <w:r w:rsidRPr="00AF05F1">
        <w:t>.  A</w:t>
      </w:r>
      <w:r w:rsidR="00905A50">
        <w:t>ccordingly</w:t>
      </w:r>
      <w:r w:rsidRPr="00AF05F1">
        <w:t>, SandyNet is apparently liable for</w:t>
      </w:r>
      <w:r w:rsidR="00905A50">
        <w:t xml:space="preserve"> a</w:t>
      </w:r>
      <w:r w:rsidRPr="00AF05F1">
        <w:t xml:space="preserve"> $</w:t>
      </w:r>
      <w:r>
        <w:t>1</w:t>
      </w:r>
      <w:r w:rsidR="00D0401D">
        <w:t>0</w:t>
      </w:r>
      <w:r>
        <w:t>,000</w:t>
      </w:r>
      <w:r w:rsidRPr="00AF05F1">
        <w:t xml:space="preserve"> forfeiture. </w:t>
      </w:r>
    </w:p>
    <w:bookmarkEnd w:id="9"/>
    <w:p w:rsidR="0019289F" w:rsidRPr="00F77790" w:rsidP="00F15F4C" w14:paraId="7A61EFCB" w14:textId="77777777">
      <w:pPr>
        <w:pStyle w:val="Heading1"/>
        <w:widowControl/>
      </w:pPr>
      <w:r w:rsidRPr="00CF2CD6">
        <w:t>orDERING CLAUSES</w:t>
      </w:r>
    </w:p>
    <w:p w:rsidR="00AF05F1" w:rsidRPr="00AF05F1" w:rsidP="00F15F4C" w14:paraId="1A392793" w14:textId="0337F9FD">
      <w:pPr>
        <w:pStyle w:val="ParaNum"/>
        <w:widowControl/>
      </w:pPr>
      <w:r w:rsidRPr="00AF05F1">
        <w:t xml:space="preserve">Accordingly, </w:t>
      </w:r>
      <w:r w:rsidRPr="00AF05F1">
        <w:rPr>
          <w:b/>
          <w:bCs/>
        </w:rPr>
        <w:t>IT IS ORDERED</w:t>
      </w:r>
      <w:r w:rsidRPr="00AF05F1">
        <w:t xml:space="preserve"> that, pursuant to </w:t>
      </w:r>
      <w:r w:rsidR="00FC2E56">
        <w:t>s</w:t>
      </w:r>
      <w:r w:rsidRPr="00AF05F1">
        <w:t xml:space="preserve">ection 503(b) of the Act and </w:t>
      </w:r>
      <w:r w:rsidR="00FC2E56">
        <w:t>s</w:t>
      </w:r>
      <w:r w:rsidRPr="00AF05F1">
        <w:t>ection 1.80 of the Rules,</w:t>
      </w:r>
      <w:r>
        <w:rPr>
          <w:vertAlign w:val="superscript"/>
        </w:rPr>
        <w:footnoteReference w:id="32"/>
      </w:r>
      <w:r w:rsidR="003240CD">
        <w:t xml:space="preserve"> </w:t>
      </w:r>
      <w:r w:rsidR="000975BE">
        <w:t xml:space="preserve">the City of Sandy, Oregon </w:t>
      </w:r>
      <w:r w:rsidR="00BB43BB">
        <w:t xml:space="preserve">d/b/a SandyNet </w:t>
      </w:r>
      <w:r w:rsidRPr="00AF05F1">
        <w:t xml:space="preserve">is hereby </w:t>
      </w:r>
      <w:r w:rsidRPr="00AF05F1">
        <w:rPr>
          <w:b/>
          <w:bCs/>
        </w:rPr>
        <w:t xml:space="preserve">NOTIFED </w:t>
      </w:r>
      <w:r w:rsidRPr="00AF05F1">
        <w:t xml:space="preserve">of this </w:t>
      </w:r>
      <w:r w:rsidRPr="00AF05F1">
        <w:rPr>
          <w:b/>
          <w:bCs/>
        </w:rPr>
        <w:t>APPARENT LIABILITY FOR FORFEITURE</w:t>
      </w:r>
      <w:r w:rsidRPr="00AF05F1">
        <w:t xml:space="preserve"> in the amount of </w:t>
      </w:r>
      <w:r w:rsidR="00D0401D">
        <w:t>ten</w:t>
      </w:r>
      <w:r w:rsidRPr="00AF05F1" w:rsidR="00D0401D">
        <w:t xml:space="preserve"> </w:t>
      </w:r>
      <w:r w:rsidRPr="00AF05F1">
        <w:t>thousand dollars ($1</w:t>
      </w:r>
      <w:r w:rsidR="00D0401D">
        <w:t>0</w:t>
      </w:r>
      <w:r w:rsidRPr="00AF05F1">
        <w:t xml:space="preserve">,000) for apparently willfully and repeatedly violating </w:t>
      </w:r>
      <w:r w:rsidR="00FC2E56">
        <w:t>s</w:t>
      </w:r>
      <w:r w:rsidRPr="00AF05F1">
        <w:t xml:space="preserve">ections 1.7001 and 1.7002 of the </w:t>
      </w:r>
      <w:r w:rsidR="00271B12">
        <w:t>Commission’s rules</w:t>
      </w:r>
      <w:r w:rsidRPr="00AF05F1">
        <w:t>.</w:t>
      </w:r>
      <w:r>
        <w:rPr>
          <w:vertAlign w:val="superscript"/>
        </w:rPr>
        <w:footnoteReference w:id="33"/>
      </w:r>
    </w:p>
    <w:p w:rsidR="00AF05F1" w:rsidRPr="00AF05F1" w:rsidP="00F15F4C" w14:paraId="1DAFEA60" w14:textId="6218309D">
      <w:pPr>
        <w:pStyle w:val="ParaNum"/>
        <w:widowControl/>
      </w:pPr>
      <w:r w:rsidRPr="00AF05F1">
        <w:rPr>
          <w:b/>
          <w:bCs/>
        </w:rPr>
        <w:t>IT IS FURTHER ORDERED</w:t>
      </w:r>
      <w:r w:rsidRPr="00AF05F1">
        <w:t xml:space="preserve"> that, pursuant to </w:t>
      </w:r>
      <w:r w:rsidR="00FC2E56">
        <w:t>s</w:t>
      </w:r>
      <w:r w:rsidRPr="00AF05F1">
        <w:t xml:space="preserve">ection 1.80 of the </w:t>
      </w:r>
      <w:r w:rsidR="00271B12">
        <w:t>Commission’s rules</w:t>
      </w:r>
      <w:r w:rsidRPr="00AF05F1">
        <w:t>,</w:t>
      </w:r>
      <w:r>
        <w:rPr>
          <w:vertAlign w:val="superscript"/>
        </w:rPr>
        <w:footnoteReference w:id="34"/>
      </w:r>
      <w:r w:rsidRPr="00AF05F1">
        <w:t xml:space="preserve"> within </w:t>
      </w:r>
      <w:r w:rsidR="000975BE">
        <w:t xml:space="preserve">thirty </w:t>
      </w:r>
      <w:r w:rsidRPr="00AF05F1">
        <w:t xml:space="preserve">(30) calendar days of the release date of this Notice of Apparent Liability for </w:t>
      </w:r>
      <w:r w:rsidR="000975BE">
        <w:t>F</w:t>
      </w:r>
      <w:r w:rsidRPr="00AF05F1">
        <w:t xml:space="preserve">orfeiture, </w:t>
      </w:r>
      <w:r w:rsidR="000975BE">
        <w:t>the City of Sandy, Oregon</w:t>
      </w:r>
      <w:r w:rsidR="00BB43BB">
        <w:t xml:space="preserve"> d/b/a SandyNet</w:t>
      </w:r>
      <w:r w:rsidRPr="00AF05F1" w:rsidR="000975BE">
        <w:t xml:space="preserve"> </w:t>
      </w:r>
      <w:r w:rsidRPr="00AF05F1">
        <w:rPr>
          <w:b/>
          <w:bCs/>
        </w:rPr>
        <w:t>SHALL PAY</w:t>
      </w:r>
      <w:r w:rsidRPr="00AF05F1">
        <w:t xml:space="preserve"> the full amount of the proposed forfeiture or </w:t>
      </w:r>
      <w:r w:rsidRPr="00AF05F1">
        <w:rPr>
          <w:b/>
          <w:bCs/>
        </w:rPr>
        <w:t>SHALL FILE</w:t>
      </w:r>
      <w:r w:rsidRPr="00AF05F1">
        <w:t xml:space="preserve"> a written statement seeking reduction or cancellation of the proposed forfeiture consistent with paragraph </w:t>
      </w:r>
      <w:r w:rsidR="00A812CE">
        <w:t>19</w:t>
      </w:r>
      <w:r w:rsidRPr="00AF05F1">
        <w:t xml:space="preserve"> below.  </w:t>
      </w:r>
    </w:p>
    <w:p w:rsidR="00AF05F1" w:rsidRPr="00AF05F1" w:rsidP="00F15F4C" w14:paraId="00BF32A8" w14:textId="1A333B64">
      <w:pPr>
        <w:pStyle w:val="ParaNum"/>
        <w:widowControl/>
      </w:pPr>
      <w:r>
        <w:t xml:space="preserve">The </w:t>
      </w:r>
      <w:r w:rsidR="00AF4267">
        <w:t>City of Sandy, Oregon</w:t>
      </w:r>
      <w:r w:rsidR="00BB43BB">
        <w:t xml:space="preserve"> d/b/a SandyNet,</w:t>
      </w:r>
      <w:r w:rsidRPr="00AF05F1">
        <w:t xml:space="preserve"> shall send electronic notification of payment to </w:t>
      </w:r>
      <w:r w:rsidR="00236CD2">
        <w:t>Victoria Randazzo</w:t>
      </w:r>
      <w:r w:rsidRPr="00AF05F1">
        <w:t xml:space="preserve">, Enforcement Bureau, Federal Communications Commission, at </w:t>
      </w:r>
      <w:hyperlink r:id="rId5" w:history="1">
        <w:r w:rsidR="00236CD2">
          <w:rPr>
            <w:rStyle w:val="Hyperlink"/>
          </w:rPr>
          <w:t>Victoria.Randazzo@fcc.gov</w:t>
        </w:r>
      </w:hyperlink>
      <w:r w:rsidRPr="00AF05F1">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5"/>
      </w:r>
      <w:r w:rsidRPr="00AF05F1">
        <w:t xml:space="preserve"> or by wire transfer.  The Commission no longer </w:t>
      </w:r>
      <w:r w:rsidRPr="00AF05F1">
        <w:t>accepts forfeiture payment</w:t>
      </w:r>
      <w:r w:rsidR="00FC0C14">
        <w:t>s</w:t>
      </w:r>
      <w:r w:rsidRPr="00AF05F1">
        <w:t xml:space="preserve"> by check or money order.  Below are instructions that payors should follow based on the form of payment selected.</w:t>
      </w:r>
      <w:r>
        <w:rPr>
          <w:vertAlign w:val="superscript"/>
        </w:rPr>
        <w:footnoteReference w:id="36"/>
      </w:r>
    </w:p>
    <w:p w:rsidR="00AF05F1" w:rsidRPr="00AF05F1" w:rsidP="00F15F4C" w14:paraId="4206F8F9" w14:textId="5E4D3D27">
      <w:pPr>
        <w:pStyle w:val="ListParagraph"/>
        <w:keepNext/>
        <w:widowControl/>
        <w:numPr>
          <w:ilvl w:val="0"/>
          <w:numId w:val="8"/>
        </w:numPr>
        <w:tabs>
          <w:tab w:val="left" w:pos="2160"/>
        </w:tabs>
        <w:spacing w:after="120"/>
        <w:contextualSpacing w:val="0"/>
        <w:outlineLvl w:val="2"/>
        <w:rPr>
          <w:bCs/>
        </w:rPr>
      </w:pPr>
      <w:r w:rsidRPr="00AF05F1">
        <w:rPr>
          <w:bCs/>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FB5F79" w:rsidR="00254775">
          <w:rPr>
            <w:rStyle w:val="Hyperlink"/>
            <w:bCs/>
          </w:rPr>
          <w:t>RROGWireFaxes@fcc.gov</w:t>
        </w:r>
      </w:hyperlink>
      <w:r w:rsidRPr="00AF05F1">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w:t>
      </w:r>
      <w:r w:rsidR="00B16B4B">
        <w:rPr>
          <w:bCs/>
        </w:rPr>
        <w:t>s</w:t>
      </w:r>
      <w:r w:rsidRPr="00AF05F1">
        <w:rPr>
          <w:bCs/>
        </w:rPr>
        <w:t xml:space="preserve"> “FORF” in block number 24A (payment type code), and enter in block number 11 the FRN(s) captioned above (Payor FRN).</w:t>
      </w:r>
      <w:r>
        <w:rPr>
          <w:rStyle w:val="FootnoteReference"/>
          <w:bCs/>
        </w:rPr>
        <w:footnoteReference w:id="37"/>
      </w:r>
      <w:r w:rsidRPr="00AF05F1">
        <w:rPr>
          <w:bCs/>
        </w:rPr>
        <w:t xml:space="preserve">  For additional detail and wire transfer instructions go to </w:t>
      </w:r>
      <w:hyperlink r:id="rId7" w:history="1">
        <w:r w:rsidRPr="00FB5F79" w:rsidR="00F93ADE">
          <w:rPr>
            <w:rStyle w:val="Hyperlink"/>
            <w:bCs/>
          </w:rPr>
          <w:t>https://www.fcc.gov/licensing-databases/fees/wire-transfer</w:t>
        </w:r>
      </w:hyperlink>
      <w:r w:rsidR="00F93ADE">
        <w:rPr>
          <w:bCs/>
        </w:rPr>
        <w:t xml:space="preserve">. </w:t>
      </w:r>
    </w:p>
    <w:p w:rsidR="00AF05F1" w:rsidP="00F15F4C" w14:paraId="208A4D2A" w14:textId="11D382AA">
      <w:pPr>
        <w:pStyle w:val="ListParagraph"/>
        <w:widowControl/>
        <w:numPr>
          <w:ilvl w:val="0"/>
          <w:numId w:val="8"/>
        </w:numPr>
        <w:autoSpaceDE w:val="0"/>
        <w:autoSpaceDN w:val="0"/>
        <w:adjustRightInd w:val="0"/>
        <w:spacing w:after="120"/>
        <w:contextualSpacing w:val="0"/>
      </w:pPr>
      <w:r w:rsidRPr="00AF05F1">
        <w:t>Payment by credit card must be made by using the Commission’s Fee Filer website at</w:t>
      </w:r>
      <w:r>
        <w:t xml:space="preserve"> </w:t>
      </w:r>
      <w:hyperlink r:id="rId8" w:history="1">
        <w:r w:rsidRPr="000862E0" w:rsidR="0097154F">
          <w:rPr>
            <w:rStyle w:val="Hyperlink"/>
          </w:rPr>
          <w:t>https://apps.fcc.gov/FeeFiler/login.cfm</w:t>
        </w:r>
      </w:hyperlink>
      <w:r w:rsidRPr="00AF05F1">
        <w:t xml:space="preserve">. </w:t>
      </w:r>
      <w:r w:rsidR="00D00183">
        <w:t xml:space="preserve"> </w:t>
      </w:r>
      <w:r w:rsidRPr="00AF05F1">
        <w:t>To pay by credit card, log-in using the FRN captioned</w:t>
      </w:r>
      <w:r>
        <w:t xml:space="preserve"> </w:t>
      </w:r>
      <w:r w:rsidRPr="00AF05F1">
        <w:t>above.</w:t>
      </w:r>
      <w:r w:rsidR="00D00183">
        <w:t xml:space="preserve"> </w:t>
      </w:r>
      <w:r w:rsidRPr="00AF05F1">
        <w:t xml:space="preserve"> If payment must be split across FRNs, complete this process for each FRN</w:t>
      </w:r>
      <w:r w:rsidRPr="00A200B5">
        <w:t>.  Next, select “Pay bills” on the Fee Filer Menu, and select the bill number associated with the NAL Account</w:t>
      </w:r>
      <w:r w:rsidR="00A200B5">
        <w:t xml:space="preserve"> </w:t>
      </w:r>
      <w:r w:rsidRPr="00AD0726" w:rsidR="00A200B5">
        <w:t>–</w:t>
      </w:r>
      <w:r w:rsidR="00A200B5">
        <w:t xml:space="preserve"> </w:t>
      </w:r>
      <w:r w:rsidRPr="00A200B5">
        <w:t>the bill number is the NAL Account number with the first two digits excluded</w:t>
      </w:r>
      <w:r w:rsidR="00A200B5">
        <w:t xml:space="preserve"> </w:t>
      </w:r>
      <w:r w:rsidRPr="00AD0726" w:rsidR="00A200B5">
        <w:t>–</w:t>
      </w:r>
      <w:r w:rsidR="00A200B5">
        <w:t xml:space="preserve"> </w:t>
      </w:r>
      <w:r w:rsidRPr="00A200B5">
        <w:t>and then choose</w:t>
      </w:r>
      <w:r>
        <w:t xml:space="preserve"> </w:t>
      </w:r>
      <w:r w:rsidRPr="00AF05F1">
        <w:t>the “Pay by Credit Card” option.  Please note that there is a $24,999.99 limit on credit card</w:t>
      </w:r>
      <w:r>
        <w:t xml:space="preserve"> </w:t>
      </w:r>
      <w:r w:rsidRPr="00AF05F1">
        <w:t>transactions.</w:t>
      </w:r>
    </w:p>
    <w:p w:rsidR="00AF05F1" w:rsidRPr="00CF2CD6" w:rsidP="00F15F4C" w14:paraId="74BF07FD" w14:textId="48998181">
      <w:pPr>
        <w:pStyle w:val="ListParagraph"/>
        <w:widowControl/>
        <w:numPr>
          <w:ilvl w:val="0"/>
          <w:numId w:val="8"/>
        </w:numPr>
        <w:autoSpaceDE w:val="0"/>
        <w:autoSpaceDN w:val="0"/>
        <w:adjustRightInd w:val="0"/>
        <w:spacing w:after="120"/>
        <w:contextualSpacing w:val="0"/>
      </w:pPr>
      <w:r w:rsidRPr="00AF05F1">
        <w:t>Payment by ACH must be made by using the Commission’s Fee Filer website at</w:t>
      </w:r>
      <w:r>
        <w:t xml:space="preserve"> </w:t>
      </w:r>
      <w:hyperlink r:id="rId8" w:history="1">
        <w:r w:rsidRPr="00C81521" w:rsidR="00733F00">
          <w:rPr>
            <w:rStyle w:val="Hyperlink"/>
          </w:rPr>
          <w:t>https://apps.fcc.gov/FeeFiler/login.cfm</w:t>
        </w:r>
      </w:hyperlink>
      <w:r w:rsidRPr="00AF05F1">
        <w:t>.</w:t>
      </w:r>
      <w:r w:rsidR="00733F00">
        <w:t xml:space="preserve"> </w:t>
      </w:r>
      <w:r w:rsidRPr="00AF05F1">
        <w:t xml:space="preserve"> To pay by ACH, log in using the FRN captioned above.</w:t>
      </w:r>
      <w:r>
        <w:t xml:space="preserve">  </w:t>
      </w:r>
      <w:r w:rsidRPr="00AF05F1">
        <w:t>If payment must be split across FRNs, complete this process for each FRN.  Next, select “Pay</w:t>
      </w:r>
      <w:r w:rsidR="00CF2CD6">
        <w:t xml:space="preserve"> </w:t>
      </w:r>
      <w:r w:rsidRPr="00CF2CD6">
        <w:t xml:space="preserve">bills” on the Fee Filer Menu and then select the bill number associated to the NAL </w:t>
      </w:r>
      <w:r w:rsidRPr="00A200B5">
        <w:t>Account – the</w:t>
      </w:r>
      <w:r w:rsidRPr="00A200B5" w:rsidR="00CF2CD6">
        <w:t xml:space="preserve"> </w:t>
      </w:r>
      <w:r w:rsidRPr="00A200B5">
        <w:t>bill number is the NAL Account number with the first two digits excluded – and</w:t>
      </w:r>
      <w:r w:rsidRPr="00CF2CD6">
        <w:t xml:space="preserve"> choose the “Pay</w:t>
      </w:r>
      <w:r w:rsidR="00CF2CD6">
        <w:t xml:space="preserve"> </w:t>
      </w:r>
      <w:r w:rsidRPr="00CF2CD6">
        <w:t>from Bank Account” option.  Please contact the appropriate financial institution to confirm the</w:t>
      </w:r>
      <w:r w:rsidR="00CF2CD6">
        <w:t xml:space="preserve"> </w:t>
      </w:r>
      <w:r w:rsidRPr="00CF2CD6">
        <w:t>correct Routing Number and the correct account number from which payment will be made and</w:t>
      </w:r>
      <w:r w:rsidR="00CF2CD6">
        <w:t xml:space="preserve"> </w:t>
      </w:r>
      <w:r w:rsidRPr="00CF2CD6">
        <w:t>verify with that financial institution that the designated account has authorization to accept ACH</w:t>
      </w:r>
      <w:r w:rsidR="00CF2CD6">
        <w:t xml:space="preserve"> </w:t>
      </w:r>
      <w:r w:rsidRPr="00CF2CD6">
        <w:t>transactions.</w:t>
      </w:r>
    </w:p>
    <w:p w:rsidR="00AF05F1" w:rsidRPr="000D6D4E" w:rsidP="00F15F4C" w14:paraId="5FA27CE7" w14:textId="14E35BD2">
      <w:pPr>
        <w:pStyle w:val="ParaNum"/>
        <w:widowControl/>
        <w:rPr>
          <w:kern w:val="0"/>
        </w:rPr>
      </w:pPr>
      <w:r w:rsidRPr="00CF2CD6">
        <w:t>Any request for making full payment over time under an installment plan should be sent to:  Chief Financial Officer – Financial Operations, Federal Communications Commission, 45 L Street, NE, Washington, DC 20554</w:t>
      </w:r>
      <w:r w:rsidRPr="00441582" w:rsidR="00441582">
        <w:rPr>
          <w:szCs w:val="22"/>
        </w:rPr>
        <w:t xml:space="preserve"> </w:t>
      </w:r>
      <w:r w:rsidR="00441582">
        <w:rPr>
          <w:szCs w:val="22"/>
        </w:rPr>
        <w:t xml:space="preserve">and e-mailed to Scott Radcliffe, Revenue &amp; Receivables Operations Group, FCC Office of the Managing Director, at </w:t>
      </w:r>
      <w:hyperlink r:id="rId9" w:history="1">
        <w:r w:rsidRPr="00FB5F79" w:rsidR="00B17683">
          <w:rPr>
            <w:rStyle w:val="Hyperlink"/>
            <w:szCs w:val="22"/>
          </w:rPr>
          <w:t>Scott.Radcliffe@fcc.gov</w:t>
        </w:r>
      </w:hyperlink>
      <w:r w:rsidR="00B17683">
        <w:rPr>
          <w:szCs w:val="22"/>
        </w:rPr>
        <w:t>.</w:t>
      </w:r>
      <w:r>
        <w:rPr>
          <w:vertAlign w:val="superscript"/>
        </w:rPr>
        <w:footnoteReference w:id="38"/>
      </w:r>
      <w:r w:rsidRPr="00CF2CD6">
        <w:t xml:space="preserve">  If you have any questions regarding payment procedures, please contact the Financial Operations Group Help Desk by phone, 1-877-480-3201, or by e-mail, </w:t>
      </w:r>
      <w:hyperlink r:id="rId10" w:history="1">
        <w:r w:rsidRPr="004546F6" w:rsidR="00441582">
          <w:rPr>
            <w:rStyle w:val="Hyperlink"/>
          </w:rPr>
          <w:t>ARINQUIRES@fcc.gov</w:t>
        </w:r>
      </w:hyperlink>
      <w:r w:rsidRPr="00CF2CD6">
        <w:t xml:space="preserve">. </w:t>
      </w:r>
      <w:r w:rsidR="00441582">
        <w:rPr>
          <w:szCs w:val="22"/>
        </w:rPr>
        <w:t xml:space="preserve"> </w:t>
      </w:r>
    </w:p>
    <w:p w:rsidR="00AF05F1" w:rsidRPr="00CF2CD6" w:rsidP="00F15F4C" w14:paraId="779E9DD4" w14:textId="6126C7F2">
      <w:pPr>
        <w:pStyle w:val="ParaNum"/>
        <w:widowControl/>
      </w:pPr>
      <w:r w:rsidRPr="00CF2CD6">
        <w:t xml:space="preserve">The written statement seeking reduction or cancellation of the proposed forfeiture, if any, must include a detailed factual statement supported by appropriate documentation and affidavits pursuant to </w:t>
      </w:r>
      <w:r w:rsidR="00FC2E56">
        <w:t>s</w:t>
      </w:r>
      <w:r w:rsidRPr="00CF2CD6">
        <w:t>ection</w:t>
      </w:r>
      <w:r w:rsidR="006C3872">
        <w:t>s</w:t>
      </w:r>
      <w:r w:rsidRPr="00CF2CD6">
        <w:t xml:space="preserve"> 1.16 and 1.80(f)(3) of the Commission’s rules.</w:t>
      </w:r>
      <w:r>
        <w:rPr>
          <w:vertAlign w:val="superscript"/>
        </w:rPr>
        <w:footnoteReference w:id="39"/>
      </w:r>
      <w:r w:rsidRPr="00CF2CD6">
        <w:t xml:space="preserve">  The written statement must be mailed to Jeffrey J. Gee, Chief, Investigations and Hearings Division, Enforcement Bureau, Federal Communications Commission, 45 L Street, NE, Washington, DC 20554, and must include the NAL/Acct. </w:t>
      </w:r>
      <w:r w:rsidRPr="00CF2CD6">
        <w:t>No. referenced in the caption.  The written statement shall also be e</w:t>
      </w:r>
      <w:r w:rsidR="00E34909">
        <w:t>-</w:t>
      </w:r>
      <w:r w:rsidRPr="00CF2CD6">
        <w:t xml:space="preserve">mailed to </w:t>
      </w:r>
      <w:r w:rsidRPr="00A2785D">
        <w:t xml:space="preserve">Jeffrey J. Gee at </w:t>
      </w:r>
      <w:hyperlink r:id="rId11" w:history="1">
        <w:r w:rsidRPr="00FB5F79" w:rsidR="00224192">
          <w:rPr>
            <w:rStyle w:val="Hyperlink"/>
          </w:rPr>
          <w:t>Jeffrey.Gee@fcc.gov</w:t>
        </w:r>
      </w:hyperlink>
      <w:r w:rsidR="00224192">
        <w:rPr>
          <w:color w:val="0563C1" w:themeColor="hyperlink"/>
          <w:u w:val="single"/>
        </w:rPr>
        <w:t xml:space="preserve"> </w:t>
      </w:r>
      <w:r w:rsidRPr="00CF2CD6">
        <w:t xml:space="preserve">and to </w:t>
      </w:r>
      <w:r w:rsidR="00E772E2">
        <w:t>Victoria Randazzo</w:t>
      </w:r>
      <w:r w:rsidRPr="00CF2CD6">
        <w:t xml:space="preserve"> at</w:t>
      </w:r>
      <w:r w:rsidR="00224192">
        <w:t xml:space="preserve"> </w:t>
      </w:r>
      <w:hyperlink r:id="rId12" w:history="1">
        <w:r w:rsidRPr="00FB5F79" w:rsidR="00224192">
          <w:rPr>
            <w:rStyle w:val="Hyperlink"/>
          </w:rPr>
          <w:t>Victoria.Randazzo@fcc.gov</w:t>
        </w:r>
      </w:hyperlink>
      <w:r w:rsidR="00224192">
        <w:t xml:space="preserve">. </w:t>
      </w:r>
    </w:p>
    <w:p w:rsidR="00AF05F1" w:rsidRPr="000D6D4E" w:rsidP="00F15F4C" w14:paraId="1B19CE25" w14:textId="12E3A5B1">
      <w:pPr>
        <w:pStyle w:val="ParaNum"/>
        <w:widowControl/>
      </w:pPr>
      <w:r w:rsidRPr="00CF2CD6">
        <w:t>The Commission will not consider reducing or canceling a forfeiture in response to a claim of inability to pay unless the petitioner submits:  (1) federal tax returns for the most recent three 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r w:rsidR="000D6D4E">
        <w:t xml:space="preserve">  </w:t>
      </w:r>
      <w:r w:rsidRPr="000D6D4E" w:rsidR="000D6D4E">
        <w:rPr>
          <w:color w:val="000000"/>
          <w:kern w:val="0"/>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kern w:val="0"/>
          <w:szCs w:val="22"/>
        </w:rPr>
        <w:footnoteReference w:id="40"/>
      </w:r>
      <w:r w:rsidRPr="000D6D4E" w:rsidR="000D6D4E">
        <w:rPr>
          <w:color w:val="000000"/>
          <w:kern w:val="0"/>
          <w:sz w:val="14"/>
          <w:szCs w:val="14"/>
        </w:rPr>
        <w:t xml:space="preserve"> </w:t>
      </w:r>
    </w:p>
    <w:p w:rsidR="00AF05F1" w:rsidRPr="00CF2CD6" w:rsidP="00F15F4C" w14:paraId="48062C4B" w14:textId="0D3069BB">
      <w:pPr>
        <w:pStyle w:val="ParaNum"/>
        <w:widowControl/>
      </w:pPr>
      <w:r w:rsidRPr="00CF2CD6">
        <w:rPr>
          <w:b/>
          <w:bCs/>
        </w:rPr>
        <w:t>IT IS FURTHER ORDERED</w:t>
      </w:r>
      <w:r w:rsidRPr="00CF2CD6">
        <w:t xml:space="preserve"> that a copy of this Notice of Apparent Liability for </w:t>
      </w:r>
      <w:r w:rsidR="00AA1776">
        <w:t>F</w:t>
      </w:r>
      <w:r w:rsidRPr="00CF2CD6">
        <w:t xml:space="preserve">orfeiture shall be sent by </w:t>
      </w:r>
      <w:r w:rsidRPr="00D86160" w:rsidR="00D86160">
        <w:t>first class mail and certified mail, return receipt requested</w:t>
      </w:r>
      <w:r w:rsidRPr="00CF2CD6">
        <w:t xml:space="preserve"> to</w:t>
      </w:r>
      <w:r w:rsidR="00362E76">
        <w:t>:  City of Sandy, Oregon</w:t>
      </w:r>
      <w:r w:rsidR="00BB43BB">
        <w:t xml:space="preserve"> d/b/a SandyNet,</w:t>
      </w:r>
      <w:r w:rsidR="00362E76">
        <w:t xml:space="preserve"> c/o</w:t>
      </w:r>
      <w:r w:rsidR="0068121B">
        <w:t xml:space="preserve"> Kim Yamashita, </w:t>
      </w:r>
      <w:r w:rsidRPr="004E235F" w:rsidR="0068121B">
        <w:t>3925</w:t>
      </w:r>
      <w:r w:rsidRPr="004E235F" w:rsidR="004E235F">
        <w:t>0</w:t>
      </w:r>
      <w:r w:rsidR="0068121B">
        <w:t xml:space="preserve"> Pioneer Blvd, Sandy, OR 97055,</w:t>
      </w:r>
      <w:r w:rsidR="00224192">
        <w:t xml:space="preserve"> and</w:t>
      </w:r>
      <w:r w:rsidRPr="00CF2CD6">
        <w:t xml:space="preserve"> </w:t>
      </w:r>
      <w:r w:rsidR="00AD2BE0">
        <w:t>Mayor Stan Pulliam, City of Sandy,</w:t>
      </w:r>
      <w:r w:rsidR="00362E76">
        <w:t xml:space="preserve"> Oregon,</w:t>
      </w:r>
      <w:r w:rsidR="008E59CE">
        <w:t xml:space="preserve"> 39250 Pioneer Blvd, Sandy, OR 97055</w:t>
      </w:r>
      <w:r w:rsidRPr="00CF2CD6">
        <w:t>.</w:t>
      </w:r>
    </w:p>
    <w:p w:rsidR="00AF05F1" w:rsidRPr="00AF05F1" w:rsidP="00F15F4C" w14:paraId="2FDE24B2" w14:textId="77777777">
      <w:pPr>
        <w:widowControl/>
        <w:spacing w:after="120"/>
        <w:ind w:left="720"/>
      </w:pPr>
    </w:p>
    <w:p w:rsidR="002A6E30" w:rsidP="00F15F4C" w14:paraId="78328645" w14:textId="77777777">
      <w:pPr>
        <w:pStyle w:val="ListParagraph"/>
        <w:keepNext/>
        <w:widowControl/>
        <w:spacing w:after="120"/>
        <w:outlineLvl w:val="1"/>
        <w:rPr>
          <w:bCs/>
        </w:rPr>
      </w:pPr>
    </w:p>
    <w:p w:rsidR="00C97E2B" w:rsidP="00F15F4C" w14:paraId="4555FB74" w14:textId="77777777">
      <w:pPr>
        <w:widowControl/>
      </w:pPr>
      <w:r>
        <w:tab/>
      </w:r>
      <w:r>
        <w:tab/>
      </w:r>
      <w:r>
        <w:tab/>
      </w:r>
      <w:r>
        <w:tab/>
      </w:r>
      <w:r>
        <w:tab/>
      </w:r>
      <w:r>
        <w:tab/>
        <w:t>FEDERAL COMMUNICATIONS COMMISSION</w:t>
      </w:r>
    </w:p>
    <w:p w:rsidR="00C97E2B" w:rsidP="00F15F4C" w14:paraId="0E9C6AAF" w14:textId="77777777">
      <w:pPr>
        <w:widowControl/>
      </w:pPr>
    </w:p>
    <w:p w:rsidR="00C97E2B" w:rsidP="00F15F4C" w14:paraId="21B57160" w14:textId="77777777">
      <w:pPr>
        <w:widowControl/>
      </w:pPr>
    </w:p>
    <w:p w:rsidR="00C97E2B" w:rsidP="00F15F4C" w14:paraId="48CB3363" w14:textId="77777777">
      <w:pPr>
        <w:widowControl/>
      </w:pPr>
    </w:p>
    <w:p w:rsidR="00C97E2B" w:rsidP="00F15F4C" w14:paraId="367F29B1" w14:textId="77777777">
      <w:pPr>
        <w:widowControl/>
      </w:pPr>
    </w:p>
    <w:p w:rsidR="00C97E2B" w:rsidP="00F15F4C" w14:paraId="476F4524" w14:textId="77777777">
      <w:pPr>
        <w:widowControl/>
      </w:pPr>
      <w:r>
        <w:tab/>
      </w:r>
      <w:r>
        <w:tab/>
      </w:r>
      <w:r>
        <w:tab/>
      </w:r>
      <w:r>
        <w:tab/>
      </w:r>
      <w:r>
        <w:tab/>
      </w:r>
      <w:r>
        <w:tab/>
        <w:t>Rosemary C. Harold</w:t>
      </w:r>
    </w:p>
    <w:p w:rsidR="00C97E2B" w:rsidP="00F15F4C" w14:paraId="12BC47C1" w14:textId="77777777">
      <w:pPr>
        <w:widowControl/>
      </w:pPr>
      <w:r>
        <w:tab/>
      </w:r>
      <w:r>
        <w:tab/>
      </w:r>
      <w:r>
        <w:tab/>
      </w:r>
      <w:r>
        <w:tab/>
      </w:r>
      <w:r>
        <w:tab/>
      </w:r>
      <w:r>
        <w:tab/>
        <w:t>Chief</w:t>
      </w:r>
    </w:p>
    <w:p w:rsidR="00C97E2B" w:rsidP="00F15F4C" w14:paraId="5C196A23" w14:textId="77777777">
      <w:pPr>
        <w:widowControl/>
      </w:pPr>
      <w:r>
        <w:tab/>
      </w:r>
      <w:r>
        <w:tab/>
      </w:r>
      <w:r>
        <w:tab/>
      </w:r>
      <w:r>
        <w:tab/>
      </w:r>
      <w:r>
        <w:tab/>
      </w:r>
      <w:r>
        <w:tab/>
        <w:t>Enforcement Bureau</w:t>
      </w:r>
    </w:p>
    <w:p w:rsidR="00C97E2B" w:rsidRPr="002A6E30" w:rsidP="00F15F4C" w14:paraId="5609B54D" w14:textId="77777777">
      <w:pPr>
        <w:pStyle w:val="ListParagraph"/>
        <w:keepNext/>
        <w:widowControl/>
        <w:spacing w:after="120"/>
        <w:outlineLvl w:val="1"/>
        <w:rPr>
          <w:bCs/>
        </w:rPr>
      </w:pPr>
    </w:p>
    <w:sectPr w:rsidSect="002E6E1F">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P="00AF05F1" w14:paraId="71DC021F" w14:textId="0B73EFE6">
    <w:pPr>
      <w:pStyle w:val="Footer"/>
      <w:jc w:val="center"/>
    </w:pPr>
    <w:r w:rsidRPr="00FF2E02">
      <w:fldChar w:fldCharType="begin"/>
    </w:r>
    <w:r w:rsidRPr="00FF2E02">
      <w:instrText xml:space="preserve"> PAGE   \* MERGEFORMAT </w:instrText>
    </w:r>
    <w:r w:rsidRPr="00FF2E02">
      <w:fldChar w:fldCharType="separate"/>
    </w:r>
    <w:r w:rsidRPr="00FF2E02">
      <w:rPr>
        <w:noProof/>
      </w:rPr>
      <w:t>2</w:t>
    </w:r>
    <w:r w:rsidRPr="00FF2E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59B0" w:rsidP="00AF05F1" w14:paraId="7F462A12" w14:textId="77777777">
      <w:r>
        <w:separator/>
      </w:r>
    </w:p>
  </w:footnote>
  <w:footnote w:type="continuationSeparator" w:id="1">
    <w:p w:rsidR="009259B0" w:rsidP="00AF05F1" w14:paraId="537664CF" w14:textId="77777777">
      <w:r>
        <w:continuationSeparator/>
      </w:r>
    </w:p>
  </w:footnote>
  <w:footnote w:type="continuationNotice" w:id="2">
    <w:p w:rsidR="009259B0" w14:paraId="0AEEE0A4" w14:textId="77777777"/>
  </w:footnote>
  <w:footnote w:id="3">
    <w:p w:rsidR="00111CC4" w:rsidP="009321F5" w14:paraId="7C3C2687" w14:textId="79C70FEF">
      <w:pPr>
        <w:pStyle w:val="FootnoteText"/>
      </w:pPr>
      <w:r w:rsidRPr="00DC7A46">
        <w:rPr>
          <w:rStyle w:val="FootnoteReference"/>
        </w:rPr>
        <w:footnoteRef/>
      </w:r>
      <w:r w:rsidRPr="00DC7A46">
        <w:t xml:space="preserve"> </w:t>
      </w:r>
      <w:r w:rsidRPr="00DC7A46">
        <w:rPr>
          <w:i/>
        </w:rPr>
        <w:t>See</w:t>
      </w:r>
      <w:r w:rsidRPr="00DC7A46">
        <w:t xml:space="preserve"> 47 CFR §§</w:t>
      </w:r>
      <w:r w:rsidRPr="00DC7A46">
        <w:rPr>
          <w:i/>
        </w:rPr>
        <w:t xml:space="preserve"> </w:t>
      </w:r>
      <w:r w:rsidRPr="00DC7A46">
        <w:t>1.7001, 1.7002</w:t>
      </w:r>
      <w:r w:rsidR="00B34DB9">
        <w:t xml:space="preserve">; </w:t>
      </w:r>
      <w:r w:rsidRPr="00DC7A46" w:rsidR="00B34DB9">
        <w:rPr>
          <w:i/>
          <w:iCs/>
        </w:rPr>
        <w:t>FCC Form 477</w:t>
      </w:r>
      <w:r w:rsidR="00304CD4">
        <w:rPr>
          <w:i/>
          <w:iCs/>
        </w:rPr>
        <w:t xml:space="preserve"> Local Telephone Competition and Broadband Reporting</w:t>
      </w:r>
      <w:r w:rsidRPr="00DC7A46" w:rsidR="00B34DB9">
        <w:rPr>
          <w:i/>
          <w:iCs/>
        </w:rPr>
        <w:t xml:space="preserve"> Instructions for Filing as of December 31, 2019</w:t>
      </w:r>
      <w:r w:rsidR="00304CD4">
        <w:rPr>
          <w:i/>
          <w:iCs/>
        </w:rPr>
        <w:t xml:space="preserve"> and Beyond</w:t>
      </w:r>
      <w:r w:rsidRPr="00DC7A46" w:rsidR="00B34DB9">
        <w:t xml:space="preserve"> at 32 (</w:t>
      </w:r>
      <w:r w:rsidRPr="00DC7A46" w:rsidR="00B34DB9">
        <w:rPr>
          <w:i/>
          <w:iCs/>
        </w:rPr>
        <w:t>December 31, 2019 FCC Form 477 Instructions</w:t>
      </w:r>
      <w:r w:rsidRPr="00DC7A46" w:rsidR="00B34DB9">
        <w:t>).</w:t>
      </w:r>
      <w:r w:rsidRPr="00DC7A46">
        <w:t xml:space="preserve">  Section 1.7001 directs FCC Form 4</w:t>
      </w:r>
      <w:r w:rsidR="00C75C9E">
        <w:t>7</w:t>
      </w:r>
      <w:r w:rsidRPr="00DC7A46">
        <w:t>7 filers to make filings “in accordance with the Commission’s rules and instructions to the FCC Form 477,” and warns that “[f]</w:t>
      </w:r>
      <w:r w:rsidRPr="00DC7A46">
        <w:t>ailure</w:t>
      </w:r>
      <w:r w:rsidRPr="00DC7A46">
        <w:t xml:space="preserve"> to file the FCC Form 477 in accordance with the Commission’s rules and instructions to the Form 4</w:t>
      </w:r>
      <w:r w:rsidR="00FA0370">
        <w:t>77</w:t>
      </w:r>
      <w:r w:rsidRPr="00DC7A46">
        <w:t xml:space="preserve"> may lead to enforcement action pursuant to the Act and any other applicable law.</w:t>
      </w:r>
      <w:r w:rsidR="006A3789">
        <w:t>”</w:t>
      </w:r>
      <w:r w:rsidRPr="00DC7A46">
        <w:t xml:space="preserve">  </w:t>
      </w:r>
      <w:r w:rsidR="00B34DB9">
        <w:t>From time-to-time the Commission has issued a Public Notice shifting the filing data beyond March 1</w:t>
      </w:r>
      <w:r w:rsidRPr="00B34DB9" w:rsidR="00B34DB9">
        <w:rPr>
          <w:vertAlign w:val="superscript"/>
        </w:rPr>
        <w:t>st</w:t>
      </w:r>
      <w:r w:rsidR="00B34DB9">
        <w:t xml:space="preserve"> or September 1</w:t>
      </w:r>
      <w:r w:rsidRPr="00B34DB9" w:rsidR="00B34DB9">
        <w:rPr>
          <w:vertAlign w:val="superscript"/>
        </w:rPr>
        <w:t>st</w:t>
      </w:r>
      <w:r w:rsidR="00B34DB9">
        <w:t xml:space="preserve"> because those data coincide with a date that the Commission was officially closed (</w:t>
      </w:r>
      <w:r w:rsidRPr="00B34DB9" w:rsidR="00B34DB9">
        <w:rPr>
          <w:i/>
          <w:iCs/>
        </w:rPr>
        <w:t>e.g.</w:t>
      </w:r>
      <w:r w:rsidR="00225461">
        <w:rPr>
          <w:i/>
          <w:iCs/>
        </w:rPr>
        <w:t>,</w:t>
      </w:r>
      <w:r w:rsidR="00B34DB9">
        <w:t xml:space="preserve"> due to a weekend of Federal holiday) or because of maintenance of the electronic filing system.  </w:t>
      </w:r>
    </w:p>
  </w:footnote>
  <w:footnote w:id="4">
    <w:p w:rsidR="00111CC4" w:rsidP="005A1F36" w14:paraId="2A9F0C65" w14:textId="77777777">
      <w:pPr>
        <w:pStyle w:val="FootnoteText"/>
        <w:tabs>
          <w:tab w:val="left" w:pos="5730"/>
        </w:tabs>
      </w:pPr>
      <w:r w:rsidRPr="00DC7A46">
        <w:rPr>
          <w:rStyle w:val="FootnoteReference"/>
        </w:rPr>
        <w:footnoteRef/>
      </w:r>
      <w:r w:rsidRPr="00DC7A46">
        <w:t xml:space="preserve"> 47 U.S.C. § 1302(a).</w:t>
      </w:r>
      <w:r w:rsidR="00A7009F">
        <w:tab/>
      </w:r>
    </w:p>
  </w:footnote>
  <w:footnote w:id="5">
    <w:p w:rsidR="00764199" w14:paraId="259A8084" w14:textId="705EC45B">
      <w:pPr>
        <w:pStyle w:val="FootnoteText"/>
      </w:pPr>
      <w:r>
        <w:rPr>
          <w:rStyle w:val="FootnoteReference"/>
        </w:rPr>
        <w:footnoteRef/>
      </w:r>
      <w:r>
        <w:t xml:space="preserve"> </w:t>
      </w:r>
      <w:r w:rsidRPr="00441582" w:rsidR="006A538A">
        <w:rPr>
          <w:i/>
          <w:iCs/>
        </w:rPr>
        <w:t xml:space="preserve">See </w:t>
      </w:r>
      <w:r w:rsidRPr="00A61C9A" w:rsidR="00340054">
        <w:rPr>
          <w:i/>
          <w:iCs/>
        </w:rPr>
        <w:t>id</w:t>
      </w:r>
      <w:r w:rsidR="00340054">
        <w:t>.</w:t>
      </w:r>
      <w:r>
        <w:t xml:space="preserve"> </w:t>
      </w:r>
      <w:r w:rsidRPr="00DC7A46">
        <w:t>§</w:t>
      </w:r>
      <w:r>
        <w:t xml:space="preserve"> 1302(</w:t>
      </w:r>
      <w:r w:rsidR="006A538A">
        <w:t>b</w:t>
      </w:r>
      <w:r>
        <w:t xml:space="preserve">). </w:t>
      </w:r>
    </w:p>
  </w:footnote>
  <w:footnote w:id="6">
    <w:p w:rsidR="00111CC4" w:rsidP="009321F5" w14:paraId="32AB4234" w14:textId="77777777">
      <w:pPr>
        <w:pStyle w:val="FootnoteText"/>
      </w:pPr>
      <w:r>
        <w:rPr>
          <w:rStyle w:val="FootnoteReference"/>
        </w:rPr>
        <w:footnoteRef/>
      </w:r>
      <w:r>
        <w:t xml:space="preserve"> </w:t>
      </w:r>
      <w:r w:rsidRPr="00A2785D">
        <w:rPr>
          <w:i/>
          <w:iCs/>
        </w:rPr>
        <w:t>December 31, 2019 FCC Form 477 Instructions</w:t>
      </w:r>
      <w:r>
        <w:t xml:space="preserve"> at 4.</w:t>
      </w:r>
      <w:r w:rsidR="00DB1C9A">
        <w:t xml:space="preserve"> </w:t>
      </w:r>
    </w:p>
  </w:footnote>
  <w:footnote w:id="7">
    <w:p w:rsidR="00111CC4" w:rsidP="00DB1C9A" w14:paraId="6F17919D" w14:textId="6295221C">
      <w:pPr>
        <w:pStyle w:val="FootnoteText"/>
      </w:pPr>
      <w:bookmarkStart w:id="2" w:name="_Hlk60671435"/>
      <w:r>
        <w:rPr>
          <w:rStyle w:val="FootnoteReference"/>
        </w:rPr>
        <w:footnoteRef/>
      </w:r>
      <w:r w:rsidR="00DB1C9A">
        <w:t xml:space="preserve"> </w:t>
      </w:r>
      <w:bookmarkStart w:id="3" w:name="_Hlk58590380"/>
      <w:r w:rsidRPr="00FF666E" w:rsidR="00DB1C9A">
        <w:rPr>
          <w:i/>
          <w:iCs/>
        </w:rPr>
        <w:t xml:space="preserve">Local </w:t>
      </w:r>
      <w:r w:rsidR="00BA3F91">
        <w:rPr>
          <w:i/>
          <w:iCs/>
        </w:rPr>
        <w:t xml:space="preserve">Telephone </w:t>
      </w:r>
      <w:r w:rsidRPr="00FF666E" w:rsidR="00DB1C9A">
        <w:rPr>
          <w:i/>
          <w:iCs/>
        </w:rPr>
        <w:t>Competition</w:t>
      </w:r>
      <w:r w:rsidR="00BA3F91">
        <w:rPr>
          <w:i/>
          <w:iCs/>
        </w:rPr>
        <w:t xml:space="preserve"> and</w:t>
      </w:r>
      <w:r w:rsidRPr="00FF666E" w:rsidR="00DB1C9A">
        <w:rPr>
          <w:i/>
          <w:iCs/>
        </w:rPr>
        <w:t xml:space="preserve"> Broadband Reporting</w:t>
      </w:r>
      <w:r w:rsidR="00DB1C9A">
        <w:t>, WC Docket No. 04-141, Report and Order</w:t>
      </w:r>
      <w:r w:rsidR="00E03F3E">
        <w:t>,</w:t>
      </w:r>
      <w:r w:rsidR="00DB1C9A">
        <w:t xml:space="preserve"> 19 FCC Rcd 22340, 22345, para. 8 (2004) (</w:t>
      </w:r>
      <w:r w:rsidRPr="00FF666E" w:rsidR="00DB1C9A">
        <w:rPr>
          <w:i/>
          <w:iCs/>
        </w:rPr>
        <w:t>2004 Broadband Reporting Order</w:t>
      </w:r>
      <w:r w:rsidR="00DB1C9A">
        <w:t xml:space="preserve">) (emphasis in original); </w:t>
      </w:r>
      <w:r w:rsidRPr="00FF666E" w:rsidR="00DB1C9A">
        <w:rPr>
          <w:i/>
          <w:iCs/>
        </w:rPr>
        <w:t>FCC Announces Electronic Posting of OMB-Approved Form 477 for the September 1, 2005 Filing and Data Collection Workshop to be Held on June 29,  2005</w:t>
      </w:r>
      <w:r w:rsidR="00DB1C9A">
        <w:t>, Public Notice, 20 FCC Rcd 10454</w:t>
      </w:r>
      <w:r w:rsidR="00C57163">
        <w:t>,</w:t>
      </w:r>
      <w:r w:rsidRPr="00C57163" w:rsidR="00C57163">
        <w:t xml:space="preserve"> </w:t>
      </w:r>
      <w:r w:rsidR="00C57163">
        <w:t>10456</w:t>
      </w:r>
      <w:r w:rsidR="00DB1C9A">
        <w:t xml:space="preserve"> (WCB 2005) (</w:t>
      </w:r>
      <w:r w:rsidRPr="00FF666E" w:rsidR="00DB1C9A">
        <w:rPr>
          <w:i/>
          <w:iCs/>
        </w:rPr>
        <w:t>OMB-Approved Form 477 Public Notice</w:t>
      </w:r>
      <w:r w:rsidR="00DB1C9A">
        <w:t>).</w:t>
      </w:r>
      <w:bookmarkEnd w:id="3"/>
      <w:r w:rsidR="00C40FBC">
        <w:t xml:space="preserve"> </w:t>
      </w:r>
      <w:bookmarkStart w:id="4" w:name="_Hlk60667612"/>
      <w:r w:rsidR="00C40FBC">
        <w:t xml:space="preserve"> </w:t>
      </w:r>
      <w:r w:rsidR="00530567">
        <w:t xml:space="preserve">In 2008, the Commission ordered </w:t>
      </w:r>
      <w:r w:rsidR="00C40FBC">
        <w:t>providers of interconnected voice over internet protocol (</w:t>
      </w:r>
      <w:r w:rsidR="00530567">
        <w:t xml:space="preserve">interconnected </w:t>
      </w:r>
      <w:r w:rsidR="00C40FBC">
        <w:t>VoIP)</w:t>
      </w:r>
      <w:r w:rsidR="00530567">
        <w:t xml:space="preserve"> service</w:t>
      </w:r>
      <w:r w:rsidR="00C40FBC">
        <w:t xml:space="preserve"> to </w:t>
      </w:r>
      <w:r w:rsidR="00530567">
        <w:t>begin reporting subscribership information on Form 477.</w:t>
      </w:r>
      <w:bookmarkEnd w:id="2"/>
      <w:r w:rsidR="00530567">
        <w:t xml:space="preserve">  </w:t>
      </w:r>
      <w:r w:rsidRPr="00F93ADE" w:rsidR="006A0C6E">
        <w:rPr>
          <w:i/>
          <w:iCs/>
        </w:rPr>
        <w:t>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F93ADE" w:rsidR="006A0C6E">
        <w:t xml:space="preserve">, WC Docket No. 07-38, Report and Order and Further Notice of Proposed Rulemaking, </w:t>
      </w:r>
      <w:r w:rsidRPr="00F93ADE" w:rsidR="00C600BC">
        <w:t>23 FCC Rcd 9691</w:t>
      </w:r>
      <w:r w:rsidRPr="00F93ADE" w:rsidR="007A4652">
        <w:t xml:space="preserve">, </w:t>
      </w:r>
      <w:r w:rsidRPr="00F93ADE" w:rsidR="00C600BC">
        <w:t>9705</w:t>
      </w:r>
      <w:r w:rsidRPr="00F93ADE" w:rsidR="007A4652">
        <w:t>, para. 28 (2008).</w:t>
      </w:r>
      <w:r w:rsidR="007A4652">
        <w:t xml:space="preserve"> </w:t>
      </w:r>
    </w:p>
    <w:bookmarkEnd w:id="4"/>
  </w:footnote>
  <w:footnote w:id="8">
    <w:p w:rsidR="002C7904" w:rsidRPr="00A80B8F" w14:paraId="1569FE4B" w14:textId="526E35BE">
      <w:pPr>
        <w:pStyle w:val="FootnoteText"/>
      </w:pPr>
      <w:r>
        <w:rPr>
          <w:rStyle w:val="FootnoteReference"/>
        </w:rPr>
        <w:footnoteRef/>
      </w:r>
      <w:r>
        <w:t xml:space="preserve"> </w:t>
      </w:r>
      <w:r w:rsidRPr="00441582" w:rsidR="00FB1BA5">
        <w:rPr>
          <w:i/>
          <w:iCs/>
        </w:rPr>
        <w:t xml:space="preserve">See </w:t>
      </w:r>
      <w:r>
        <w:t xml:space="preserve">News Release, FCC, FCC Improves Data Collection to Monitor Nationwide Broadband Rollout, Agency Also to Collect Better Information About Rural and Underserved Areas (Nov. </w:t>
      </w:r>
      <w:r w:rsidR="00A80B8F">
        <w:t>9</w:t>
      </w:r>
      <w:r>
        <w:t xml:space="preserve">, 2004), </w:t>
      </w:r>
      <w:hyperlink r:id="rId1" w:history="1">
        <w:r w:rsidRPr="00C24B0B" w:rsidR="00F55566">
          <w:rPr>
            <w:rStyle w:val="Hyperlink"/>
          </w:rPr>
          <w:t>https://www.fcc.gov/document/fcc-improves-data-collection-monitor-nationwide-broadband-rollout</w:t>
        </w:r>
      </w:hyperlink>
      <w:r w:rsidR="00A80B8F">
        <w:t xml:space="preserve">; </w:t>
      </w:r>
      <w:r w:rsidRPr="00441582" w:rsidR="00BF4616">
        <w:rPr>
          <w:i/>
          <w:iCs/>
        </w:rPr>
        <w:t xml:space="preserve">see also </w:t>
      </w:r>
      <w:r w:rsidRPr="00FF666E" w:rsidR="00A80B8F">
        <w:rPr>
          <w:i/>
          <w:iCs/>
        </w:rPr>
        <w:t>2004 Broadband Reporting Order</w:t>
      </w:r>
      <w:r w:rsidR="00A80B8F">
        <w:t>, 19 FCC Rcd at 22345, para. 8.</w:t>
      </w:r>
    </w:p>
  </w:footnote>
  <w:footnote w:id="9">
    <w:p w:rsidR="00111CC4" w:rsidP="00DB1C9A" w14:paraId="763A343C" w14:textId="77777777">
      <w:pPr>
        <w:pStyle w:val="FootnoteText"/>
      </w:pPr>
      <w:r>
        <w:rPr>
          <w:rStyle w:val="FootnoteReference"/>
        </w:rPr>
        <w:footnoteRef/>
      </w:r>
      <w:r w:rsidR="00DB1C9A">
        <w:t xml:space="preserve"> </w:t>
      </w:r>
      <w:r w:rsidRPr="00FF666E" w:rsidR="00DB1C9A">
        <w:rPr>
          <w:i/>
          <w:iCs/>
        </w:rPr>
        <w:t>See Modernizing the FCC Form 477 Data Program</w:t>
      </w:r>
      <w:r w:rsidR="00DB1C9A">
        <w:t>, WC Docket No. 11-10, Report and Order, 28 FCC Rcd 9887, 9888, 9896-97, 9902-08, 9913-18, paras. 3, 20, 32-41, 56-68 (2013)</w:t>
      </w:r>
      <w:r w:rsidR="00FF666E">
        <w:t xml:space="preserve">; </w:t>
      </w:r>
      <w:r w:rsidRPr="00FF666E" w:rsidR="00DB1C9A">
        <w:rPr>
          <w:i/>
          <w:iCs/>
        </w:rPr>
        <w:t>Additional Information for Form 477 Filers on New Data Submission Interface</w:t>
      </w:r>
      <w:r w:rsidR="00DB1C9A">
        <w:t xml:space="preserve">, WC Docket No. 11-10, Public Notice, 29 FCC Rcd 3174 (WCB 2014); </w:t>
      </w:r>
      <w:r w:rsidRPr="00FF666E" w:rsidR="00DB1C9A">
        <w:rPr>
          <w:i/>
          <w:iCs/>
        </w:rPr>
        <w:t>Wireline Competition Bureau Releases Data Specifications for Form 477</w:t>
      </w:r>
      <w:r w:rsidR="006E0077">
        <w:rPr>
          <w:i/>
          <w:iCs/>
        </w:rPr>
        <w:t xml:space="preserve"> </w:t>
      </w:r>
      <w:r w:rsidRPr="00FF666E" w:rsidR="00DB1C9A">
        <w:rPr>
          <w:i/>
          <w:iCs/>
        </w:rPr>
        <w:t>Data Collection</w:t>
      </w:r>
      <w:r w:rsidR="00DB1C9A">
        <w:t>, WC Docket No. 11-10, Public Notice, 28 FCC Rcd 12665 (WCB 2013).</w:t>
      </w:r>
    </w:p>
  </w:footnote>
  <w:footnote w:id="10">
    <w:p w:rsidR="00111CC4" w:rsidP="009321F5" w14:paraId="31F2D9E8" w14:textId="7E11CCA9">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Barrier Communications Corporation d/b/a BarrierFree</w:t>
      </w:r>
      <w:r w:rsidRPr="00DC7A46">
        <w:t>, Notice of Apparent Liability for Forfeiture, 35 FCC Rcd 10186 (2020) (</w:t>
      </w:r>
      <w:r w:rsidRPr="008A39C2">
        <w:rPr>
          <w:i/>
          <w:iCs/>
        </w:rPr>
        <w:t>BarrierFree NAL</w:t>
      </w:r>
      <w:r w:rsidRPr="00DC7A46">
        <w:t xml:space="preserve">); </w:t>
      </w:r>
      <w:r w:rsidRPr="008A39C2">
        <w:rPr>
          <w:i/>
          <w:iCs/>
        </w:rPr>
        <w:t>Rio Verde Wireless, LLC</w:t>
      </w:r>
      <w:r w:rsidRPr="00DC7A46">
        <w:t>, Notice of Apparent Liability for Forfeiture, 30 FCC Rcd 2196 (EB 2015)</w:t>
      </w:r>
      <w:r w:rsidR="00045AFD">
        <w:t xml:space="preserve"> </w:t>
      </w:r>
      <w:r w:rsidRPr="00DC7A46" w:rsidR="00B1525B">
        <w:t>(</w:t>
      </w:r>
      <w:r w:rsidRPr="008A39C2" w:rsidR="00B1525B">
        <w:rPr>
          <w:i/>
          <w:iCs/>
        </w:rPr>
        <w:t>Rio Verde Wireless NAL</w:t>
      </w:r>
      <w:r w:rsidRPr="00DC7A46" w:rsidR="00B1525B">
        <w:t>)</w:t>
      </w:r>
      <w:r w:rsidRPr="00DC7A46">
        <w:t xml:space="preserve">, </w:t>
      </w:r>
      <w:r w:rsidRPr="00B44EFC">
        <w:rPr>
          <w:i/>
          <w:iCs/>
        </w:rPr>
        <w:t>cancelled by</w:t>
      </w:r>
      <w:r w:rsidRPr="00DC7A46">
        <w:t xml:space="preserve"> Order, 30 FCC Rcd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Rcd 10853 (EB 2015); </w:t>
      </w:r>
      <w:r w:rsidRPr="008A39C2">
        <w:rPr>
          <w:i/>
          <w:iCs/>
        </w:rPr>
        <w:t>FCC Enforcement Advisory – Providers Are Reminded that They Must File Complete and Accurate Form 477 Reports Every Six Months</w:t>
      </w:r>
      <w:r w:rsidRPr="00DC7A46">
        <w:t>, Public Notice, 26 FCC Rcd 16769 (EB 2011).</w:t>
      </w:r>
    </w:p>
  </w:footnote>
  <w:footnote w:id="11">
    <w:p w:rsidR="00042172" w:rsidP="00042172" w14:paraId="635E09D7" w14:textId="19277CB8">
      <w:pPr>
        <w:pStyle w:val="FootnoteText"/>
      </w:pPr>
      <w:r w:rsidRPr="00221E8A">
        <w:rPr>
          <w:rStyle w:val="FootnoteReference"/>
        </w:rPr>
        <w:footnoteRef/>
      </w:r>
      <w:r w:rsidRPr="00221E8A">
        <w:t xml:space="preserve"> </w:t>
      </w:r>
      <w:r>
        <w:t xml:space="preserve"> </w:t>
      </w:r>
      <w:r w:rsidRPr="002940D4">
        <w:t>FCC Form 477 Filed for data as of December 31, 2019 for City of Sandy, SandyNe</w:t>
      </w:r>
      <w:r>
        <w:t>t</w:t>
      </w:r>
      <w:r w:rsidRPr="002940D4">
        <w:t xml:space="preserve"> (filed Apr. 29, 2020 at 19:49:22) (FCC Form 477 Filed for data as of December 31, 2019)</w:t>
      </w:r>
      <w:r>
        <w:t xml:space="preserve">; </w:t>
      </w:r>
      <w:r>
        <w:rPr>
          <w:i/>
          <w:iCs/>
        </w:rPr>
        <w:t>s</w:t>
      </w:r>
      <w:r w:rsidRPr="009321F5">
        <w:rPr>
          <w:i/>
          <w:iCs/>
        </w:rPr>
        <w:t>ee also</w:t>
      </w:r>
      <w:r w:rsidRPr="002940D4">
        <w:t xml:space="preserve"> </w:t>
      </w:r>
      <w:r w:rsidRPr="00904BAA">
        <w:t>SandyNet</w:t>
      </w:r>
      <w:r w:rsidR="00904BAA">
        <w:t>,</w:t>
      </w:r>
      <w:r w:rsidRPr="00A2785D">
        <w:rPr>
          <w:i/>
          <w:iCs/>
        </w:rPr>
        <w:t xml:space="preserve"> </w:t>
      </w:r>
      <w:r w:rsidR="00904BAA">
        <w:rPr>
          <w:i/>
          <w:iCs/>
        </w:rPr>
        <w:t>Residential Services</w:t>
      </w:r>
      <w:r w:rsidRPr="002940D4">
        <w:t xml:space="preserve">, </w:t>
      </w:r>
      <w:hyperlink r:id="rId2" w:history="1">
        <w:r w:rsidRPr="00E2676C">
          <w:rPr>
            <w:rStyle w:val="Hyperlink"/>
          </w:rPr>
          <w:t>https://www.ci.sandy.or.us/residential-services</w:t>
        </w:r>
      </w:hyperlink>
      <w:r>
        <w:t xml:space="preserve"> </w:t>
      </w:r>
      <w:r w:rsidRPr="002940D4">
        <w:t xml:space="preserve">(last visited </w:t>
      </w:r>
      <w:r w:rsidR="00E86BB3">
        <w:t>Fe</w:t>
      </w:r>
      <w:r w:rsidR="00F30E78">
        <w:t>b.</w:t>
      </w:r>
      <w:r w:rsidR="00E86BB3">
        <w:t xml:space="preserve"> </w:t>
      </w:r>
      <w:r w:rsidR="00367585">
        <w:t>17</w:t>
      </w:r>
      <w:r w:rsidR="00E86BB3">
        <w:t>, 2021</w:t>
      </w:r>
      <w:r>
        <w:t>).</w:t>
      </w:r>
    </w:p>
  </w:footnote>
  <w:footnote w:id="12">
    <w:p w:rsidR="00042172" w14:paraId="5AD4AE32" w14:textId="70619FB1">
      <w:pPr>
        <w:pStyle w:val="FootnoteText"/>
      </w:pPr>
      <w:r>
        <w:rPr>
          <w:rStyle w:val="FootnoteReference"/>
        </w:rPr>
        <w:footnoteRef/>
      </w:r>
      <w:r>
        <w:t xml:space="preserve"> </w:t>
      </w:r>
      <w:r w:rsidRPr="002940D4">
        <w:t>FCC Form 477 Filed for data as of December 31, 2019</w:t>
      </w:r>
      <w:r>
        <w:t>.</w:t>
      </w:r>
    </w:p>
  </w:footnote>
  <w:footnote w:id="13">
    <w:p w:rsidR="00111CC4" w:rsidP="009321F5" w14:paraId="76B0328D" w14:textId="314E158D">
      <w:pPr>
        <w:pStyle w:val="FootnoteText"/>
      </w:pPr>
      <w:r w:rsidRPr="009B0C8F">
        <w:rPr>
          <w:rStyle w:val="FootnoteReference"/>
        </w:rPr>
        <w:footnoteRef/>
      </w:r>
      <w:r w:rsidRPr="009B0C8F" w:rsidR="00C415F0">
        <w:rPr>
          <w:bCs/>
        </w:rPr>
        <w:t xml:space="preserve"> </w:t>
      </w:r>
      <w:r w:rsidRPr="009B0C8F" w:rsidR="00A3483A">
        <w:rPr>
          <w:color w:val="000000"/>
          <w:bdr w:val="none" w:sz="0" w:space="0" w:color="auto" w:frame="1"/>
          <w:shd w:val="clear" w:color="auto" w:fill="FFFFFF"/>
        </w:rPr>
        <w:t xml:space="preserve">FCC, Universal Licensing System, Microwave </w:t>
      </w:r>
      <w:r w:rsidR="00E96609">
        <w:rPr>
          <w:color w:val="000000"/>
          <w:bdr w:val="none" w:sz="0" w:space="0" w:color="auto" w:frame="1"/>
          <w:shd w:val="clear" w:color="auto" w:fill="FFFFFF"/>
        </w:rPr>
        <w:t>Public Safety</w:t>
      </w:r>
      <w:r w:rsidRPr="009B0C8F" w:rsidR="00A3483A">
        <w:rPr>
          <w:color w:val="000000"/>
          <w:bdr w:val="none" w:sz="0" w:space="0" w:color="auto" w:frame="1"/>
          <w:shd w:val="clear" w:color="auto" w:fill="FFFFFF"/>
        </w:rPr>
        <w:t xml:space="preserve"> Pool License – WQQA602 – City of Sandy,</w:t>
      </w:r>
      <w:r w:rsidR="00E96609">
        <w:rPr>
          <w:color w:val="000000"/>
          <w:bdr w:val="none" w:sz="0" w:space="0" w:color="auto" w:frame="1"/>
          <w:shd w:val="clear" w:color="auto" w:fill="FFFFFF"/>
        </w:rPr>
        <w:t xml:space="preserve"> OR,</w:t>
      </w:r>
      <w:r w:rsidRPr="009B0C8F" w:rsidR="00A3483A">
        <w:rPr>
          <w:color w:val="000000"/>
          <w:bdr w:val="none" w:sz="0" w:space="0" w:color="auto" w:frame="1"/>
          <w:shd w:val="clear" w:color="auto" w:fill="FFFFFF"/>
        </w:rPr>
        <w:t xml:space="preserve"> </w:t>
      </w:r>
      <w:hyperlink r:id="rId3" w:history="1">
        <w:r w:rsidRPr="00FB5F79" w:rsidR="00E96609">
          <w:rPr>
            <w:rStyle w:val="Hyperlink"/>
            <w:bdr w:val="none" w:sz="0" w:space="0" w:color="auto" w:frame="1"/>
            <w:shd w:val="clear" w:color="auto" w:fill="FFFFFF"/>
          </w:rPr>
          <w:t>https://wireless2.fcc.gov/UlsApp/UlsSearch/license.jsp?licKey=3414181</w:t>
        </w:r>
      </w:hyperlink>
      <w:r w:rsidR="00E96609">
        <w:rPr>
          <w:color w:val="000000"/>
          <w:bdr w:val="none" w:sz="0" w:space="0" w:color="auto" w:frame="1"/>
          <w:shd w:val="clear" w:color="auto" w:fill="FFFFFF"/>
        </w:rPr>
        <w:t xml:space="preserve"> </w:t>
      </w:r>
      <w:r w:rsidRPr="009B0C8F" w:rsidR="00A3483A">
        <w:rPr>
          <w:color w:val="000000"/>
          <w:bdr w:val="none" w:sz="0" w:space="0" w:color="auto" w:frame="1"/>
          <w:shd w:val="clear" w:color="auto" w:fill="FFFFFF"/>
        </w:rPr>
        <w:t xml:space="preserve">(last visited </w:t>
      </w:r>
      <w:r w:rsidR="00615912">
        <w:rPr>
          <w:color w:val="000000"/>
          <w:bdr w:val="none" w:sz="0" w:space="0" w:color="auto" w:frame="1"/>
          <w:shd w:val="clear" w:color="auto" w:fill="FFFFFF"/>
        </w:rPr>
        <w:t>Feb</w:t>
      </w:r>
      <w:r w:rsidR="00F30E78">
        <w:rPr>
          <w:color w:val="000000"/>
          <w:bdr w:val="none" w:sz="0" w:space="0" w:color="auto" w:frame="1"/>
          <w:shd w:val="clear" w:color="auto" w:fill="FFFFFF"/>
        </w:rPr>
        <w:t>.</w:t>
      </w:r>
      <w:r w:rsidR="00615912">
        <w:rPr>
          <w:color w:val="000000"/>
          <w:bdr w:val="none" w:sz="0" w:space="0" w:color="auto" w:frame="1"/>
          <w:shd w:val="clear" w:color="auto" w:fill="FFFFFF"/>
        </w:rPr>
        <w:t xml:space="preserve"> </w:t>
      </w:r>
      <w:r w:rsidR="00367585">
        <w:rPr>
          <w:color w:val="000000"/>
          <w:bdr w:val="none" w:sz="0" w:space="0" w:color="auto" w:frame="1"/>
          <w:shd w:val="clear" w:color="auto" w:fill="FFFFFF"/>
        </w:rPr>
        <w:t>17</w:t>
      </w:r>
      <w:r w:rsidR="00615912">
        <w:rPr>
          <w:color w:val="000000"/>
          <w:bdr w:val="none" w:sz="0" w:space="0" w:color="auto" w:frame="1"/>
          <w:shd w:val="clear" w:color="auto" w:fill="FFFFFF"/>
        </w:rPr>
        <w:t>, 2021</w:t>
      </w:r>
      <w:r w:rsidRPr="009B0C8F" w:rsidR="00A3483A">
        <w:rPr>
          <w:color w:val="000000"/>
          <w:bdr w:val="none" w:sz="0" w:space="0" w:color="auto" w:frame="1"/>
          <w:shd w:val="clear" w:color="auto" w:fill="FFFFFF"/>
        </w:rPr>
        <w:t xml:space="preserve">); FCC Universal Licensing System, Microwave </w:t>
      </w:r>
      <w:r w:rsidR="00E96609">
        <w:rPr>
          <w:color w:val="000000"/>
          <w:bdr w:val="none" w:sz="0" w:space="0" w:color="auto" w:frame="1"/>
          <w:shd w:val="clear" w:color="auto" w:fill="FFFFFF"/>
        </w:rPr>
        <w:t>Public Safety</w:t>
      </w:r>
      <w:r w:rsidRPr="009B0C8F" w:rsidR="00A3483A">
        <w:rPr>
          <w:color w:val="000000"/>
          <w:bdr w:val="none" w:sz="0" w:space="0" w:color="auto" w:frame="1"/>
          <w:shd w:val="clear" w:color="auto" w:fill="FFFFFF"/>
        </w:rPr>
        <w:t xml:space="preserve"> Pool License – WQQA603 – City of Sandy,</w:t>
      </w:r>
      <w:r w:rsidR="00E96609">
        <w:rPr>
          <w:color w:val="000000"/>
          <w:bdr w:val="none" w:sz="0" w:space="0" w:color="auto" w:frame="1"/>
          <w:shd w:val="clear" w:color="auto" w:fill="FFFFFF"/>
        </w:rPr>
        <w:t xml:space="preserve"> OR,</w:t>
      </w:r>
      <w:r w:rsidRPr="009B0C8F" w:rsidR="00A3483A">
        <w:rPr>
          <w:color w:val="000000"/>
          <w:bdr w:val="none" w:sz="0" w:space="0" w:color="auto" w:frame="1"/>
          <w:shd w:val="clear" w:color="auto" w:fill="FFFFFF"/>
        </w:rPr>
        <w:t xml:space="preserve"> </w:t>
      </w:r>
      <w:hyperlink r:id="rId4" w:history="1">
        <w:r w:rsidRPr="009B0C8F" w:rsidR="001C350E">
          <w:rPr>
            <w:rStyle w:val="Hyperlink"/>
            <w:bdr w:val="none" w:sz="0" w:space="0" w:color="auto" w:frame="1"/>
            <w:shd w:val="clear" w:color="auto" w:fill="FFFFFF"/>
          </w:rPr>
          <w:t>https://wireless2.fcc.gov/UlsApp/UlsSearch/license.jsp?licKey=3414182</w:t>
        </w:r>
      </w:hyperlink>
      <w:r w:rsidRPr="009B0C8F" w:rsidR="00A3483A">
        <w:rPr>
          <w:color w:val="000000"/>
          <w:bdr w:val="none" w:sz="0" w:space="0" w:color="auto" w:frame="1"/>
          <w:shd w:val="clear" w:color="auto" w:fill="FFFFFF"/>
        </w:rPr>
        <w:t xml:space="preserve"> (last visited </w:t>
      </w:r>
      <w:r w:rsidR="00237E78">
        <w:rPr>
          <w:color w:val="000000"/>
          <w:bdr w:val="none" w:sz="0" w:space="0" w:color="auto" w:frame="1"/>
          <w:shd w:val="clear" w:color="auto" w:fill="FFFFFF"/>
        </w:rPr>
        <w:t>Feb</w:t>
      </w:r>
      <w:r w:rsidR="00F30E78">
        <w:rPr>
          <w:color w:val="000000"/>
          <w:bdr w:val="none" w:sz="0" w:space="0" w:color="auto" w:frame="1"/>
          <w:shd w:val="clear" w:color="auto" w:fill="FFFFFF"/>
        </w:rPr>
        <w:t>.</w:t>
      </w:r>
      <w:r w:rsidR="00237E78">
        <w:rPr>
          <w:color w:val="000000"/>
          <w:bdr w:val="none" w:sz="0" w:space="0" w:color="auto" w:frame="1"/>
          <w:shd w:val="clear" w:color="auto" w:fill="FFFFFF"/>
        </w:rPr>
        <w:t xml:space="preserve"> </w:t>
      </w:r>
      <w:r w:rsidR="00367585">
        <w:rPr>
          <w:color w:val="000000"/>
          <w:bdr w:val="none" w:sz="0" w:space="0" w:color="auto" w:frame="1"/>
          <w:shd w:val="clear" w:color="auto" w:fill="FFFFFF"/>
        </w:rPr>
        <w:t>17</w:t>
      </w:r>
      <w:r w:rsidR="00237E78">
        <w:rPr>
          <w:color w:val="000000"/>
          <w:bdr w:val="none" w:sz="0" w:space="0" w:color="auto" w:frame="1"/>
          <w:shd w:val="clear" w:color="auto" w:fill="FFFFFF"/>
        </w:rPr>
        <w:t>, 2021</w:t>
      </w:r>
      <w:r w:rsidRPr="009B0C8F" w:rsidR="00A3483A">
        <w:rPr>
          <w:color w:val="000000"/>
          <w:bdr w:val="none" w:sz="0" w:space="0" w:color="auto" w:frame="1"/>
          <w:shd w:val="clear" w:color="auto" w:fill="FFFFFF"/>
        </w:rPr>
        <w:t>)</w:t>
      </w:r>
      <w:r w:rsidR="00334ADB">
        <w:rPr>
          <w:color w:val="000000"/>
          <w:bdr w:val="none" w:sz="0" w:space="0" w:color="auto" w:frame="1"/>
          <w:shd w:val="clear" w:color="auto" w:fill="FFFFFF"/>
        </w:rPr>
        <w:t>;</w:t>
      </w:r>
      <w:r w:rsidRPr="009B0C8F" w:rsidR="00A3483A">
        <w:rPr>
          <w:color w:val="000000"/>
          <w:bdr w:val="none" w:sz="0" w:space="0" w:color="auto" w:frame="1"/>
          <w:shd w:val="clear" w:color="auto" w:fill="FFFFFF"/>
        </w:rPr>
        <w:t xml:space="preserve"> FCC, Universal Licensing System, Public Safety Pool/Conventional License – WQUF209 – City of Sandy, </w:t>
      </w:r>
      <w:hyperlink r:id="rId5" w:history="1">
        <w:r w:rsidRPr="00E96609" w:rsidR="00E96609">
          <w:rPr>
            <w:rStyle w:val="Hyperlink"/>
            <w:bdr w:val="none" w:sz="0" w:space="0" w:color="auto" w:frame="1"/>
            <w:shd w:val="clear" w:color="auto" w:fill="FFFFFF"/>
          </w:rPr>
          <w:t>https://wireless2.fcc.gov/UlsApp/UlsSearch/license.jsp?licKey=3607622</w:t>
        </w:r>
      </w:hyperlink>
      <w:r w:rsidRPr="009B0C8F" w:rsidR="00A3483A">
        <w:rPr>
          <w:color w:val="000000"/>
          <w:bdr w:val="none" w:sz="0" w:space="0" w:color="auto" w:frame="1"/>
          <w:shd w:val="clear" w:color="auto" w:fill="FFFFFF"/>
        </w:rPr>
        <w:t xml:space="preserve"> (last visited </w:t>
      </w:r>
      <w:r w:rsidR="00237E78">
        <w:rPr>
          <w:color w:val="000000"/>
          <w:bdr w:val="none" w:sz="0" w:space="0" w:color="auto" w:frame="1"/>
          <w:shd w:val="clear" w:color="auto" w:fill="FFFFFF"/>
        </w:rPr>
        <w:t>Feb</w:t>
      </w:r>
      <w:r w:rsidR="00F30E78">
        <w:rPr>
          <w:color w:val="000000"/>
          <w:bdr w:val="none" w:sz="0" w:space="0" w:color="auto" w:frame="1"/>
          <w:shd w:val="clear" w:color="auto" w:fill="FFFFFF"/>
        </w:rPr>
        <w:t>.</w:t>
      </w:r>
      <w:r w:rsidR="00237E78">
        <w:rPr>
          <w:color w:val="000000"/>
          <w:bdr w:val="none" w:sz="0" w:space="0" w:color="auto" w:frame="1"/>
          <w:shd w:val="clear" w:color="auto" w:fill="FFFFFF"/>
        </w:rPr>
        <w:t xml:space="preserve"> </w:t>
      </w:r>
      <w:r w:rsidR="00367585">
        <w:rPr>
          <w:color w:val="000000"/>
          <w:bdr w:val="none" w:sz="0" w:space="0" w:color="auto" w:frame="1"/>
          <w:shd w:val="clear" w:color="auto" w:fill="FFFFFF"/>
        </w:rPr>
        <w:t>17</w:t>
      </w:r>
      <w:r w:rsidR="00237E78">
        <w:rPr>
          <w:color w:val="000000"/>
          <w:bdr w:val="none" w:sz="0" w:space="0" w:color="auto" w:frame="1"/>
          <w:shd w:val="clear" w:color="auto" w:fill="FFFFFF"/>
        </w:rPr>
        <w:t>, 2021</w:t>
      </w:r>
      <w:r w:rsidRPr="009B0C8F" w:rsidR="00A3483A">
        <w:rPr>
          <w:color w:val="000000"/>
          <w:bdr w:val="none" w:sz="0" w:space="0" w:color="auto" w:frame="1"/>
          <w:shd w:val="clear" w:color="auto" w:fill="FFFFFF"/>
        </w:rPr>
        <w:t>). </w:t>
      </w:r>
      <w:r w:rsidR="00D00183">
        <w:rPr>
          <w:color w:val="000000"/>
          <w:bdr w:val="none" w:sz="0" w:space="0" w:color="auto" w:frame="1"/>
          <w:shd w:val="clear" w:color="auto" w:fill="FFFFFF"/>
        </w:rPr>
        <w:t xml:space="preserve"> </w:t>
      </w:r>
      <w:r w:rsidRPr="009B0C8F" w:rsidR="009B0C8F">
        <w:t>The FCC Universal Licensing System (ULS) is a free to use and publicly available database</w:t>
      </w:r>
      <w:r w:rsidR="00061283">
        <w:t xml:space="preserve">, </w:t>
      </w:r>
      <w:hyperlink r:id="rId6" w:history="1">
        <w:r w:rsidRPr="00BC6425" w:rsidR="00061283">
          <w:rPr>
            <w:rStyle w:val="Hyperlink"/>
          </w:rPr>
          <w:t>https://www.fcc.gov/wireless/systems-utilities/universal-licensing-system</w:t>
        </w:r>
      </w:hyperlink>
      <w:r w:rsidR="007769B3">
        <w:t xml:space="preserve"> (last visited Feb</w:t>
      </w:r>
      <w:r w:rsidR="00F30E78">
        <w:t>.</w:t>
      </w:r>
      <w:r w:rsidR="007769B3">
        <w:t xml:space="preserve"> </w:t>
      </w:r>
      <w:r w:rsidR="00367585">
        <w:t>17</w:t>
      </w:r>
      <w:r w:rsidR="007769B3">
        <w:t>, 2021).</w:t>
      </w:r>
    </w:p>
  </w:footnote>
  <w:footnote w:id="14">
    <w:p w:rsidR="00111CC4" w:rsidP="00136D9E" w14:paraId="60903997" w14:textId="2BCA5BD3">
      <w:pPr>
        <w:pStyle w:val="FootnoteText"/>
      </w:pPr>
      <w:r w:rsidRPr="00DC7A46">
        <w:rPr>
          <w:rStyle w:val="FootnoteReference"/>
        </w:rPr>
        <w:footnoteRef/>
      </w:r>
      <w:r w:rsidRPr="00DC7A46">
        <w:t xml:space="preserve"> </w:t>
      </w:r>
      <w:r w:rsidRPr="005A5F0B">
        <w:t>City of Sandy Comprehensive Annual Financial Report</w:t>
      </w:r>
      <w:r w:rsidR="00543BA9">
        <w:t>,</w:t>
      </w:r>
      <w:r w:rsidRPr="005A5F0B">
        <w:t xml:space="preserve"> Fiscal Year Ended June 30, 2019 at </w:t>
      </w:r>
      <w:r>
        <w:t xml:space="preserve">iii (Dec. 30, 2019), on file with the </w:t>
      </w:r>
      <w:r w:rsidRPr="005A5F0B">
        <w:t>Oregon Secretary of State</w:t>
      </w:r>
      <w:r>
        <w:t xml:space="preserve">, </w:t>
      </w:r>
      <w:hyperlink r:id="rId7" w:history="1">
        <w:r w:rsidRPr="003410B4">
          <w:rPr>
            <w:rStyle w:val="Hyperlink"/>
          </w:rPr>
          <w:t>https://secure.sos.state.or.us/muni/public.do</w:t>
        </w:r>
      </w:hyperlink>
      <w:r>
        <w:t xml:space="preserve"> </w:t>
      </w:r>
      <w:r w:rsidR="007839A1">
        <w:t xml:space="preserve">(last visited </w:t>
      </w:r>
      <w:r w:rsidR="00237E78">
        <w:t>Feb</w:t>
      </w:r>
      <w:r w:rsidR="00F30E78">
        <w:t>.</w:t>
      </w:r>
      <w:r w:rsidR="00237E78">
        <w:t xml:space="preserve"> </w:t>
      </w:r>
      <w:r w:rsidR="00367585">
        <w:t>17</w:t>
      </w:r>
      <w:r w:rsidR="00237E78">
        <w:t>, 2021</w:t>
      </w:r>
      <w:r w:rsidR="007839A1">
        <w:t xml:space="preserve">) </w:t>
      </w:r>
      <w:r w:rsidRPr="005A5F0B">
        <w:t>(City of</w:t>
      </w:r>
      <w:r w:rsidRPr="00EC7B44">
        <w:t xml:space="preserve"> Sandy Annual Financial Report for 2019) (“SandyNet–The City of Sandy has come a long way in the last 16</w:t>
      </w:r>
      <w:r>
        <w:t xml:space="preserve"> </w:t>
      </w:r>
      <w:r w:rsidRPr="00EC7B44">
        <w:t>years as an</w:t>
      </w:r>
      <w:r>
        <w:t xml:space="preserve"> </w:t>
      </w:r>
      <w:r w:rsidRPr="00EC7B44">
        <w:t xml:space="preserve">Internet Service Provider”); </w:t>
      </w:r>
      <w:r w:rsidRPr="005A5F0B">
        <w:t xml:space="preserve">City of Sandy Comprehensive Annual Financial Report </w:t>
      </w:r>
      <w:r w:rsidR="000D6511">
        <w:t>F</w:t>
      </w:r>
      <w:r w:rsidRPr="005A5F0B">
        <w:t>or</w:t>
      </w:r>
      <w:r w:rsidR="000D6511">
        <w:t xml:space="preserve"> The</w:t>
      </w:r>
      <w:r w:rsidRPr="005A5F0B">
        <w:t xml:space="preserve"> Fiscal Year Ended June 30, 20</w:t>
      </w:r>
      <w:r>
        <w:t>04</w:t>
      </w:r>
      <w:r w:rsidRPr="005A5F0B">
        <w:t xml:space="preserve"> at </w:t>
      </w:r>
      <w:r>
        <w:t xml:space="preserve">ii </w:t>
      </w:r>
      <w:r w:rsidRPr="005A5F0B">
        <w:t>(</w:t>
      </w:r>
      <w:r>
        <w:t xml:space="preserve">Oct. 15, </w:t>
      </w:r>
      <w:r w:rsidRPr="005A5F0B">
        <w:t>20</w:t>
      </w:r>
      <w:r>
        <w:t>04</w:t>
      </w:r>
      <w:r w:rsidRPr="005A5F0B">
        <w:t>)</w:t>
      </w:r>
      <w:r w:rsidR="00176213">
        <w:t>,</w:t>
      </w:r>
      <w:r>
        <w:t xml:space="preserve"> on file with the Oregon Secretary of State,</w:t>
      </w:r>
      <w:r w:rsidRPr="00FE2E65">
        <w:t xml:space="preserve"> </w:t>
      </w:r>
      <w:hyperlink r:id="rId7" w:history="1">
        <w:r w:rsidRPr="003410B4">
          <w:rPr>
            <w:rStyle w:val="Hyperlink"/>
          </w:rPr>
          <w:t>https://secure.sos.state.or.us/muni/public.do</w:t>
        </w:r>
      </w:hyperlink>
      <w:r>
        <w:t xml:space="preserve"> </w:t>
      </w:r>
      <w:r w:rsidR="007839A1">
        <w:t xml:space="preserve">(last visited </w:t>
      </w:r>
      <w:r w:rsidR="00237E78">
        <w:t>Feb</w:t>
      </w:r>
      <w:r w:rsidR="00F30E78">
        <w:t>.</w:t>
      </w:r>
      <w:r w:rsidR="00237E78">
        <w:t xml:space="preserve"> </w:t>
      </w:r>
      <w:r w:rsidR="00367585">
        <w:t>17</w:t>
      </w:r>
      <w:r w:rsidR="00237E78">
        <w:t>, 2021</w:t>
      </w:r>
      <w:r w:rsidR="007839A1">
        <w:t xml:space="preserve">) </w:t>
      </w:r>
      <w:r w:rsidRPr="005A5F0B">
        <w:t>(City of Sandy Annual Financial Report</w:t>
      </w:r>
      <w:r>
        <w:t xml:space="preserve"> for 2004</w:t>
      </w:r>
      <w:r w:rsidRPr="005A5F0B">
        <w:t>)</w:t>
      </w:r>
      <w:r>
        <w:t xml:space="preserve"> (“The City’s telecommunications utility, SandyNet, began offering wireless broadband service in addition to DSL service” during the year ended June 30, 2004)</w:t>
      </w:r>
      <w:r w:rsidR="00A44A4F">
        <w:t xml:space="preserve">; </w:t>
      </w:r>
      <w:r w:rsidR="00A44A4F">
        <w:rPr>
          <w:i/>
          <w:iCs/>
        </w:rPr>
        <w:t>s</w:t>
      </w:r>
      <w:r w:rsidRPr="005A5F0B">
        <w:rPr>
          <w:i/>
          <w:iCs/>
        </w:rPr>
        <w:t xml:space="preserve">ee also </w:t>
      </w:r>
      <w:r w:rsidRPr="005A5F0B">
        <w:t xml:space="preserve">League of Oregon Cities </w:t>
      </w:r>
      <w:r w:rsidR="00537C85">
        <w:t>Comments,</w:t>
      </w:r>
      <w:r w:rsidRPr="00537C85" w:rsidR="00537C85">
        <w:t xml:space="preserve"> </w:t>
      </w:r>
      <w:r w:rsidRPr="005A5F0B" w:rsidR="00537C85">
        <w:t>WC Docket No. 11-59</w:t>
      </w:r>
      <w:r w:rsidR="00537C85">
        <w:t xml:space="preserve">, </w:t>
      </w:r>
      <w:r w:rsidRPr="005A5F0B">
        <w:t>Appx. A</w:t>
      </w:r>
      <w:r w:rsidR="00537C85">
        <w:t xml:space="preserve"> at 25 (rec.</w:t>
      </w:r>
      <w:r w:rsidRPr="005A5F0B">
        <w:t xml:space="preserve"> Jul. 15, 2011</w:t>
      </w:r>
      <w:r w:rsidR="00537C85">
        <w:t>)</w:t>
      </w:r>
      <w:r w:rsidRPr="005A5F0B">
        <w:t xml:space="preserve"> (League of Oregon Cities Comments)</w:t>
      </w:r>
      <w:r w:rsidR="000F1E83">
        <w:t xml:space="preserve"> </w:t>
      </w:r>
      <w:r w:rsidRPr="007839A1" w:rsidR="007839A1">
        <w:t>(</w:t>
      </w:r>
      <w:r w:rsidR="007839A1">
        <w:t>listing SandyNet as an “</w:t>
      </w:r>
      <w:r w:rsidR="00537C85">
        <w:t>I</w:t>
      </w:r>
      <w:r w:rsidR="007839A1">
        <w:t xml:space="preserve">nternet </w:t>
      </w:r>
      <w:r w:rsidR="00537C85">
        <w:t>S</w:t>
      </w:r>
      <w:r w:rsidR="007839A1">
        <w:t xml:space="preserve">ervice </w:t>
      </w:r>
      <w:r w:rsidR="00537C85">
        <w:t>P</w:t>
      </w:r>
      <w:r w:rsidR="007839A1">
        <w:t>rovider” that began providing services in 2003).</w:t>
      </w:r>
    </w:p>
  </w:footnote>
  <w:footnote w:id="15">
    <w:p w:rsidR="00111CC4" w:rsidP="00136D9E" w14:paraId="1816B65D" w14:textId="015F916E">
      <w:pPr>
        <w:pStyle w:val="FootnoteText"/>
      </w:pPr>
      <w:r w:rsidRPr="00DC7A46">
        <w:rPr>
          <w:rStyle w:val="FootnoteReference"/>
        </w:rPr>
        <w:footnoteRef/>
      </w:r>
      <w:r w:rsidRPr="00DC7A46">
        <w:t xml:space="preserve"> FCC Form 477 Filed for data as of December 31, 2019.</w:t>
      </w:r>
    </w:p>
  </w:footnote>
  <w:footnote w:id="16">
    <w:p w:rsidR="00111CC4" w:rsidP="00136D9E" w14:paraId="3A5ED412" w14:textId="5EA3E1EE">
      <w:pPr>
        <w:pStyle w:val="FootnoteText"/>
      </w:pPr>
      <w:r>
        <w:rPr>
          <w:rStyle w:val="FootnoteReference"/>
        </w:rPr>
        <w:footnoteRef/>
      </w:r>
      <w:r>
        <w:t xml:space="preserve"> </w:t>
      </w:r>
      <w:r w:rsidRPr="00DC7A46">
        <w:rPr>
          <w:bdr w:val="none" w:sz="0" w:space="0" w:color="auto" w:frame="1"/>
          <w:shd w:val="clear" w:color="auto" w:fill="FFFFFF"/>
        </w:rPr>
        <w:t>FCC Form 477 Filed for data as of December 31, 2018 for City of Sandy</w:t>
      </w:r>
      <w:r w:rsidR="003A0B0B">
        <w:rPr>
          <w:bdr w:val="none" w:sz="0" w:space="0" w:color="auto" w:frame="1"/>
          <w:shd w:val="clear" w:color="auto" w:fill="FFFFFF"/>
        </w:rPr>
        <w:t>/</w:t>
      </w:r>
      <w:r w:rsidRPr="00DC7A46">
        <w:rPr>
          <w:bdr w:val="none" w:sz="0" w:space="0" w:color="auto" w:frame="1"/>
          <w:shd w:val="clear" w:color="auto" w:fill="FFFFFF"/>
        </w:rPr>
        <w:t>SandyNet (filed Jul. 14, 2020 at 02:11:56)</w:t>
      </w:r>
      <w:r w:rsidR="005D0A7F">
        <w:rPr>
          <w:bdr w:val="none" w:sz="0" w:space="0" w:color="auto" w:frame="1"/>
          <w:shd w:val="clear" w:color="auto" w:fill="FFFFFF"/>
        </w:rPr>
        <w:t xml:space="preserve"> (FCC Form 477 Filed for data as of December 31, 2018)</w:t>
      </w:r>
      <w:r w:rsidR="005236DF">
        <w:t>;</w:t>
      </w:r>
      <w:r w:rsidR="00D00183">
        <w:t xml:space="preserve"> </w:t>
      </w:r>
      <w:r w:rsidRPr="00DC7A46">
        <w:rPr>
          <w:bdr w:val="none" w:sz="0" w:space="0" w:color="auto" w:frame="1"/>
          <w:shd w:val="clear" w:color="auto" w:fill="FFFFFF"/>
        </w:rPr>
        <w:t>FCC Form 477 Filed for data as of June 30, 2019 for City of Sandy, SandyNet (filed Jul. 15, 2020 at 02:46:25)</w:t>
      </w:r>
      <w:r w:rsidR="005D0A7F">
        <w:rPr>
          <w:bdr w:val="none" w:sz="0" w:space="0" w:color="auto" w:frame="1"/>
          <w:shd w:val="clear" w:color="auto" w:fill="FFFFFF"/>
        </w:rPr>
        <w:t xml:space="preserve"> </w:t>
      </w:r>
      <w:bookmarkStart w:id="6" w:name="_Hlk63157476"/>
      <w:r w:rsidR="005D0A7F">
        <w:rPr>
          <w:bdr w:val="none" w:sz="0" w:space="0" w:color="auto" w:frame="1"/>
          <w:shd w:val="clear" w:color="auto" w:fill="FFFFFF"/>
        </w:rPr>
        <w:t>(FCC Form 477 Filed for data as of June 30, 2019)</w:t>
      </w:r>
      <w:bookmarkEnd w:id="6"/>
      <w:r w:rsidRPr="00DC7A46">
        <w:rPr>
          <w:bdr w:val="none" w:sz="0" w:space="0" w:color="auto" w:frame="1"/>
          <w:shd w:val="clear" w:color="auto" w:fill="FFFFFF"/>
        </w:rPr>
        <w:t>. </w:t>
      </w:r>
    </w:p>
  </w:footnote>
  <w:footnote w:id="17">
    <w:p w:rsidR="00111CC4" w:rsidP="009A5B8B" w14:paraId="62FA788D"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18">
    <w:p w:rsidR="00111CC4" w:rsidP="00C728A0" w14:paraId="3DEF9409" w14:textId="38DFC49A">
      <w:pPr>
        <w:pStyle w:val="FootnoteText"/>
      </w:pPr>
      <w:r w:rsidRPr="00DC7A46">
        <w:rPr>
          <w:rStyle w:val="FootnoteReference"/>
        </w:rPr>
        <w:footnoteRef/>
      </w:r>
      <w:r w:rsidRPr="00DC7A46">
        <w:t xml:space="preserve"> City of Sandy Annual Financial Report </w:t>
      </w:r>
      <w:r>
        <w:t xml:space="preserve">for 2019 </w:t>
      </w:r>
      <w:r w:rsidRPr="00DC7A46">
        <w:t xml:space="preserve">at </w:t>
      </w:r>
      <w:r>
        <w:t>iii</w:t>
      </w:r>
      <w:r w:rsidRPr="00DC7A46">
        <w:t xml:space="preserve">; City of Sandy Annual Financial Report </w:t>
      </w:r>
      <w:r>
        <w:t xml:space="preserve">for 2004 </w:t>
      </w:r>
      <w:r w:rsidRPr="00DC7A46">
        <w:t xml:space="preserve">at </w:t>
      </w:r>
      <w:r>
        <w:t>ii</w:t>
      </w:r>
      <w:r w:rsidRPr="00A61C9A" w:rsidR="00A44A4F">
        <w:t>;</w:t>
      </w:r>
      <w:r w:rsidR="00D00183">
        <w:rPr>
          <w:i/>
          <w:iCs/>
        </w:rPr>
        <w:t xml:space="preserve"> </w:t>
      </w:r>
      <w:r w:rsidR="00A44A4F">
        <w:rPr>
          <w:i/>
          <w:iCs/>
        </w:rPr>
        <w:t>s</w:t>
      </w:r>
      <w:r w:rsidRPr="00DC7A46">
        <w:rPr>
          <w:i/>
          <w:iCs/>
        </w:rPr>
        <w:t xml:space="preserve">ee also </w:t>
      </w:r>
      <w:r w:rsidRPr="00DC7A46">
        <w:t>League of Oregon Cities Comments</w:t>
      </w:r>
      <w:r>
        <w:t xml:space="preserve"> at 25</w:t>
      </w:r>
      <w:r w:rsidRPr="00DC7A46">
        <w:t xml:space="preserve">. </w:t>
      </w:r>
    </w:p>
  </w:footnote>
  <w:footnote w:id="19">
    <w:p w:rsidR="00111CC4" w:rsidP="00425DE8" w14:paraId="2B0EFCCE" w14:textId="78C1DBDD">
      <w:pPr>
        <w:pStyle w:val="FootnoteText"/>
      </w:pPr>
      <w:r>
        <w:rPr>
          <w:rStyle w:val="FootnoteReference"/>
        </w:rPr>
        <w:footnoteRef/>
      </w:r>
      <w:r>
        <w:t xml:space="preserve"> </w:t>
      </w:r>
      <w:r w:rsidRPr="00FF666E" w:rsidR="00C5006E">
        <w:rPr>
          <w:i/>
          <w:iCs/>
        </w:rPr>
        <w:t>2004 Broadband Reporting Order</w:t>
      </w:r>
      <w:r w:rsidR="00C57163">
        <w:t xml:space="preserve">, 19 FCC </w:t>
      </w:r>
      <w:r w:rsidR="00EB53F5">
        <w:t>Rcd</w:t>
      </w:r>
      <w:r w:rsidR="00EB53F5">
        <w:t xml:space="preserve"> </w:t>
      </w:r>
      <w:r w:rsidR="00C5006E">
        <w:t xml:space="preserve">at </w:t>
      </w:r>
      <w:r w:rsidR="00C57163">
        <w:t xml:space="preserve">22345, </w:t>
      </w:r>
      <w:r w:rsidR="00C5006E">
        <w:t xml:space="preserve">para. 8; </w:t>
      </w:r>
      <w:r w:rsidRPr="00FF666E" w:rsidR="00C5006E">
        <w:rPr>
          <w:i/>
          <w:iCs/>
        </w:rPr>
        <w:t>OMB-Approved Form 477 Public Notice</w:t>
      </w:r>
      <w:r w:rsidR="00C57163">
        <w:rPr>
          <w:i/>
          <w:iCs/>
        </w:rPr>
        <w:t xml:space="preserve">, </w:t>
      </w:r>
      <w:r w:rsidR="00C57163">
        <w:t xml:space="preserve">20 FCC Rcd </w:t>
      </w:r>
      <w:r w:rsidR="00C5006E">
        <w:t>at 10456.</w:t>
      </w:r>
      <w:r w:rsidR="00C5006E">
        <w:rPr>
          <w:i/>
          <w:iCs/>
        </w:rPr>
        <w:t xml:space="preserve"> </w:t>
      </w:r>
    </w:p>
  </w:footnote>
  <w:footnote w:id="20">
    <w:p w:rsidR="00111CC4" w:rsidP="00DC7A46" w14:paraId="79053503" w14:textId="2E3BADDD">
      <w:pPr>
        <w:pStyle w:val="FootnoteText"/>
      </w:pPr>
      <w:r w:rsidRPr="00DC7A46">
        <w:rPr>
          <w:rStyle w:val="FootnoteReference"/>
        </w:rPr>
        <w:footnoteRef/>
      </w:r>
      <w:r w:rsidR="00A309C9">
        <w:rPr>
          <w:bdr w:val="none" w:sz="0" w:space="0" w:color="auto" w:frame="1"/>
          <w:shd w:val="clear" w:color="auto" w:fill="FFFFFF"/>
        </w:rPr>
        <w:t xml:space="preserve"> FCC Form 477 Filed for data as of December 31, 2018; </w:t>
      </w:r>
      <w:r w:rsidR="00346BB1">
        <w:rPr>
          <w:bdr w:val="none" w:sz="0" w:space="0" w:color="auto" w:frame="1"/>
          <w:shd w:val="clear" w:color="auto" w:fill="FFFFFF"/>
        </w:rPr>
        <w:t>FCC Form 477 Filed for data as of June 30, 2019;</w:t>
      </w:r>
      <w:r w:rsidR="00A309C9">
        <w:rPr>
          <w:bdr w:val="none" w:sz="0" w:space="0" w:color="auto" w:frame="1"/>
          <w:shd w:val="clear" w:color="auto" w:fill="FFFFFF"/>
        </w:rPr>
        <w:t xml:space="preserve"> </w:t>
      </w:r>
      <w:r w:rsidRPr="005D0A7F" w:rsidR="00A309C9">
        <w:t>FCC Form 477 Filed for data as of December 31, 2019</w:t>
      </w:r>
      <w:r w:rsidR="00A309C9">
        <w:t>.</w:t>
      </w:r>
    </w:p>
  </w:footnote>
  <w:footnote w:id="21">
    <w:p w:rsidR="00111CC4" w:rsidP="00DC7A46" w14:paraId="57CFAD8C" w14:textId="77777777">
      <w:pPr>
        <w:pStyle w:val="FootnoteText"/>
      </w:pPr>
      <w:r w:rsidRPr="00DC7A46">
        <w:rPr>
          <w:rStyle w:val="FootnoteReference"/>
        </w:rPr>
        <w:footnoteRef/>
      </w:r>
      <w:r w:rsidRPr="00DC7A46">
        <w:t xml:space="preserve"> Section 503(b)(6) of the Communications </w:t>
      </w:r>
      <w:r w:rsidRPr="00DC7A46" w:rsidR="00892D96">
        <w:t xml:space="preserve">Act of 1934, as amended (Act), </w:t>
      </w:r>
      <w:r w:rsidRPr="00DC7A46" w:rsidR="00DB1C9A">
        <w:t>prohibits</w:t>
      </w:r>
      <w:r w:rsidRPr="00DC7A46" w:rsidR="00892D96">
        <w:t xml:space="preserve"> the Commission from proposing a forfeiture penalty if the violation charged occurred more than one year prior to the date of the issuance of the notice of apparently liability.  47 U.S.C. § 503(b)(6)</w:t>
      </w:r>
      <w:r w:rsidR="00C97E2B">
        <w:t>.</w:t>
      </w:r>
    </w:p>
  </w:footnote>
  <w:footnote w:id="22">
    <w:p w:rsidR="00111CC4" w14:paraId="5541BEA2" w14:textId="77777777">
      <w:pPr>
        <w:pStyle w:val="FootnoteText"/>
      </w:pPr>
      <w:r>
        <w:rPr>
          <w:rStyle w:val="FootnoteReference"/>
        </w:rPr>
        <w:footnoteRef/>
      </w:r>
      <w:r>
        <w:t xml:space="preserve"> </w:t>
      </w:r>
      <w:r w:rsidRPr="00DC7A46">
        <w:t>47 U.S.C. § 503(b)(</w:t>
      </w:r>
      <w:r>
        <w:t>1</w:t>
      </w:r>
      <w:r w:rsidRPr="00DC7A46">
        <w:t>)(</w:t>
      </w:r>
      <w:r>
        <w:t>B</w:t>
      </w:r>
      <w:r w:rsidRPr="00DC7A46">
        <w:t xml:space="preserve">). </w:t>
      </w:r>
      <w:r>
        <w:t xml:space="preserve"> </w:t>
      </w:r>
    </w:p>
  </w:footnote>
  <w:footnote w:id="23">
    <w:p w:rsidR="00111CC4" w14:paraId="563B2078" w14:textId="1A8FD82B">
      <w:pPr>
        <w:pStyle w:val="FootnoteText"/>
      </w:pPr>
      <w:r>
        <w:rPr>
          <w:rStyle w:val="FootnoteReference"/>
        </w:rPr>
        <w:footnoteRef/>
      </w:r>
      <w:r>
        <w:t xml:space="preserve"> </w:t>
      </w:r>
      <w:r w:rsidRPr="0047161E">
        <w:t>47 U.S.C. § 503(b)(2)(</w:t>
      </w:r>
      <w:r w:rsidRPr="0047161E" w:rsidR="00FD275F">
        <w:t>D</w:t>
      </w:r>
      <w:r w:rsidRPr="0047161E">
        <w:t>)</w:t>
      </w:r>
      <w:r w:rsidRPr="0047161E" w:rsidR="00FD275F">
        <w:t xml:space="preserve">; </w:t>
      </w:r>
      <w:r w:rsidRPr="0047161E" w:rsidR="00FD275F">
        <w:rPr>
          <w:i/>
          <w:iCs/>
        </w:rPr>
        <w:t>s</w:t>
      </w:r>
      <w:r w:rsidRPr="0047161E">
        <w:rPr>
          <w:i/>
          <w:iCs/>
        </w:rPr>
        <w:t>ee generally Amendment of Section 1.80</w:t>
      </w:r>
      <w:r w:rsidR="00AA3E53">
        <w:rPr>
          <w:i/>
          <w:iCs/>
        </w:rPr>
        <w:t>(b)</w:t>
      </w:r>
      <w:r w:rsidRPr="0047161E">
        <w:rPr>
          <w:i/>
          <w:iCs/>
        </w:rPr>
        <w:t xml:space="preserve"> of the Commission’s Rules, Adjustment of Civil Monetary Penalties to Reflect Inflation</w:t>
      </w:r>
      <w:r w:rsidRPr="0047161E">
        <w:t>, Order,</w:t>
      </w:r>
      <w:r w:rsidR="00CE6411">
        <w:t xml:space="preserve"> </w:t>
      </w:r>
      <w:r w:rsidR="0053092B">
        <w:t xml:space="preserve">35 FCC </w:t>
      </w:r>
      <w:r w:rsidR="0053092B">
        <w:t>Rcd</w:t>
      </w:r>
      <w:r w:rsidR="0053092B">
        <w:t xml:space="preserve"> 14879</w:t>
      </w:r>
      <w:r w:rsidRPr="0047161E">
        <w:t xml:space="preserve"> (EB 20</w:t>
      </w:r>
      <w:r w:rsidRPr="0047161E" w:rsidR="0047161E">
        <w:t>20</w:t>
      </w:r>
      <w:r w:rsidRPr="0047161E">
        <w:t xml:space="preserve">); </w:t>
      </w:r>
      <w:r w:rsidRPr="00C37472">
        <w:rPr>
          <w:i/>
          <w:iCs/>
        </w:rPr>
        <w:t xml:space="preserve">see also </w:t>
      </w:r>
      <w:r w:rsidRPr="00C37472">
        <w:t xml:space="preserve">Federal Communications Commission, Annual Adjustment of Civil Monetary Penalties to Reflect Inflation, </w:t>
      </w:r>
      <w:r w:rsidRPr="00835277" w:rsidR="002040C2">
        <w:t>8</w:t>
      </w:r>
      <w:r w:rsidRPr="00835277" w:rsidR="002E6D8B">
        <w:t>6</w:t>
      </w:r>
      <w:r w:rsidRPr="00835277" w:rsidR="002040C2">
        <w:t xml:space="preserve"> </w:t>
      </w:r>
      <w:r w:rsidRPr="00835277">
        <w:t xml:space="preserve">Fed. Reg. </w:t>
      </w:r>
      <w:r w:rsidRPr="00835277" w:rsidR="002E6D8B">
        <w:t>3830</w:t>
      </w:r>
      <w:r w:rsidRPr="00835277">
        <w:t xml:space="preserve"> (Jan. </w:t>
      </w:r>
      <w:r w:rsidRPr="00835277" w:rsidR="002040C2">
        <w:t>15</w:t>
      </w:r>
      <w:r w:rsidRPr="00835277">
        <w:t>, 202</w:t>
      </w:r>
      <w:r w:rsidRPr="00835277" w:rsidR="00C37472">
        <w:t>1</w:t>
      </w:r>
      <w:r w:rsidRPr="00835277">
        <w:t>)</w:t>
      </w:r>
      <w:r w:rsidRPr="00C37472">
        <w:t>.</w:t>
      </w:r>
    </w:p>
  </w:footnote>
  <w:footnote w:id="24">
    <w:p w:rsidR="00111CC4" w:rsidP="00FD275F" w14:paraId="355990B5" w14:textId="6B8091C9">
      <w:pPr>
        <w:pStyle w:val="FootnoteText"/>
      </w:pPr>
      <w:r w:rsidRPr="00573757">
        <w:rPr>
          <w:rStyle w:val="FootnoteReference"/>
        </w:rPr>
        <w:footnoteRef/>
      </w:r>
      <w:r w:rsidRPr="00573757">
        <w:t xml:space="preserve"> 47 U.S.C. § 503(b)(2)(E)</w:t>
      </w:r>
      <w:r w:rsidR="00905926">
        <w:t xml:space="preserve">; </w:t>
      </w:r>
      <w:r w:rsidRPr="00441582" w:rsidR="00905926">
        <w:rPr>
          <w:i/>
          <w:iCs/>
        </w:rPr>
        <w:t>see also</w:t>
      </w:r>
      <w:r w:rsidR="00905926">
        <w:t xml:space="preserve"> </w:t>
      </w:r>
      <w:r w:rsidRPr="00573757" w:rsidR="00905926">
        <w:t>47 CFR § 1.80(b)(</w:t>
      </w:r>
      <w:r w:rsidR="002E6D8B">
        <w:t>9</w:t>
      </w:r>
      <w:r w:rsidRPr="00573757" w:rsidR="00905926">
        <w:t>)</w:t>
      </w:r>
      <w:r w:rsidR="002E6D8B">
        <w:t>.</w:t>
      </w:r>
    </w:p>
  </w:footnote>
  <w:footnote w:id="25">
    <w:p w:rsidR="00111CC4" w:rsidP="00024110" w14:paraId="481145EC" w14:textId="3E65C930">
      <w:pPr>
        <w:pStyle w:val="FootnoteText"/>
      </w:pPr>
      <w:r w:rsidRPr="00573757">
        <w:rPr>
          <w:rStyle w:val="FootnoteReference"/>
        </w:rPr>
        <w:footnoteRef/>
      </w:r>
      <w:r w:rsidRPr="00573757">
        <w:t xml:space="preserve"> </w:t>
      </w:r>
      <w:bookmarkStart w:id="8" w:name="_Hlk60653381"/>
      <w:r w:rsidRPr="00573757">
        <w:t>47 CFR § 1.80(b)(</w:t>
      </w:r>
      <w:r w:rsidR="002E6D8B">
        <w:t>9</w:t>
      </w:r>
      <w:r w:rsidRPr="00573757">
        <w:t xml:space="preserve">), </w:t>
      </w:r>
      <w:r w:rsidRPr="00A216FF">
        <w:t>Note to paragraph (b)(8).</w:t>
      </w:r>
      <w:bookmarkEnd w:id="8"/>
    </w:p>
  </w:footnote>
  <w:footnote w:id="26">
    <w:p w:rsidR="007B4335" w:rsidRPr="007519F9" w:rsidP="007B4335" w14:paraId="6F5B7F0F" w14:textId="46768B33">
      <w:pPr>
        <w:pStyle w:val="CommentText"/>
        <w:spacing w:after="120"/>
        <w:rPr>
          <w:snapToGrid/>
          <w:color w:val="FF0000"/>
          <w:kern w:val="0"/>
        </w:rPr>
      </w:pPr>
      <w:r>
        <w:rPr>
          <w:rStyle w:val="FootnoteReference"/>
        </w:rPr>
        <w:footnoteRef/>
      </w:r>
      <w:r>
        <w:t xml:space="preserve"> </w:t>
      </w:r>
      <w:r w:rsidRPr="007B4335">
        <w:rPr>
          <w:i/>
          <w:iCs/>
        </w:rPr>
        <w:t>The Commission’s Forfeiture Policy Statement and Amendment of Section 1.80 of the Rules to Incorporate the Forfeiture Guidelines</w:t>
      </w:r>
      <w:r w:rsidRPr="007B4335">
        <w:t xml:space="preserve">, Report and Order, 12 FCC </w:t>
      </w:r>
      <w:r w:rsidRPr="007B4335">
        <w:t>Rcd</w:t>
      </w:r>
      <w:r w:rsidRPr="007B4335">
        <w:t xml:space="preserve"> 17087, 17098–99, para. 22 (1997) (noting that “[a]</w:t>
      </w:r>
      <w:r w:rsidRPr="007B4335">
        <w:t>lthough</w:t>
      </w:r>
      <w:r w:rsidRPr="007B4335">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725233">
        <w:t>.</w:t>
      </w:r>
      <w:r w:rsidRPr="007B4335">
        <w:t>”)</w:t>
      </w:r>
      <w:r w:rsidR="00725233">
        <w:t>.</w:t>
      </w:r>
    </w:p>
  </w:footnote>
  <w:footnote w:id="27">
    <w:p w:rsidR="00111CC4" w14:paraId="73AA4892" w14:textId="61E40DBA">
      <w:pPr>
        <w:pStyle w:val="FootnoteText"/>
      </w:pPr>
      <w:r>
        <w:rPr>
          <w:rStyle w:val="FootnoteReference"/>
        </w:rPr>
        <w:footnoteRef/>
      </w:r>
      <w:r>
        <w:t xml:space="preserve"> </w:t>
      </w:r>
      <w:r w:rsidR="000A63C4">
        <w:rPr>
          <w:i/>
          <w:iCs/>
        </w:rPr>
        <w:t xml:space="preserve">See </w:t>
      </w:r>
      <w:r w:rsidR="000A63C4">
        <w:rPr>
          <w:i/>
          <w:iCs/>
        </w:rPr>
        <w:t>BarrierFree</w:t>
      </w:r>
      <w:r w:rsidR="000A63C4">
        <w:rPr>
          <w:i/>
          <w:iCs/>
        </w:rPr>
        <w:t xml:space="preserve"> </w:t>
      </w:r>
      <w:r w:rsidR="000A63C4">
        <w:rPr>
          <w:i/>
          <w:iCs/>
        </w:rPr>
        <w:t>NAL</w:t>
      </w:r>
      <w:r w:rsidR="000A63C4">
        <w:t>, 3</w:t>
      </w:r>
      <w:r w:rsidR="0071689D">
        <w:t>5</w:t>
      </w:r>
      <w:r w:rsidR="000A63C4">
        <w:t xml:space="preserve"> FCC </w:t>
      </w:r>
      <w:r w:rsidR="000A63C4">
        <w:t>Rcd</w:t>
      </w:r>
      <w:r w:rsidR="000A63C4">
        <w:t xml:space="preserve"> at 10202</w:t>
      </w:r>
      <w:r w:rsidR="00B94222">
        <w:t>,</w:t>
      </w:r>
      <w:r w:rsidR="000A63C4">
        <w:t xml:space="preserve"> para. 41.</w:t>
      </w:r>
    </w:p>
  </w:footnote>
  <w:footnote w:id="28">
    <w:p w:rsidR="00511BC0" w14:paraId="5098B3B5" w14:textId="3ED57103">
      <w:pPr>
        <w:pStyle w:val="FootnoteText"/>
      </w:pPr>
      <w:r>
        <w:rPr>
          <w:rStyle w:val="FootnoteReference"/>
        </w:rPr>
        <w:footnoteRef/>
      </w:r>
      <w:r>
        <w:t xml:space="preserve"> </w:t>
      </w:r>
      <w:r>
        <w:rPr>
          <w:i/>
          <w:iCs/>
        </w:rPr>
        <w:t xml:space="preserve">See supra </w:t>
      </w:r>
      <w:r>
        <w:t xml:space="preserve">para. </w:t>
      </w:r>
      <w:r w:rsidRPr="003B099C" w:rsidR="00A812CE">
        <w:t>5</w:t>
      </w:r>
      <w:r>
        <w:t>.</w:t>
      </w:r>
    </w:p>
  </w:footnote>
  <w:footnote w:id="29">
    <w:p w:rsidR="001029F8" w:rsidP="001029F8" w14:paraId="0C52CEA9" w14:textId="3C81137D">
      <w:pPr>
        <w:pStyle w:val="FootnoteText"/>
      </w:pPr>
      <w:r>
        <w:rPr>
          <w:rStyle w:val="FootnoteReference"/>
        </w:rPr>
        <w:footnoteRef/>
      </w:r>
      <w:r>
        <w:t xml:space="preserve"> </w:t>
      </w:r>
      <w:r>
        <w:rPr>
          <w:i/>
          <w:iCs/>
        </w:rPr>
        <w:t xml:space="preserve">See supra </w:t>
      </w:r>
      <w:r w:rsidRPr="00585480">
        <w:t>para</w:t>
      </w:r>
      <w:r>
        <w:t>.</w:t>
      </w:r>
      <w:r w:rsidRPr="00585480">
        <w:t xml:space="preserve"> </w:t>
      </w:r>
      <w:r w:rsidRPr="003B099C" w:rsidR="00A812CE">
        <w:t>8</w:t>
      </w:r>
      <w:r w:rsidRPr="003B099C">
        <w:t xml:space="preserve"> and note 19</w:t>
      </w:r>
      <w:r>
        <w:t xml:space="preserve"> (noting the statute of limitations has run on all but one of the late filings). </w:t>
      </w:r>
    </w:p>
  </w:footnote>
  <w:footnote w:id="30">
    <w:p w:rsidR="008140D9" w:rsidRPr="00F222AA" w14:paraId="11EE70D1" w14:textId="520CB1D5">
      <w:pPr>
        <w:pStyle w:val="FootnoteText"/>
      </w:pPr>
      <w:r>
        <w:rPr>
          <w:rStyle w:val="FootnoteReference"/>
        </w:rPr>
        <w:footnoteRef/>
      </w:r>
      <w:r>
        <w:t xml:space="preserve"> </w:t>
      </w:r>
      <w:r w:rsidRPr="00441582" w:rsidR="00D063BD">
        <w:rPr>
          <w:i/>
          <w:iCs/>
        </w:rPr>
        <w:t xml:space="preserve">See </w:t>
      </w:r>
      <w:r w:rsidR="00F75901">
        <w:rPr>
          <w:i/>
          <w:iCs/>
        </w:rPr>
        <w:t>BarrierFree</w:t>
      </w:r>
      <w:r w:rsidR="00F75901">
        <w:rPr>
          <w:i/>
          <w:iCs/>
        </w:rPr>
        <w:t xml:space="preserve"> </w:t>
      </w:r>
      <w:r w:rsidR="00F75901">
        <w:rPr>
          <w:i/>
          <w:iCs/>
        </w:rPr>
        <w:t>NAL</w:t>
      </w:r>
      <w:r w:rsidR="00F75901">
        <w:t>, 3</w:t>
      </w:r>
      <w:r w:rsidR="003E7987">
        <w:t>5</w:t>
      </w:r>
      <w:r w:rsidR="00F75901">
        <w:t xml:space="preserve"> FCC </w:t>
      </w:r>
      <w:r w:rsidR="00F75901">
        <w:t>Rcd</w:t>
      </w:r>
      <w:r w:rsidR="00F75901">
        <w:t xml:space="preserve"> at</w:t>
      </w:r>
      <w:r w:rsidR="00F222AA">
        <w:t xml:space="preserve"> 10187</w:t>
      </w:r>
      <w:r w:rsidR="0040706E">
        <w:t xml:space="preserve"> </w:t>
      </w:r>
      <w:r w:rsidR="00F75901">
        <w:t>n.1</w:t>
      </w:r>
      <w:r w:rsidR="00D063BD">
        <w:t xml:space="preserve"> (</w:t>
      </w:r>
      <w:r w:rsidR="005F2CA7">
        <w:t xml:space="preserve">the Commission may use </w:t>
      </w:r>
      <w:r w:rsidR="003679A0">
        <w:t xml:space="preserve">a history of violations, including </w:t>
      </w:r>
      <w:r w:rsidR="005F2CA7">
        <w:t>expired violations</w:t>
      </w:r>
      <w:r w:rsidR="003679A0">
        <w:t>,</w:t>
      </w:r>
      <w:r w:rsidR="005F2CA7">
        <w:t xml:space="preserve"> as a basis for upward</w:t>
      </w:r>
      <w:r w:rsidR="00117633">
        <w:t>ly</w:t>
      </w:r>
      <w:r w:rsidR="005F2CA7">
        <w:t xml:space="preserve"> adjust</w:t>
      </w:r>
      <w:r w:rsidR="00117633">
        <w:t>ing</w:t>
      </w:r>
      <w:r w:rsidR="005F2CA7">
        <w:t xml:space="preserve"> a proposed forfeiture, under </w:t>
      </w:r>
      <w:r w:rsidR="00FC2E56">
        <w:t>s</w:t>
      </w:r>
      <w:r w:rsidR="005F2CA7">
        <w:t>ection 503(b)(2)(E))</w:t>
      </w:r>
      <w:r w:rsidR="00F222AA">
        <w:t xml:space="preserve">; </w:t>
      </w:r>
      <w:r w:rsidR="00F222AA">
        <w:rPr>
          <w:i/>
          <w:iCs/>
        </w:rPr>
        <w:t xml:space="preserve">Rio Verde Wireless </w:t>
      </w:r>
      <w:r w:rsidR="00F222AA">
        <w:rPr>
          <w:i/>
          <w:iCs/>
        </w:rPr>
        <w:t>NAL</w:t>
      </w:r>
      <w:r w:rsidR="00F222AA">
        <w:t xml:space="preserve">, </w:t>
      </w:r>
      <w:r w:rsidRPr="00DC7A46" w:rsidR="00F222AA">
        <w:t xml:space="preserve">30 FCC </w:t>
      </w:r>
      <w:r w:rsidRPr="00DC7A46" w:rsidR="00F222AA">
        <w:t>Rcd</w:t>
      </w:r>
      <w:r w:rsidRPr="00DC7A46" w:rsidR="00F222AA">
        <w:t xml:space="preserve"> </w:t>
      </w:r>
      <w:r w:rsidR="00F222AA">
        <w:t>at 220</w:t>
      </w:r>
      <w:r w:rsidR="003E7987">
        <w:t>1</w:t>
      </w:r>
      <w:r w:rsidR="00F222AA">
        <w:t>, para. 18</w:t>
      </w:r>
      <w:r w:rsidR="00117633">
        <w:t xml:space="preserve"> (</w:t>
      </w:r>
      <w:r w:rsidRPr="00240774" w:rsidR="00117633">
        <w:t>same</w:t>
      </w:r>
      <w:r w:rsidR="00117633">
        <w:t>)</w:t>
      </w:r>
      <w:r w:rsidR="00F222AA">
        <w:t xml:space="preserve">. </w:t>
      </w:r>
    </w:p>
  </w:footnote>
  <w:footnote w:id="31">
    <w:p w:rsidR="00111CC4" w:rsidP="008A369A" w14:paraId="0928C82F"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2">
    <w:p w:rsidR="00111CC4" w:rsidP="00DC7A46" w14:paraId="7C945A69" w14:textId="77777777">
      <w:pPr>
        <w:pStyle w:val="FootnoteText"/>
      </w:pPr>
      <w:r w:rsidRPr="003240CD">
        <w:rPr>
          <w:rStyle w:val="FootnoteReference"/>
        </w:rPr>
        <w:footnoteRef/>
      </w:r>
      <w:r w:rsidRPr="003240CD">
        <w:t xml:space="preserve"> </w:t>
      </w:r>
      <w:r w:rsidRPr="003240CD" w:rsidR="003240CD">
        <w:t>47 U.S.C. § 503(b); 47 CFR § 1.80.</w:t>
      </w:r>
    </w:p>
  </w:footnote>
  <w:footnote w:id="33">
    <w:p w:rsidR="00111CC4" w:rsidP="00FF2E02" w14:paraId="625D55D8" w14:textId="7BDB61C0">
      <w:pPr>
        <w:pStyle w:val="FootnoteText"/>
      </w:pPr>
      <w:r w:rsidRPr="003240CD">
        <w:rPr>
          <w:rStyle w:val="FootnoteReference"/>
        </w:rPr>
        <w:footnoteRef/>
      </w:r>
      <w:r w:rsidRPr="003240CD">
        <w:t xml:space="preserve"> </w:t>
      </w:r>
      <w:r w:rsidRPr="003240CD" w:rsidR="003240CD">
        <w:t>47 CFR §</w:t>
      </w:r>
      <w:r w:rsidRPr="003240CD" w:rsidR="00585480">
        <w:t>§</w:t>
      </w:r>
      <w:r w:rsidRPr="003240CD" w:rsidR="003240CD">
        <w:t xml:space="preserve"> 1.7001, 1.7002.</w:t>
      </w:r>
    </w:p>
  </w:footnote>
  <w:footnote w:id="34">
    <w:p w:rsidR="00111CC4" w:rsidP="00FF2E02" w14:paraId="31B3284B" w14:textId="77777777">
      <w:pPr>
        <w:pStyle w:val="FootnoteText"/>
      </w:pPr>
      <w:r w:rsidRPr="00FF2E02">
        <w:rPr>
          <w:rStyle w:val="FootnoteReference"/>
        </w:rPr>
        <w:footnoteRef/>
      </w:r>
      <w:r w:rsidRPr="00FF2E02">
        <w:t xml:space="preserve"> </w:t>
      </w:r>
      <w:r w:rsidR="002E346D">
        <w:t>47 CFR § 1.80.</w:t>
      </w:r>
    </w:p>
  </w:footnote>
  <w:footnote w:id="35">
    <w:p w:rsidR="00111CC4" w:rsidP="00FF2E02" w14:paraId="411DA382" w14:textId="77777777">
      <w:pPr>
        <w:pStyle w:val="FootnoteText"/>
      </w:pPr>
      <w:r w:rsidRPr="00FF2E02">
        <w:rPr>
          <w:rStyle w:val="FootnoteReference"/>
        </w:rPr>
        <w:footnoteRef/>
      </w:r>
      <w:r w:rsidRPr="00FF2E02">
        <w:t xml:space="preserve"> </w:t>
      </w:r>
      <w:r w:rsidR="002E346D">
        <w:t>Payments made using the Commission’s Fee Filer system do not require the submission of an FCC Form 159.</w:t>
      </w:r>
    </w:p>
  </w:footnote>
  <w:footnote w:id="36">
    <w:p w:rsidR="00111CC4" w:rsidP="00225461" w14:paraId="29167909" w14:textId="77777777">
      <w:pPr>
        <w:pStyle w:val="FootnoteText"/>
      </w:pPr>
      <w:r w:rsidRPr="00FF2E02">
        <w:rPr>
          <w:rStyle w:val="FootnoteReference"/>
        </w:rPr>
        <w:footnoteRef/>
      </w:r>
      <w:r w:rsidRPr="00FF2E02">
        <w:t xml:space="preserve"> </w:t>
      </w:r>
      <w:r w:rsidR="002E346D">
        <w:t>For questions regarding payment procedures, please contact the Financial Operations Group Help Desk by pho</w:t>
      </w:r>
      <w:r w:rsidR="00DB1C9A">
        <w:t>ne at 1-877-480-3201 (option #6), or by e-</w:t>
      </w:r>
      <w:r w:rsidRPr="002E346D" w:rsidR="00DB1C9A">
        <w:t xml:space="preserve">mail at </w:t>
      </w:r>
      <w:hyperlink r:id="rId8" w:history="1">
        <w:r w:rsidRPr="00C81521" w:rsidR="00DB1C9A">
          <w:rPr>
            <w:rStyle w:val="Hyperlink"/>
          </w:rPr>
          <w:t>ARINQUIRIES@fcc.gov</w:t>
        </w:r>
      </w:hyperlink>
      <w:r w:rsidRPr="002E346D" w:rsidR="00DB1C9A">
        <w:t>.</w:t>
      </w:r>
      <w:r w:rsidR="00DB1C9A">
        <w:t xml:space="preserve"> </w:t>
      </w:r>
    </w:p>
  </w:footnote>
  <w:footnote w:id="37">
    <w:p w:rsidR="00111CC4" w:rsidP="002E346D" w14:paraId="5E2E1AB2" w14:textId="11F452E5">
      <w:pPr>
        <w:pStyle w:val="FootnoteText"/>
      </w:pPr>
      <w:r w:rsidRPr="002E346D">
        <w:rPr>
          <w:rStyle w:val="FootnoteReference"/>
        </w:rPr>
        <w:footnoteRef/>
      </w:r>
      <w:r w:rsidRPr="002E346D">
        <w:t xml:space="preserve"> Instructions for completing the form may be obtained at </w:t>
      </w:r>
      <w:hyperlink r:id="rId9" w:history="1">
        <w:r w:rsidRPr="00C81521">
          <w:rPr>
            <w:rStyle w:val="Hyperlink"/>
          </w:rPr>
          <w:t>http://www.fcc.gov/Forms/Form159/159.pdf</w:t>
        </w:r>
      </w:hyperlink>
      <w:r w:rsidRPr="002E346D">
        <w:t>.</w:t>
      </w:r>
      <w:r>
        <w:t xml:space="preserve"> </w:t>
      </w:r>
    </w:p>
  </w:footnote>
  <w:footnote w:id="38">
    <w:p w:rsidR="00111CC4" w:rsidP="002E346D" w14:paraId="29C302FF" w14:textId="77777777">
      <w:pPr>
        <w:pStyle w:val="FootnoteText"/>
      </w:pPr>
      <w:r w:rsidRPr="002E346D">
        <w:rPr>
          <w:rStyle w:val="FootnoteReference"/>
        </w:rPr>
        <w:footnoteRef/>
      </w:r>
      <w:r w:rsidRPr="002E346D">
        <w:t xml:space="preserve"> </w:t>
      </w:r>
      <w:r w:rsidRPr="002E346D" w:rsidR="002E346D">
        <w:rPr>
          <w:i/>
          <w:iCs/>
        </w:rPr>
        <w:t xml:space="preserve">See </w:t>
      </w:r>
      <w:r w:rsidRPr="002E346D" w:rsidR="002E346D">
        <w:t>47 CFR § 1.1914.</w:t>
      </w:r>
    </w:p>
  </w:footnote>
  <w:footnote w:id="39">
    <w:p w:rsidR="00111CC4" w:rsidP="00585480" w14:paraId="3956AC6E" w14:textId="7ED1F28E">
      <w:pPr>
        <w:pStyle w:val="FootnoteText"/>
      </w:pPr>
      <w:r w:rsidRPr="00FF2E02">
        <w:rPr>
          <w:rStyle w:val="FootnoteReference"/>
        </w:rPr>
        <w:footnoteRef/>
      </w:r>
      <w:r>
        <w:t xml:space="preserve"> </w:t>
      </w:r>
      <w:r w:rsidRPr="00A2785D" w:rsidR="002E346D">
        <w:t>47</w:t>
      </w:r>
      <w:r w:rsidR="002E346D">
        <w:t xml:space="preserve"> CFR §§ 1.16, 1.80(f)(3).</w:t>
      </w:r>
    </w:p>
  </w:footnote>
  <w:footnote w:id="40">
    <w:p w:rsidR="000D6D4E" w14:paraId="40350633" w14:textId="2BEAF959">
      <w:pPr>
        <w:pStyle w:val="FootnoteText"/>
      </w:pPr>
      <w:r>
        <w:rPr>
          <w:rStyle w:val="FootnoteReference"/>
        </w:rPr>
        <w:footnoteRef/>
      </w:r>
      <w:r>
        <w:t xml:space="preserve"> </w:t>
      </w:r>
      <w:r>
        <w:rPr>
          <w:i/>
          <w:iCs/>
        </w:rPr>
        <w:t>Adrian Abramovich</w:t>
      </w:r>
      <w:r>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RPr="009321F5" w:rsidP="00AF05F1" w14:paraId="2CFA52FF" w14:textId="246C7CAC">
    <w:pPr>
      <w:pStyle w:val="Header"/>
      <w:pBdr>
        <w:bottom w:val="single" w:sz="12" w:space="1" w:color="auto"/>
      </w:pBdr>
      <w:jc w:val="center"/>
    </w:pPr>
    <w:r>
      <w:rPr>
        <w:b w:val="0"/>
        <w:bCs/>
      </w:rPr>
      <w:tab/>
    </w:r>
    <w:r w:rsidRPr="009321F5">
      <w:t>Federal Communications Commission</w:t>
    </w:r>
    <w:r w:rsidRPr="009321F5">
      <w:tab/>
      <w:t>DA 2</w:t>
    </w:r>
    <w:r w:rsidR="006952A3">
      <w:t>1</w:t>
    </w:r>
    <w:r w:rsidRPr="009321F5">
      <w:t>-</w:t>
    </w:r>
    <w:r w:rsidR="00E34909">
      <w:t>127</w:t>
    </w:r>
  </w:p>
  <w:p w:rsidR="00AF05F1" w14:paraId="1A4EC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1F" w:rsidRPr="009321F5" w:rsidP="002E6E1F" w14:paraId="598B5FF0" w14:textId="7685E971">
    <w:pPr>
      <w:pStyle w:val="Header"/>
      <w:pBdr>
        <w:bottom w:val="single" w:sz="12" w:space="1" w:color="auto"/>
      </w:pBdr>
      <w:jc w:val="center"/>
    </w:pPr>
    <w:r>
      <w:rPr>
        <w:b w:val="0"/>
        <w:bCs/>
      </w:rPr>
      <w:tab/>
    </w:r>
    <w:r w:rsidRPr="009321F5">
      <w:t>Federal Communications Commission</w:t>
    </w:r>
    <w:r w:rsidRPr="009321F5">
      <w:tab/>
      <w:t>DA 2</w:t>
    </w:r>
    <w:r>
      <w:t>1</w:t>
    </w:r>
    <w:r w:rsidRPr="009321F5">
      <w:t>-</w:t>
    </w:r>
    <w:r w:rsidR="00E34909">
      <w:t>127</w:t>
    </w:r>
  </w:p>
  <w:p w:rsidR="002E6E1F" w14:paraId="101FC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D03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CBB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845C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165B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BA1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B49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C0B1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0C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AC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A00288"/>
    <w:lvl w:ilvl="0">
      <w:start w:val="1"/>
      <w:numFmt w:val="bullet"/>
      <w:lvlText w:val=""/>
      <w:lvlJc w:val="left"/>
      <w:pPr>
        <w:tabs>
          <w:tab w:val="num" w:pos="360"/>
        </w:tabs>
        <w:ind w:left="360" w:hanging="360"/>
      </w:pPr>
      <w:rPr>
        <w:rFonts w:ascii="Symbol" w:hAnsi="Symbol" w:hint="default"/>
      </w:rPr>
    </w:lvl>
  </w:abstractNum>
  <w:abstractNum w:abstractNumId="10">
    <w:nsid w:val="037A01FE"/>
    <w:multiLevelType w:val="hybridMultilevel"/>
    <w:tmpl w:val="3474912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4648DA"/>
    <w:multiLevelType w:val="hybridMultilevel"/>
    <w:tmpl w:val="AFBAE6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DA42A08"/>
    <w:multiLevelType w:val="hybridMultilevel"/>
    <w:tmpl w:val="BF467F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13E5FA9"/>
    <w:multiLevelType w:val="hybridMultilevel"/>
    <w:tmpl w:val="9B4050DE"/>
    <w:lvl w:ilvl="0">
      <w:start w:val="1"/>
      <w:numFmt w:val="upperLetter"/>
      <w:lvlText w:val="%1."/>
      <w:lvlJc w:val="left"/>
      <w:pPr>
        <w:ind w:left="720" w:hanging="360"/>
      </w:pPr>
      <w:rPr>
        <w:rFonts w:cs="Times New Roman" w:hint="default"/>
        <w:b/>
        <w:bCs/>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035C17"/>
    <w:multiLevelType w:val="hybridMultilevel"/>
    <w:tmpl w:val="6A909F4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915E66"/>
    <w:multiLevelType w:val="hybridMultilevel"/>
    <w:tmpl w:val="118216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A807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193AE4"/>
    <w:multiLevelType w:val="hybridMultilevel"/>
    <w:tmpl w:val="A4721908"/>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23"/>
  </w:num>
  <w:num w:numId="5">
    <w:abstractNumId w:val="17"/>
  </w:num>
  <w:num w:numId="6">
    <w:abstractNumId w:val="14"/>
  </w:num>
  <w:num w:numId="7">
    <w:abstractNumId w:val="21"/>
  </w:num>
  <w:num w:numId="8">
    <w:abstractNumId w:val="24"/>
  </w:num>
  <w:num w:numId="9">
    <w:abstractNumId w:val="10"/>
  </w:num>
  <w:num w:numId="10">
    <w:abstractNumId w:val="15"/>
  </w:num>
  <w:num w:numId="11">
    <w:abstractNumId w:val="12"/>
  </w:num>
  <w:num w:numId="12">
    <w:abstractNumId w:val="20"/>
  </w:num>
  <w:num w:numId="13">
    <w:abstractNumId w:val="13"/>
  </w:num>
  <w:num w:numId="14">
    <w:abstractNumId w:val="11"/>
  </w:num>
  <w:num w:numId="15">
    <w:abstractNumId w:val="22"/>
  </w:num>
  <w:num w:numId="16">
    <w:abstractNumId w:val="26"/>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0649E"/>
    <w:rsid w:val="00007C86"/>
    <w:rsid w:val="00014D90"/>
    <w:rsid w:val="00015875"/>
    <w:rsid w:val="00015B93"/>
    <w:rsid w:val="00016BED"/>
    <w:rsid w:val="000240F3"/>
    <w:rsid w:val="00024110"/>
    <w:rsid w:val="0002502F"/>
    <w:rsid w:val="00025C67"/>
    <w:rsid w:val="00026F1B"/>
    <w:rsid w:val="00035520"/>
    <w:rsid w:val="00036527"/>
    <w:rsid w:val="00037293"/>
    <w:rsid w:val="00041AFA"/>
    <w:rsid w:val="00042172"/>
    <w:rsid w:val="000421B2"/>
    <w:rsid w:val="00045AFD"/>
    <w:rsid w:val="00046A5C"/>
    <w:rsid w:val="00050ECA"/>
    <w:rsid w:val="00056648"/>
    <w:rsid w:val="00061283"/>
    <w:rsid w:val="00062D31"/>
    <w:rsid w:val="00065305"/>
    <w:rsid w:val="000661D3"/>
    <w:rsid w:val="000707E1"/>
    <w:rsid w:val="00070CC1"/>
    <w:rsid w:val="00083EE7"/>
    <w:rsid w:val="000862E0"/>
    <w:rsid w:val="00087AA5"/>
    <w:rsid w:val="00087C4C"/>
    <w:rsid w:val="000906FB"/>
    <w:rsid w:val="00092E30"/>
    <w:rsid w:val="000955BD"/>
    <w:rsid w:val="00095C84"/>
    <w:rsid w:val="000964C8"/>
    <w:rsid w:val="000975BE"/>
    <w:rsid w:val="0009765E"/>
    <w:rsid w:val="000977E7"/>
    <w:rsid w:val="000A2AAB"/>
    <w:rsid w:val="000A56E2"/>
    <w:rsid w:val="000A5D1C"/>
    <w:rsid w:val="000A63C4"/>
    <w:rsid w:val="000A6C35"/>
    <w:rsid w:val="000B3905"/>
    <w:rsid w:val="000B53C1"/>
    <w:rsid w:val="000B6041"/>
    <w:rsid w:val="000C146D"/>
    <w:rsid w:val="000C1DE3"/>
    <w:rsid w:val="000D627B"/>
    <w:rsid w:val="000D6511"/>
    <w:rsid w:val="000D6D4E"/>
    <w:rsid w:val="000D7FFC"/>
    <w:rsid w:val="000E3C2D"/>
    <w:rsid w:val="000E4A71"/>
    <w:rsid w:val="000E5CD5"/>
    <w:rsid w:val="000E5DEE"/>
    <w:rsid w:val="000F1E83"/>
    <w:rsid w:val="001029F8"/>
    <w:rsid w:val="00103B1B"/>
    <w:rsid w:val="00105FE4"/>
    <w:rsid w:val="001077CA"/>
    <w:rsid w:val="00110C6E"/>
    <w:rsid w:val="00111CC4"/>
    <w:rsid w:val="001143EB"/>
    <w:rsid w:val="00117633"/>
    <w:rsid w:val="00122A9B"/>
    <w:rsid w:val="001304CC"/>
    <w:rsid w:val="00135774"/>
    <w:rsid w:val="00136D9E"/>
    <w:rsid w:val="00156216"/>
    <w:rsid w:val="0015625C"/>
    <w:rsid w:val="001621E7"/>
    <w:rsid w:val="0017042D"/>
    <w:rsid w:val="0017296B"/>
    <w:rsid w:val="00173339"/>
    <w:rsid w:val="00176213"/>
    <w:rsid w:val="001813B2"/>
    <w:rsid w:val="00186427"/>
    <w:rsid w:val="001900C2"/>
    <w:rsid w:val="00190D2C"/>
    <w:rsid w:val="00190E6B"/>
    <w:rsid w:val="0019289F"/>
    <w:rsid w:val="001A2A0A"/>
    <w:rsid w:val="001A40B8"/>
    <w:rsid w:val="001B0260"/>
    <w:rsid w:val="001B0557"/>
    <w:rsid w:val="001B1EFC"/>
    <w:rsid w:val="001C350E"/>
    <w:rsid w:val="001C393E"/>
    <w:rsid w:val="001C4C56"/>
    <w:rsid w:val="001C5665"/>
    <w:rsid w:val="001D0C38"/>
    <w:rsid w:val="001D1DD3"/>
    <w:rsid w:val="001D405A"/>
    <w:rsid w:val="001D5067"/>
    <w:rsid w:val="001D643A"/>
    <w:rsid w:val="001E124C"/>
    <w:rsid w:val="001E234B"/>
    <w:rsid w:val="001E554D"/>
    <w:rsid w:val="001E6FB8"/>
    <w:rsid w:val="001E7AB2"/>
    <w:rsid w:val="002020A4"/>
    <w:rsid w:val="0020343C"/>
    <w:rsid w:val="002040C2"/>
    <w:rsid w:val="00206295"/>
    <w:rsid w:val="002063AD"/>
    <w:rsid w:val="00221E8A"/>
    <w:rsid w:val="00224192"/>
    <w:rsid w:val="002245A6"/>
    <w:rsid w:val="00224F08"/>
    <w:rsid w:val="00225461"/>
    <w:rsid w:val="00236CD2"/>
    <w:rsid w:val="00237E78"/>
    <w:rsid w:val="00240774"/>
    <w:rsid w:val="00243F7F"/>
    <w:rsid w:val="00244869"/>
    <w:rsid w:val="00254775"/>
    <w:rsid w:val="0025616C"/>
    <w:rsid w:val="00257254"/>
    <w:rsid w:val="002674B5"/>
    <w:rsid w:val="00271B12"/>
    <w:rsid w:val="00277C51"/>
    <w:rsid w:val="00286961"/>
    <w:rsid w:val="00286F8E"/>
    <w:rsid w:val="002911E6"/>
    <w:rsid w:val="002940D4"/>
    <w:rsid w:val="00297420"/>
    <w:rsid w:val="00297578"/>
    <w:rsid w:val="00297EC6"/>
    <w:rsid w:val="002A055D"/>
    <w:rsid w:val="002A0FD9"/>
    <w:rsid w:val="002A23CF"/>
    <w:rsid w:val="002A381D"/>
    <w:rsid w:val="002A60DD"/>
    <w:rsid w:val="002A69FA"/>
    <w:rsid w:val="002A6E30"/>
    <w:rsid w:val="002A7074"/>
    <w:rsid w:val="002B0568"/>
    <w:rsid w:val="002B23DC"/>
    <w:rsid w:val="002B3721"/>
    <w:rsid w:val="002C0220"/>
    <w:rsid w:val="002C1980"/>
    <w:rsid w:val="002C2149"/>
    <w:rsid w:val="002C35E1"/>
    <w:rsid w:val="002C7904"/>
    <w:rsid w:val="002D15C1"/>
    <w:rsid w:val="002D1AE0"/>
    <w:rsid w:val="002D4260"/>
    <w:rsid w:val="002E0A0E"/>
    <w:rsid w:val="002E346D"/>
    <w:rsid w:val="002E604E"/>
    <w:rsid w:val="002E6D8B"/>
    <w:rsid w:val="002E6E1F"/>
    <w:rsid w:val="002F07D6"/>
    <w:rsid w:val="002F0CB2"/>
    <w:rsid w:val="002F63D4"/>
    <w:rsid w:val="002F7B4E"/>
    <w:rsid w:val="00304CD4"/>
    <w:rsid w:val="0031279C"/>
    <w:rsid w:val="00313E0C"/>
    <w:rsid w:val="00315A94"/>
    <w:rsid w:val="00317ED4"/>
    <w:rsid w:val="00321CE8"/>
    <w:rsid w:val="003240CD"/>
    <w:rsid w:val="0032445C"/>
    <w:rsid w:val="00324B67"/>
    <w:rsid w:val="00325532"/>
    <w:rsid w:val="0032722C"/>
    <w:rsid w:val="00331F78"/>
    <w:rsid w:val="0033331E"/>
    <w:rsid w:val="00334ADB"/>
    <w:rsid w:val="00334C79"/>
    <w:rsid w:val="00340054"/>
    <w:rsid w:val="003410B4"/>
    <w:rsid w:val="003436FD"/>
    <w:rsid w:val="00343CEE"/>
    <w:rsid w:val="00345448"/>
    <w:rsid w:val="00346BB1"/>
    <w:rsid w:val="00351EEF"/>
    <w:rsid w:val="003531D5"/>
    <w:rsid w:val="003537CA"/>
    <w:rsid w:val="00362600"/>
    <w:rsid w:val="00362E76"/>
    <w:rsid w:val="00365AC4"/>
    <w:rsid w:val="00366AB9"/>
    <w:rsid w:val="00367585"/>
    <w:rsid w:val="003679A0"/>
    <w:rsid w:val="003778E1"/>
    <w:rsid w:val="003826AB"/>
    <w:rsid w:val="00394314"/>
    <w:rsid w:val="0039521C"/>
    <w:rsid w:val="003A0B0B"/>
    <w:rsid w:val="003A0C52"/>
    <w:rsid w:val="003A3068"/>
    <w:rsid w:val="003A385A"/>
    <w:rsid w:val="003A5216"/>
    <w:rsid w:val="003A7714"/>
    <w:rsid w:val="003A7B20"/>
    <w:rsid w:val="003B099C"/>
    <w:rsid w:val="003B0EE1"/>
    <w:rsid w:val="003B3B21"/>
    <w:rsid w:val="003C0BD1"/>
    <w:rsid w:val="003C295B"/>
    <w:rsid w:val="003C3446"/>
    <w:rsid w:val="003C4620"/>
    <w:rsid w:val="003C5D52"/>
    <w:rsid w:val="003D1741"/>
    <w:rsid w:val="003D2D77"/>
    <w:rsid w:val="003D4964"/>
    <w:rsid w:val="003E49F4"/>
    <w:rsid w:val="003E7987"/>
    <w:rsid w:val="003E7EFF"/>
    <w:rsid w:val="003F65FB"/>
    <w:rsid w:val="0040402B"/>
    <w:rsid w:val="00404C59"/>
    <w:rsid w:val="00406F90"/>
    <w:rsid w:val="0040706E"/>
    <w:rsid w:val="00407E32"/>
    <w:rsid w:val="00410F4B"/>
    <w:rsid w:val="00417B79"/>
    <w:rsid w:val="004208DE"/>
    <w:rsid w:val="00425A5E"/>
    <w:rsid w:val="00425DE8"/>
    <w:rsid w:val="00426ED2"/>
    <w:rsid w:val="00441582"/>
    <w:rsid w:val="0044418C"/>
    <w:rsid w:val="00450D4F"/>
    <w:rsid w:val="004531CC"/>
    <w:rsid w:val="004546F6"/>
    <w:rsid w:val="00461AB3"/>
    <w:rsid w:val="0047161E"/>
    <w:rsid w:val="00472245"/>
    <w:rsid w:val="00472BE4"/>
    <w:rsid w:val="00475829"/>
    <w:rsid w:val="0048746A"/>
    <w:rsid w:val="004A3DFE"/>
    <w:rsid w:val="004A69EA"/>
    <w:rsid w:val="004B0CBB"/>
    <w:rsid w:val="004B5984"/>
    <w:rsid w:val="004B747D"/>
    <w:rsid w:val="004C29C4"/>
    <w:rsid w:val="004C30B7"/>
    <w:rsid w:val="004D1B59"/>
    <w:rsid w:val="004D2513"/>
    <w:rsid w:val="004D25C7"/>
    <w:rsid w:val="004E0870"/>
    <w:rsid w:val="004E2212"/>
    <w:rsid w:val="004E235F"/>
    <w:rsid w:val="004E2DB8"/>
    <w:rsid w:val="004E3821"/>
    <w:rsid w:val="004E4F60"/>
    <w:rsid w:val="004F1F7A"/>
    <w:rsid w:val="005071AB"/>
    <w:rsid w:val="00511BC0"/>
    <w:rsid w:val="005120BA"/>
    <w:rsid w:val="0051255B"/>
    <w:rsid w:val="00517806"/>
    <w:rsid w:val="00520480"/>
    <w:rsid w:val="005213CE"/>
    <w:rsid w:val="0052161B"/>
    <w:rsid w:val="005236DF"/>
    <w:rsid w:val="005262E8"/>
    <w:rsid w:val="00530567"/>
    <w:rsid w:val="0053092B"/>
    <w:rsid w:val="005316D8"/>
    <w:rsid w:val="00532267"/>
    <w:rsid w:val="00537C85"/>
    <w:rsid w:val="00542635"/>
    <w:rsid w:val="00543BA9"/>
    <w:rsid w:val="0055074A"/>
    <w:rsid w:val="005507DC"/>
    <w:rsid w:val="00556D79"/>
    <w:rsid w:val="00560C7B"/>
    <w:rsid w:val="00563D5E"/>
    <w:rsid w:val="00566FCD"/>
    <w:rsid w:val="00570683"/>
    <w:rsid w:val="005722BC"/>
    <w:rsid w:val="00573757"/>
    <w:rsid w:val="005747EE"/>
    <w:rsid w:val="005770E5"/>
    <w:rsid w:val="005774AC"/>
    <w:rsid w:val="00577C59"/>
    <w:rsid w:val="00585220"/>
    <w:rsid w:val="00585480"/>
    <w:rsid w:val="00595A96"/>
    <w:rsid w:val="0059682F"/>
    <w:rsid w:val="005A1F36"/>
    <w:rsid w:val="005A51FE"/>
    <w:rsid w:val="005A5F0B"/>
    <w:rsid w:val="005B35C0"/>
    <w:rsid w:val="005B468E"/>
    <w:rsid w:val="005B6306"/>
    <w:rsid w:val="005D0A7F"/>
    <w:rsid w:val="005D34F3"/>
    <w:rsid w:val="005D49B0"/>
    <w:rsid w:val="005E28D2"/>
    <w:rsid w:val="005E40FD"/>
    <w:rsid w:val="005E6E28"/>
    <w:rsid w:val="005F1F9D"/>
    <w:rsid w:val="005F2CA7"/>
    <w:rsid w:val="0060407A"/>
    <w:rsid w:val="00606283"/>
    <w:rsid w:val="0061357C"/>
    <w:rsid w:val="00615702"/>
    <w:rsid w:val="00615912"/>
    <w:rsid w:val="00615BF1"/>
    <w:rsid w:val="00620FD7"/>
    <w:rsid w:val="00623D32"/>
    <w:rsid w:val="006253C3"/>
    <w:rsid w:val="00625407"/>
    <w:rsid w:val="00626171"/>
    <w:rsid w:val="0062635F"/>
    <w:rsid w:val="0063539B"/>
    <w:rsid w:val="00637AD4"/>
    <w:rsid w:val="0064525D"/>
    <w:rsid w:val="00647595"/>
    <w:rsid w:val="00653255"/>
    <w:rsid w:val="00653D1B"/>
    <w:rsid w:val="00667BB2"/>
    <w:rsid w:val="00667CAC"/>
    <w:rsid w:val="00670EED"/>
    <w:rsid w:val="00674D9F"/>
    <w:rsid w:val="006764BA"/>
    <w:rsid w:val="00676839"/>
    <w:rsid w:val="006776A4"/>
    <w:rsid w:val="006802BA"/>
    <w:rsid w:val="00680A63"/>
    <w:rsid w:val="0068121B"/>
    <w:rsid w:val="006900A1"/>
    <w:rsid w:val="00693CD0"/>
    <w:rsid w:val="006952A3"/>
    <w:rsid w:val="006A0C6E"/>
    <w:rsid w:val="006A3143"/>
    <w:rsid w:val="006A3789"/>
    <w:rsid w:val="006A538A"/>
    <w:rsid w:val="006A7AF6"/>
    <w:rsid w:val="006B6DCA"/>
    <w:rsid w:val="006C3872"/>
    <w:rsid w:val="006C41AC"/>
    <w:rsid w:val="006C4CBB"/>
    <w:rsid w:val="006C66B7"/>
    <w:rsid w:val="006D061A"/>
    <w:rsid w:val="006D4F5F"/>
    <w:rsid w:val="006D6E08"/>
    <w:rsid w:val="006E0077"/>
    <w:rsid w:val="006E38B2"/>
    <w:rsid w:val="006F0D61"/>
    <w:rsid w:val="006F2DAA"/>
    <w:rsid w:val="006F6D40"/>
    <w:rsid w:val="00710B31"/>
    <w:rsid w:val="007113B0"/>
    <w:rsid w:val="0071689D"/>
    <w:rsid w:val="007204AA"/>
    <w:rsid w:val="00721B65"/>
    <w:rsid w:val="00724650"/>
    <w:rsid w:val="00725233"/>
    <w:rsid w:val="00727185"/>
    <w:rsid w:val="0073175E"/>
    <w:rsid w:val="00733F00"/>
    <w:rsid w:val="00734F87"/>
    <w:rsid w:val="00750307"/>
    <w:rsid w:val="007519F9"/>
    <w:rsid w:val="00752014"/>
    <w:rsid w:val="00757B60"/>
    <w:rsid w:val="00764199"/>
    <w:rsid w:val="00766AF8"/>
    <w:rsid w:val="007677B9"/>
    <w:rsid w:val="00770E6C"/>
    <w:rsid w:val="00772F63"/>
    <w:rsid w:val="007769B3"/>
    <w:rsid w:val="0077741D"/>
    <w:rsid w:val="00777560"/>
    <w:rsid w:val="007801DB"/>
    <w:rsid w:val="007839A1"/>
    <w:rsid w:val="00791B93"/>
    <w:rsid w:val="00795F57"/>
    <w:rsid w:val="007A289B"/>
    <w:rsid w:val="007A4652"/>
    <w:rsid w:val="007A69FB"/>
    <w:rsid w:val="007B18DA"/>
    <w:rsid w:val="007B4335"/>
    <w:rsid w:val="007B58A9"/>
    <w:rsid w:val="007B6B47"/>
    <w:rsid w:val="007E55D5"/>
    <w:rsid w:val="007E7A5E"/>
    <w:rsid w:val="007F2C5E"/>
    <w:rsid w:val="008036D8"/>
    <w:rsid w:val="00805E8E"/>
    <w:rsid w:val="0080755A"/>
    <w:rsid w:val="008140D9"/>
    <w:rsid w:val="00814CBD"/>
    <w:rsid w:val="00824FE7"/>
    <w:rsid w:val="008260FE"/>
    <w:rsid w:val="0083522E"/>
    <w:rsid w:val="00835277"/>
    <w:rsid w:val="00836192"/>
    <w:rsid w:val="00855757"/>
    <w:rsid w:val="008559B8"/>
    <w:rsid w:val="00856095"/>
    <w:rsid w:val="00863F86"/>
    <w:rsid w:val="00875065"/>
    <w:rsid w:val="00881B10"/>
    <w:rsid w:val="00883B35"/>
    <w:rsid w:val="00884D0E"/>
    <w:rsid w:val="00892770"/>
    <w:rsid w:val="00892CF6"/>
    <w:rsid w:val="00892D96"/>
    <w:rsid w:val="00893938"/>
    <w:rsid w:val="00896653"/>
    <w:rsid w:val="008A22D3"/>
    <w:rsid w:val="008A369A"/>
    <w:rsid w:val="008A39C2"/>
    <w:rsid w:val="008B4259"/>
    <w:rsid w:val="008B4560"/>
    <w:rsid w:val="008B502F"/>
    <w:rsid w:val="008B6D46"/>
    <w:rsid w:val="008C1F57"/>
    <w:rsid w:val="008C3819"/>
    <w:rsid w:val="008C6FB4"/>
    <w:rsid w:val="008D299C"/>
    <w:rsid w:val="008D4928"/>
    <w:rsid w:val="008E2595"/>
    <w:rsid w:val="008E3063"/>
    <w:rsid w:val="008E59CE"/>
    <w:rsid w:val="008F01E0"/>
    <w:rsid w:val="00900075"/>
    <w:rsid w:val="0090024C"/>
    <w:rsid w:val="00900795"/>
    <w:rsid w:val="009023C5"/>
    <w:rsid w:val="00902FC0"/>
    <w:rsid w:val="00904BAA"/>
    <w:rsid w:val="00905926"/>
    <w:rsid w:val="00905A50"/>
    <w:rsid w:val="00907CB2"/>
    <w:rsid w:val="00914050"/>
    <w:rsid w:val="009151F0"/>
    <w:rsid w:val="00924639"/>
    <w:rsid w:val="009259B0"/>
    <w:rsid w:val="0093066D"/>
    <w:rsid w:val="00931A54"/>
    <w:rsid w:val="009321F5"/>
    <w:rsid w:val="009323EA"/>
    <w:rsid w:val="00935034"/>
    <w:rsid w:val="0093692C"/>
    <w:rsid w:val="009369DB"/>
    <w:rsid w:val="0093798B"/>
    <w:rsid w:val="00937ECB"/>
    <w:rsid w:val="00945151"/>
    <w:rsid w:val="00945165"/>
    <w:rsid w:val="00945229"/>
    <w:rsid w:val="009504E8"/>
    <w:rsid w:val="009578B6"/>
    <w:rsid w:val="009606E7"/>
    <w:rsid w:val="00961E29"/>
    <w:rsid w:val="00963380"/>
    <w:rsid w:val="00970D7C"/>
    <w:rsid w:val="0097154F"/>
    <w:rsid w:val="00971A7E"/>
    <w:rsid w:val="0097730F"/>
    <w:rsid w:val="009803CA"/>
    <w:rsid w:val="00981C29"/>
    <w:rsid w:val="00982CAE"/>
    <w:rsid w:val="0098632C"/>
    <w:rsid w:val="00992506"/>
    <w:rsid w:val="00992970"/>
    <w:rsid w:val="00992EBD"/>
    <w:rsid w:val="00993567"/>
    <w:rsid w:val="00997F0C"/>
    <w:rsid w:val="009A1204"/>
    <w:rsid w:val="009A14B5"/>
    <w:rsid w:val="009A17C8"/>
    <w:rsid w:val="009A56C9"/>
    <w:rsid w:val="009A5B8B"/>
    <w:rsid w:val="009B0C8F"/>
    <w:rsid w:val="009B3EF4"/>
    <w:rsid w:val="009B459E"/>
    <w:rsid w:val="009B5077"/>
    <w:rsid w:val="009C3D21"/>
    <w:rsid w:val="009C4287"/>
    <w:rsid w:val="009C66FB"/>
    <w:rsid w:val="009E177E"/>
    <w:rsid w:val="009F202F"/>
    <w:rsid w:val="009F2273"/>
    <w:rsid w:val="00A04089"/>
    <w:rsid w:val="00A07E3F"/>
    <w:rsid w:val="00A125CB"/>
    <w:rsid w:val="00A15098"/>
    <w:rsid w:val="00A200B5"/>
    <w:rsid w:val="00A216FF"/>
    <w:rsid w:val="00A234C0"/>
    <w:rsid w:val="00A2785D"/>
    <w:rsid w:val="00A300BA"/>
    <w:rsid w:val="00A30157"/>
    <w:rsid w:val="00A309C9"/>
    <w:rsid w:val="00A3483A"/>
    <w:rsid w:val="00A42105"/>
    <w:rsid w:val="00A44A4F"/>
    <w:rsid w:val="00A52BA8"/>
    <w:rsid w:val="00A55267"/>
    <w:rsid w:val="00A61C9A"/>
    <w:rsid w:val="00A7009F"/>
    <w:rsid w:val="00A70226"/>
    <w:rsid w:val="00A760FF"/>
    <w:rsid w:val="00A77E2B"/>
    <w:rsid w:val="00A80B8F"/>
    <w:rsid w:val="00A812CE"/>
    <w:rsid w:val="00A8147C"/>
    <w:rsid w:val="00A84221"/>
    <w:rsid w:val="00A847A9"/>
    <w:rsid w:val="00A851BF"/>
    <w:rsid w:val="00A87215"/>
    <w:rsid w:val="00A90148"/>
    <w:rsid w:val="00A90E3A"/>
    <w:rsid w:val="00A9131D"/>
    <w:rsid w:val="00A916C9"/>
    <w:rsid w:val="00A92BCA"/>
    <w:rsid w:val="00A94369"/>
    <w:rsid w:val="00AA1776"/>
    <w:rsid w:val="00AA3E53"/>
    <w:rsid w:val="00AB3E56"/>
    <w:rsid w:val="00AB6806"/>
    <w:rsid w:val="00AC35A6"/>
    <w:rsid w:val="00AC5AF5"/>
    <w:rsid w:val="00AD0726"/>
    <w:rsid w:val="00AD17CC"/>
    <w:rsid w:val="00AD2969"/>
    <w:rsid w:val="00AD2BE0"/>
    <w:rsid w:val="00AE353A"/>
    <w:rsid w:val="00AE3C54"/>
    <w:rsid w:val="00AE528A"/>
    <w:rsid w:val="00AE6406"/>
    <w:rsid w:val="00AE64DC"/>
    <w:rsid w:val="00AF05F1"/>
    <w:rsid w:val="00AF0869"/>
    <w:rsid w:val="00AF3C4E"/>
    <w:rsid w:val="00AF411A"/>
    <w:rsid w:val="00AF4267"/>
    <w:rsid w:val="00AF6125"/>
    <w:rsid w:val="00B016D2"/>
    <w:rsid w:val="00B02043"/>
    <w:rsid w:val="00B10A6E"/>
    <w:rsid w:val="00B12783"/>
    <w:rsid w:val="00B12A90"/>
    <w:rsid w:val="00B146C2"/>
    <w:rsid w:val="00B15176"/>
    <w:rsid w:val="00B1525B"/>
    <w:rsid w:val="00B16B4B"/>
    <w:rsid w:val="00B17683"/>
    <w:rsid w:val="00B22E0D"/>
    <w:rsid w:val="00B23169"/>
    <w:rsid w:val="00B24963"/>
    <w:rsid w:val="00B25EC3"/>
    <w:rsid w:val="00B31420"/>
    <w:rsid w:val="00B343BA"/>
    <w:rsid w:val="00B34AA2"/>
    <w:rsid w:val="00B34DB9"/>
    <w:rsid w:val="00B35E69"/>
    <w:rsid w:val="00B447CA"/>
    <w:rsid w:val="00B44EFC"/>
    <w:rsid w:val="00B50FEA"/>
    <w:rsid w:val="00B524C0"/>
    <w:rsid w:val="00B53E2F"/>
    <w:rsid w:val="00B554E9"/>
    <w:rsid w:val="00B5637C"/>
    <w:rsid w:val="00B61B52"/>
    <w:rsid w:val="00B64790"/>
    <w:rsid w:val="00B65D09"/>
    <w:rsid w:val="00B67207"/>
    <w:rsid w:val="00B71942"/>
    <w:rsid w:val="00B83D6C"/>
    <w:rsid w:val="00B83EF3"/>
    <w:rsid w:val="00B8432F"/>
    <w:rsid w:val="00B906E9"/>
    <w:rsid w:val="00B92945"/>
    <w:rsid w:val="00B92BFA"/>
    <w:rsid w:val="00B93EAF"/>
    <w:rsid w:val="00B94222"/>
    <w:rsid w:val="00B95538"/>
    <w:rsid w:val="00BA0EF2"/>
    <w:rsid w:val="00BA3F91"/>
    <w:rsid w:val="00BA6852"/>
    <w:rsid w:val="00BB1379"/>
    <w:rsid w:val="00BB22DA"/>
    <w:rsid w:val="00BB2EA4"/>
    <w:rsid w:val="00BB39D6"/>
    <w:rsid w:val="00BB43BB"/>
    <w:rsid w:val="00BB747F"/>
    <w:rsid w:val="00BB7576"/>
    <w:rsid w:val="00BC5A32"/>
    <w:rsid w:val="00BC5D01"/>
    <w:rsid w:val="00BC6425"/>
    <w:rsid w:val="00BD3FD3"/>
    <w:rsid w:val="00BD55E0"/>
    <w:rsid w:val="00BE0E63"/>
    <w:rsid w:val="00BE4047"/>
    <w:rsid w:val="00BF4616"/>
    <w:rsid w:val="00BF61DE"/>
    <w:rsid w:val="00C070F8"/>
    <w:rsid w:val="00C16865"/>
    <w:rsid w:val="00C201E3"/>
    <w:rsid w:val="00C202DA"/>
    <w:rsid w:val="00C20E85"/>
    <w:rsid w:val="00C24B0B"/>
    <w:rsid w:val="00C27544"/>
    <w:rsid w:val="00C30526"/>
    <w:rsid w:val="00C338C6"/>
    <w:rsid w:val="00C367AB"/>
    <w:rsid w:val="00C37472"/>
    <w:rsid w:val="00C378B6"/>
    <w:rsid w:val="00C37E21"/>
    <w:rsid w:val="00C40FBC"/>
    <w:rsid w:val="00C415F0"/>
    <w:rsid w:val="00C43E09"/>
    <w:rsid w:val="00C4513B"/>
    <w:rsid w:val="00C45284"/>
    <w:rsid w:val="00C5006E"/>
    <w:rsid w:val="00C506A7"/>
    <w:rsid w:val="00C50D5D"/>
    <w:rsid w:val="00C57163"/>
    <w:rsid w:val="00C600BC"/>
    <w:rsid w:val="00C60376"/>
    <w:rsid w:val="00C60568"/>
    <w:rsid w:val="00C664DB"/>
    <w:rsid w:val="00C66C21"/>
    <w:rsid w:val="00C677E7"/>
    <w:rsid w:val="00C71587"/>
    <w:rsid w:val="00C7181C"/>
    <w:rsid w:val="00C71B0F"/>
    <w:rsid w:val="00C728A0"/>
    <w:rsid w:val="00C75C9E"/>
    <w:rsid w:val="00C7656D"/>
    <w:rsid w:val="00C769D2"/>
    <w:rsid w:val="00C81521"/>
    <w:rsid w:val="00C912C4"/>
    <w:rsid w:val="00C94EDA"/>
    <w:rsid w:val="00C95A4C"/>
    <w:rsid w:val="00C97E2B"/>
    <w:rsid w:val="00CA07CC"/>
    <w:rsid w:val="00CA5A43"/>
    <w:rsid w:val="00CB3739"/>
    <w:rsid w:val="00CB7DE1"/>
    <w:rsid w:val="00CC37B4"/>
    <w:rsid w:val="00CD1127"/>
    <w:rsid w:val="00CD39A8"/>
    <w:rsid w:val="00CE0E12"/>
    <w:rsid w:val="00CE11F3"/>
    <w:rsid w:val="00CE1DDF"/>
    <w:rsid w:val="00CE3151"/>
    <w:rsid w:val="00CE6411"/>
    <w:rsid w:val="00CF2CD6"/>
    <w:rsid w:val="00D00183"/>
    <w:rsid w:val="00D02968"/>
    <w:rsid w:val="00D0401D"/>
    <w:rsid w:val="00D04CE4"/>
    <w:rsid w:val="00D063BD"/>
    <w:rsid w:val="00D06EFF"/>
    <w:rsid w:val="00D07C42"/>
    <w:rsid w:val="00D07DF1"/>
    <w:rsid w:val="00D12B43"/>
    <w:rsid w:val="00D23ED2"/>
    <w:rsid w:val="00D260F9"/>
    <w:rsid w:val="00D414D6"/>
    <w:rsid w:val="00D435C4"/>
    <w:rsid w:val="00D45C33"/>
    <w:rsid w:val="00D45FA4"/>
    <w:rsid w:val="00D63C90"/>
    <w:rsid w:val="00D641D3"/>
    <w:rsid w:val="00D65761"/>
    <w:rsid w:val="00D65900"/>
    <w:rsid w:val="00D66C82"/>
    <w:rsid w:val="00D72204"/>
    <w:rsid w:val="00D76818"/>
    <w:rsid w:val="00D77ED9"/>
    <w:rsid w:val="00D85A2F"/>
    <w:rsid w:val="00D86160"/>
    <w:rsid w:val="00D873BE"/>
    <w:rsid w:val="00D87562"/>
    <w:rsid w:val="00D90BED"/>
    <w:rsid w:val="00D91726"/>
    <w:rsid w:val="00D95D83"/>
    <w:rsid w:val="00DA0C93"/>
    <w:rsid w:val="00DA25DA"/>
    <w:rsid w:val="00DA49ED"/>
    <w:rsid w:val="00DB0870"/>
    <w:rsid w:val="00DB089F"/>
    <w:rsid w:val="00DB1C9A"/>
    <w:rsid w:val="00DB6076"/>
    <w:rsid w:val="00DC01C7"/>
    <w:rsid w:val="00DC01D7"/>
    <w:rsid w:val="00DC12E2"/>
    <w:rsid w:val="00DC25AC"/>
    <w:rsid w:val="00DC2A2C"/>
    <w:rsid w:val="00DC35C0"/>
    <w:rsid w:val="00DC7A46"/>
    <w:rsid w:val="00DD3761"/>
    <w:rsid w:val="00DE23E6"/>
    <w:rsid w:val="00DE3247"/>
    <w:rsid w:val="00DE57B1"/>
    <w:rsid w:val="00DF6670"/>
    <w:rsid w:val="00E00835"/>
    <w:rsid w:val="00E0269B"/>
    <w:rsid w:val="00E02C67"/>
    <w:rsid w:val="00E03F3E"/>
    <w:rsid w:val="00E05C1C"/>
    <w:rsid w:val="00E063ED"/>
    <w:rsid w:val="00E200CD"/>
    <w:rsid w:val="00E2676C"/>
    <w:rsid w:val="00E34909"/>
    <w:rsid w:val="00E46D03"/>
    <w:rsid w:val="00E5274C"/>
    <w:rsid w:val="00E5445F"/>
    <w:rsid w:val="00E559A5"/>
    <w:rsid w:val="00E616C4"/>
    <w:rsid w:val="00E6333B"/>
    <w:rsid w:val="00E75137"/>
    <w:rsid w:val="00E772E2"/>
    <w:rsid w:val="00E801CA"/>
    <w:rsid w:val="00E81D86"/>
    <w:rsid w:val="00E82820"/>
    <w:rsid w:val="00E84D16"/>
    <w:rsid w:val="00E854AD"/>
    <w:rsid w:val="00E86BB3"/>
    <w:rsid w:val="00E9169F"/>
    <w:rsid w:val="00E93705"/>
    <w:rsid w:val="00E963DB"/>
    <w:rsid w:val="00E96609"/>
    <w:rsid w:val="00EA28C2"/>
    <w:rsid w:val="00EA426F"/>
    <w:rsid w:val="00EA45A8"/>
    <w:rsid w:val="00EA5162"/>
    <w:rsid w:val="00EB3AAA"/>
    <w:rsid w:val="00EB53F5"/>
    <w:rsid w:val="00EB630A"/>
    <w:rsid w:val="00EC0147"/>
    <w:rsid w:val="00EC2A2C"/>
    <w:rsid w:val="00EC46E7"/>
    <w:rsid w:val="00EC7B44"/>
    <w:rsid w:val="00ED39AE"/>
    <w:rsid w:val="00ED442A"/>
    <w:rsid w:val="00EE0F0F"/>
    <w:rsid w:val="00EE4C46"/>
    <w:rsid w:val="00EE5BEF"/>
    <w:rsid w:val="00EE6BAA"/>
    <w:rsid w:val="00EF1D02"/>
    <w:rsid w:val="00EF2D09"/>
    <w:rsid w:val="00EF47B4"/>
    <w:rsid w:val="00EF7E27"/>
    <w:rsid w:val="00F00407"/>
    <w:rsid w:val="00F03BF2"/>
    <w:rsid w:val="00F06398"/>
    <w:rsid w:val="00F130D7"/>
    <w:rsid w:val="00F14821"/>
    <w:rsid w:val="00F15F4C"/>
    <w:rsid w:val="00F21CA2"/>
    <w:rsid w:val="00F222AA"/>
    <w:rsid w:val="00F25061"/>
    <w:rsid w:val="00F2558C"/>
    <w:rsid w:val="00F26219"/>
    <w:rsid w:val="00F2762B"/>
    <w:rsid w:val="00F30E78"/>
    <w:rsid w:val="00F3315B"/>
    <w:rsid w:val="00F345BC"/>
    <w:rsid w:val="00F37A2E"/>
    <w:rsid w:val="00F514E9"/>
    <w:rsid w:val="00F527F4"/>
    <w:rsid w:val="00F55566"/>
    <w:rsid w:val="00F56DE8"/>
    <w:rsid w:val="00F617EC"/>
    <w:rsid w:val="00F63DAB"/>
    <w:rsid w:val="00F649C8"/>
    <w:rsid w:val="00F65830"/>
    <w:rsid w:val="00F74B71"/>
    <w:rsid w:val="00F75496"/>
    <w:rsid w:val="00F75901"/>
    <w:rsid w:val="00F77790"/>
    <w:rsid w:val="00F77E61"/>
    <w:rsid w:val="00F804C4"/>
    <w:rsid w:val="00F816D0"/>
    <w:rsid w:val="00F93ADE"/>
    <w:rsid w:val="00F93EC0"/>
    <w:rsid w:val="00F93F35"/>
    <w:rsid w:val="00F978D7"/>
    <w:rsid w:val="00FA0370"/>
    <w:rsid w:val="00FA35F2"/>
    <w:rsid w:val="00FA368D"/>
    <w:rsid w:val="00FA6B8E"/>
    <w:rsid w:val="00FA7481"/>
    <w:rsid w:val="00FB1BA5"/>
    <w:rsid w:val="00FB5A39"/>
    <w:rsid w:val="00FB5AF3"/>
    <w:rsid w:val="00FB5F79"/>
    <w:rsid w:val="00FB67A5"/>
    <w:rsid w:val="00FC0C14"/>
    <w:rsid w:val="00FC154A"/>
    <w:rsid w:val="00FC2E56"/>
    <w:rsid w:val="00FC7C79"/>
    <w:rsid w:val="00FD275F"/>
    <w:rsid w:val="00FD41B3"/>
    <w:rsid w:val="00FD4A1B"/>
    <w:rsid w:val="00FD4C7E"/>
    <w:rsid w:val="00FD541D"/>
    <w:rsid w:val="00FE0242"/>
    <w:rsid w:val="00FE04EB"/>
    <w:rsid w:val="00FE1859"/>
    <w:rsid w:val="00FE2DC0"/>
    <w:rsid w:val="00FE2E65"/>
    <w:rsid w:val="00FE480C"/>
    <w:rsid w:val="00FE61AE"/>
    <w:rsid w:val="00FE7464"/>
    <w:rsid w:val="00FF2E02"/>
    <w:rsid w:val="00FF626B"/>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57D8AB8-FF49-4CE8-A032-35E309F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FA"/>
    <w:pPr>
      <w:widowControl w:val="0"/>
      <w:spacing w:after="0" w:line="240" w:lineRule="auto"/>
    </w:pPr>
    <w:rPr>
      <w:rFonts w:ascii="Times New Roman" w:hAnsi="Times New Roman" w:cs="Times New Roman"/>
      <w:snapToGrid w:val="0"/>
      <w:kern w:val="28"/>
      <w:szCs w:val="20"/>
    </w:rPr>
  </w:style>
  <w:style w:type="paragraph" w:styleId="Heading1">
    <w:name w:val="heading 1"/>
    <w:basedOn w:val="Normal"/>
    <w:next w:val="ParaNum"/>
    <w:link w:val="Heading1Char"/>
    <w:qFormat/>
    <w:rsid w:val="00B92BFA"/>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92BFA"/>
    <w:pPr>
      <w:keepNext/>
      <w:numPr>
        <w:ilvl w:val="1"/>
        <w:numId w:val="6"/>
      </w:numPr>
      <w:spacing w:after="120"/>
      <w:outlineLvl w:val="1"/>
    </w:pPr>
    <w:rPr>
      <w:b/>
    </w:rPr>
  </w:style>
  <w:style w:type="paragraph" w:styleId="Heading3">
    <w:name w:val="heading 3"/>
    <w:basedOn w:val="Normal"/>
    <w:next w:val="ParaNum"/>
    <w:link w:val="Heading3Char"/>
    <w:qFormat/>
    <w:rsid w:val="00B92BFA"/>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92BFA"/>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92BFA"/>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92BFA"/>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92BFA"/>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92BF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92BF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2B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BFA"/>
  </w:style>
  <w:style w:type="character" w:customStyle="1" w:styleId="Heading1Char">
    <w:name w:val="Heading 1 Char"/>
    <w:basedOn w:val="DefaultParagraphFont"/>
    <w:link w:val="Heading1"/>
    <w:locked/>
    <w:rsid w:val="00AF05F1"/>
    <w:rPr>
      <w:rFonts w:ascii="Times New Roman Bold" w:hAnsi="Times New Roman Bold" w:cs="Times New Roman"/>
      <w:b/>
      <w:caps/>
      <w:snapToGrid w:val="0"/>
      <w:kern w:val="28"/>
      <w:szCs w:val="20"/>
    </w:rPr>
  </w:style>
  <w:style w:type="character" w:customStyle="1" w:styleId="Heading2Char">
    <w:name w:val="Heading 2 Char"/>
    <w:basedOn w:val="DefaultParagraphFont"/>
    <w:link w:val="Heading2"/>
    <w:locked/>
    <w:rsid w:val="00AF05F1"/>
    <w:rPr>
      <w:rFonts w:ascii="Times New Roman" w:hAnsi="Times New Roman" w:cs="Times New Roman"/>
      <w:b/>
      <w:snapToGrid w:val="0"/>
      <w:kern w:val="28"/>
      <w:szCs w:val="20"/>
    </w:rPr>
  </w:style>
  <w:style w:type="character" w:customStyle="1" w:styleId="Heading3Char">
    <w:name w:val="Heading 3 Char"/>
    <w:basedOn w:val="DefaultParagraphFont"/>
    <w:link w:val="Heading3"/>
    <w:locked/>
    <w:rsid w:val="00AF05F1"/>
    <w:rPr>
      <w:rFonts w:ascii="Times New Roman" w:hAnsi="Times New Roman" w:cs="Times New Roman"/>
      <w:b/>
      <w:snapToGrid w:val="0"/>
      <w:kern w:val="28"/>
      <w:szCs w:val="20"/>
    </w:rPr>
  </w:style>
  <w:style w:type="character" w:customStyle="1" w:styleId="Heading4Char">
    <w:name w:val="Heading 4 Char"/>
    <w:basedOn w:val="DefaultParagraphFont"/>
    <w:link w:val="Heading4"/>
    <w:locked/>
    <w:rsid w:val="00AF05F1"/>
    <w:rPr>
      <w:rFonts w:ascii="Times New Roman" w:hAnsi="Times New Roman" w:cs="Times New Roman"/>
      <w:b/>
      <w:snapToGrid w:val="0"/>
      <w:kern w:val="28"/>
      <w:szCs w:val="20"/>
    </w:rPr>
  </w:style>
  <w:style w:type="character" w:customStyle="1" w:styleId="Heading5Char">
    <w:name w:val="Heading 5 Char"/>
    <w:basedOn w:val="DefaultParagraphFont"/>
    <w:link w:val="Heading5"/>
    <w:locked/>
    <w:rsid w:val="00AF05F1"/>
    <w:rPr>
      <w:rFonts w:ascii="Times New Roman" w:hAnsi="Times New Roman" w:cs="Times New Roman"/>
      <w:b/>
      <w:snapToGrid w:val="0"/>
      <w:kern w:val="28"/>
      <w:szCs w:val="20"/>
    </w:rPr>
  </w:style>
  <w:style w:type="character" w:customStyle="1" w:styleId="Heading6Char">
    <w:name w:val="Heading 6 Char"/>
    <w:basedOn w:val="DefaultParagraphFont"/>
    <w:link w:val="Heading6"/>
    <w:locked/>
    <w:rsid w:val="00AF05F1"/>
    <w:rPr>
      <w:rFonts w:ascii="Times New Roman" w:hAnsi="Times New Roman" w:cs="Times New Roman"/>
      <w:b/>
      <w:snapToGrid w:val="0"/>
      <w:kern w:val="28"/>
      <w:szCs w:val="20"/>
    </w:rPr>
  </w:style>
  <w:style w:type="character" w:customStyle="1" w:styleId="Heading7Char">
    <w:name w:val="Heading 7 Char"/>
    <w:basedOn w:val="DefaultParagraphFont"/>
    <w:link w:val="Heading7"/>
    <w:locked/>
    <w:rsid w:val="00AF05F1"/>
    <w:rPr>
      <w:rFonts w:ascii="Times New Roman" w:hAnsi="Times New Roman" w:cs="Times New Roman"/>
      <w:b/>
      <w:snapToGrid w:val="0"/>
      <w:kern w:val="28"/>
      <w:szCs w:val="20"/>
    </w:rPr>
  </w:style>
  <w:style w:type="character" w:customStyle="1" w:styleId="Heading8Char">
    <w:name w:val="Heading 8 Char"/>
    <w:basedOn w:val="DefaultParagraphFont"/>
    <w:link w:val="Heading8"/>
    <w:locked/>
    <w:rsid w:val="00AF05F1"/>
    <w:rPr>
      <w:rFonts w:ascii="Times New Roman" w:hAnsi="Times New Roman" w:cs="Times New Roman"/>
      <w:b/>
      <w:snapToGrid w:val="0"/>
      <w:kern w:val="28"/>
      <w:szCs w:val="20"/>
    </w:rPr>
  </w:style>
  <w:style w:type="character" w:customStyle="1" w:styleId="Heading9Char">
    <w:name w:val="Heading 9 Char"/>
    <w:basedOn w:val="DefaultParagraphFont"/>
    <w:link w:val="Heading9"/>
    <w:locked/>
    <w:rsid w:val="00AF05F1"/>
    <w:rPr>
      <w:rFonts w:ascii="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AF0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05F1"/>
    <w:rPr>
      <w:rFonts w:ascii="Segoe UI" w:hAnsi="Segoe UI" w:cs="Segoe UI"/>
      <w:sz w:val="18"/>
      <w:szCs w:val="18"/>
    </w:rPr>
  </w:style>
  <w:style w:type="paragraph" w:styleId="ListParagraph">
    <w:name w:val="List Paragraph"/>
    <w:basedOn w:val="Normal"/>
    <w:uiPriority w:val="34"/>
    <w:qFormat/>
    <w:rsid w:val="00AF05F1"/>
    <w:pPr>
      <w:ind w:left="720"/>
      <w:contextualSpacing/>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92BFA"/>
    <w:rPr>
      <w:rFonts w:ascii="Times New Roman" w:hAnsi="Times New Roman"/>
      <w:dstrike w:val="0"/>
      <w:color w:val="auto"/>
      <w:sz w:val="20"/>
      <w:vertAlign w:val="superscript"/>
    </w:rPr>
  </w:style>
  <w:style w:type="paragraph" w:styleId="FootnoteText">
    <w:name w:val="footnote text"/>
    <w:aliases w:val="ALTS FOOTNOTE Cha,Footnote Text Char Char Char,Footnote Text Char Char Char Char Char,Footnote Text Char1,Footnote Text Char1 Char,Footnote Text Char1 Char Char Char,Footnote Text Char1 Char Char Char Char Char,f,rrfootnote Char Char Char"/>
    <w:link w:val="FootnoteTextChar"/>
    <w:rsid w:val="00B92BFA"/>
    <w:pPr>
      <w:spacing w:after="120" w:line="240" w:lineRule="auto"/>
    </w:pPr>
    <w:rPr>
      <w:rFonts w:ascii="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locked/>
    <w:rsid w:val="00AF05F1"/>
    <w:rPr>
      <w:rFonts w:ascii="Times New Roman" w:hAnsi="Times New Roman" w:cs="Times New Roman"/>
      <w:sz w:val="20"/>
      <w:szCs w:val="20"/>
    </w:rPr>
  </w:style>
  <w:style w:type="character" w:styleId="Hyperlink">
    <w:name w:val="Hyperlink"/>
    <w:rsid w:val="00B92BFA"/>
    <w:rPr>
      <w:color w:val="0000FF"/>
      <w:u w:val="single"/>
    </w:rPr>
  </w:style>
  <w:style w:type="character" w:customStyle="1" w:styleId="markgui5yvd3s">
    <w:name w:val="markgui5yvd3s"/>
    <w:basedOn w:val="DefaultParagraphFont"/>
    <w:rsid w:val="00AF05F1"/>
    <w:rPr>
      <w:rFonts w:cs="Times New Roman"/>
    </w:rPr>
  </w:style>
  <w:style w:type="paragraph" w:customStyle="1" w:styleId="ParaNum">
    <w:name w:val="ParaNum"/>
    <w:basedOn w:val="Normal"/>
    <w:link w:val="ParaNumChar"/>
    <w:rsid w:val="00B92BFA"/>
    <w:pPr>
      <w:numPr>
        <w:numId w:val="4"/>
      </w:numPr>
      <w:tabs>
        <w:tab w:val="clear" w:pos="1080"/>
        <w:tab w:val="num" w:pos="1440"/>
      </w:tabs>
      <w:spacing w:after="120"/>
    </w:pPr>
  </w:style>
  <w:style w:type="character" w:customStyle="1" w:styleId="ParaNumChar">
    <w:name w:val="ParaNum Char"/>
    <w:link w:val="ParaNum"/>
    <w:locked/>
    <w:rsid w:val="00AF05F1"/>
    <w:rPr>
      <w:rFonts w:ascii="Times New Roman" w:hAnsi="Times New Roman" w:cs="Times New Roman"/>
      <w:snapToGrid w:val="0"/>
      <w:kern w:val="28"/>
      <w:szCs w:val="20"/>
    </w:rPr>
  </w:style>
  <w:style w:type="paragraph" w:styleId="Header">
    <w:name w:val="header"/>
    <w:basedOn w:val="Normal"/>
    <w:link w:val="HeaderChar"/>
    <w:autoRedefine/>
    <w:rsid w:val="00B92BFA"/>
    <w:pPr>
      <w:tabs>
        <w:tab w:val="center" w:pos="4680"/>
        <w:tab w:val="right" w:pos="9360"/>
      </w:tabs>
    </w:pPr>
    <w:rPr>
      <w:b/>
    </w:rPr>
  </w:style>
  <w:style w:type="character" w:customStyle="1" w:styleId="HeaderChar">
    <w:name w:val="Header Char"/>
    <w:basedOn w:val="DefaultParagraphFont"/>
    <w:link w:val="Header"/>
    <w:locked/>
    <w:rsid w:val="00AF05F1"/>
    <w:rPr>
      <w:rFonts w:ascii="Times New Roman" w:hAnsi="Times New Roman" w:cs="Times New Roman"/>
      <w:b/>
      <w:snapToGrid w:val="0"/>
      <w:kern w:val="28"/>
      <w:szCs w:val="20"/>
    </w:rPr>
  </w:style>
  <w:style w:type="paragraph" w:styleId="Footer">
    <w:name w:val="footer"/>
    <w:basedOn w:val="Normal"/>
    <w:link w:val="FooterChar"/>
    <w:uiPriority w:val="99"/>
    <w:rsid w:val="00B92BFA"/>
    <w:pPr>
      <w:tabs>
        <w:tab w:val="center" w:pos="4320"/>
        <w:tab w:val="right" w:pos="8640"/>
      </w:tabs>
    </w:pPr>
  </w:style>
  <w:style w:type="character" w:customStyle="1" w:styleId="FooterChar">
    <w:name w:val="Footer Char"/>
    <w:link w:val="Footer"/>
    <w:uiPriority w:val="99"/>
    <w:locked/>
    <w:rsid w:val="00B92BFA"/>
    <w:rPr>
      <w:rFonts w:ascii="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0E6B"/>
    <w:rPr>
      <w:rFonts w:cs="Times New Roman"/>
      <w:sz w:val="16"/>
      <w:szCs w:val="16"/>
    </w:rPr>
  </w:style>
  <w:style w:type="paragraph" w:styleId="CommentText">
    <w:name w:val="annotation text"/>
    <w:basedOn w:val="Normal"/>
    <w:link w:val="CommentTextChar"/>
    <w:uiPriority w:val="99"/>
    <w:unhideWhenUsed/>
    <w:rsid w:val="00190E6B"/>
    <w:rPr>
      <w:sz w:val="20"/>
    </w:rPr>
  </w:style>
  <w:style w:type="character" w:customStyle="1" w:styleId="CommentTextChar">
    <w:name w:val="Comment Text Char"/>
    <w:basedOn w:val="DefaultParagraphFont"/>
    <w:link w:val="CommentText"/>
    <w:uiPriority w:val="99"/>
    <w:locked/>
    <w:rsid w:val="00190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190E6B"/>
    <w:rPr>
      <w:b/>
      <w:bCs/>
    </w:rPr>
  </w:style>
  <w:style w:type="character" w:customStyle="1" w:styleId="CommentSubjectChar">
    <w:name w:val="Comment Subject Char"/>
    <w:basedOn w:val="CommentTextChar"/>
    <w:link w:val="CommentSubject"/>
    <w:uiPriority w:val="99"/>
    <w:semiHidden/>
    <w:locked/>
    <w:rsid w:val="00190E6B"/>
    <w:rPr>
      <w:rFonts w:cs="Times New Roman"/>
      <w:b/>
      <w:bCs/>
      <w:sz w:val="20"/>
      <w:szCs w:val="20"/>
    </w:rPr>
  </w:style>
  <w:style w:type="character" w:customStyle="1" w:styleId="UnresolvedMention">
    <w:name w:val="Unresolved Mention"/>
    <w:basedOn w:val="DefaultParagraphFont"/>
    <w:uiPriority w:val="99"/>
    <w:semiHidden/>
    <w:unhideWhenUsed/>
    <w:rsid w:val="002E346D"/>
    <w:rPr>
      <w:rFonts w:cs="Times New Roman"/>
      <w:color w:val="605E5C"/>
      <w:shd w:val="clear" w:color="auto" w:fill="E1DFDD"/>
    </w:rPr>
  </w:style>
  <w:style w:type="paragraph" w:styleId="EndnoteText">
    <w:name w:val="endnote text"/>
    <w:basedOn w:val="Normal"/>
    <w:link w:val="EndnoteTextChar"/>
    <w:semiHidden/>
    <w:rsid w:val="00B92BFA"/>
    <w:rPr>
      <w:sz w:val="20"/>
    </w:rPr>
  </w:style>
  <w:style w:type="character" w:customStyle="1" w:styleId="EndnoteTextChar">
    <w:name w:val="Endnote Text Char"/>
    <w:basedOn w:val="DefaultParagraphFont"/>
    <w:link w:val="EndnoteText"/>
    <w:semiHidden/>
    <w:locked/>
    <w:rsid w:val="000B6041"/>
    <w:rPr>
      <w:rFonts w:ascii="Times New Roman" w:hAnsi="Times New Roman" w:cs="Times New Roman"/>
      <w:snapToGrid w:val="0"/>
      <w:kern w:val="28"/>
      <w:sz w:val="20"/>
      <w:szCs w:val="20"/>
    </w:rPr>
  </w:style>
  <w:style w:type="character" w:styleId="EndnoteReference">
    <w:name w:val="endnote reference"/>
    <w:semiHidden/>
    <w:rsid w:val="00B92BFA"/>
    <w:rPr>
      <w:vertAlign w:val="superscript"/>
    </w:rPr>
  </w:style>
  <w:style w:type="character" w:styleId="FollowedHyperlink">
    <w:name w:val="FollowedHyperlink"/>
    <w:basedOn w:val="DefaultParagraphFont"/>
    <w:uiPriority w:val="99"/>
    <w:semiHidden/>
    <w:unhideWhenUsed/>
    <w:rsid w:val="00945151"/>
    <w:rPr>
      <w:rFonts w:cs="Times New Roman"/>
      <w:color w:val="954F72" w:themeColor="followedHyperlink"/>
      <w:u w:val="single"/>
    </w:rPr>
  </w:style>
  <w:style w:type="paragraph" w:styleId="Revision">
    <w:name w:val="Revision"/>
    <w:hidden/>
    <w:uiPriority w:val="99"/>
    <w:semiHidden/>
    <w:rsid w:val="00404C59"/>
    <w:pPr>
      <w:spacing w:after="0" w:line="240" w:lineRule="auto"/>
    </w:pPr>
    <w:rPr>
      <w:rFonts w:cs="Times New Roman"/>
    </w:rPr>
  </w:style>
  <w:style w:type="paragraph" w:styleId="TOC1">
    <w:name w:val="toc 1"/>
    <w:basedOn w:val="Normal"/>
    <w:next w:val="Normal"/>
    <w:semiHidden/>
    <w:rsid w:val="00B92B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2BFA"/>
    <w:pPr>
      <w:tabs>
        <w:tab w:val="left" w:pos="720"/>
        <w:tab w:val="right" w:leader="dot" w:pos="9360"/>
      </w:tabs>
      <w:suppressAutoHyphens/>
      <w:ind w:left="720" w:right="720" w:hanging="360"/>
    </w:pPr>
    <w:rPr>
      <w:noProof/>
    </w:rPr>
  </w:style>
  <w:style w:type="paragraph" w:styleId="TOC3">
    <w:name w:val="toc 3"/>
    <w:basedOn w:val="Normal"/>
    <w:next w:val="Normal"/>
    <w:semiHidden/>
    <w:rsid w:val="00B92B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2B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2B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2B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2B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2B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2B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2BFA"/>
    <w:pPr>
      <w:tabs>
        <w:tab w:val="right" w:pos="9360"/>
      </w:tabs>
      <w:suppressAutoHyphens/>
    </w:pPr>
  </w:style>
  <w:style w:type="character" w:customStyle="1" w:styleId="EquationCaption">
    <w:name w:val="_Equation Caption"/>
    <w:rsid w:val="00B92BFA"/>
  </w:style>
  <w:style w:type="character" w:styleId="PageNumber">
    <w:name w:val="page number"/>
    <w:basedOn w:val="DefaultParagraphFont"/>
    <w:rsid w:val="00B92BFA"/>
  </w:style>
  <w:style w:type="paragraph" w:styleId="BlockText">
    <w:name w:val="Block Text"/>
    <w:basedOn w:val="Normal"/>
    <w:rsid w:val="00B92BFA"/>
    <w:pPr>
      <w:spacing w:after="240"/>
      <w:ind w:left="1440" w:right="1440"/>
    </w:pPr>
  </w:style>
  <w:style w:type="paragraph" w:customStyle="1" w:styleId="Paratitle">
    <w:name w:val="Para title"/>
    <w:basedOn w:val="Normal"/>
    <w:rsid w:val="00B92BFA"/>
    <w:pPr>
      <w:tabs>
        <w:tab w:val="center" w:pos="9270"/>
      </w:tabs>
      <w:spacing w:after="240"/>
    </w:pPr>
    <w:rPr>
      <w:spacing w:val="-2"/>
    </w:rPr>
  </w:style>
  <w:style w:type="paragraph" w:customStyle="1" w:styleId="Bullet">
    <w:name w:val="Bullet"/>
    <w:basedOn w:val="Normal"/>
    <w:rsid w:val="00B92BFA"/>
    <w:pPr>
      <w:tabs>
        <w:tab w:val="left" w:pos="2160"/>
      </w:tabs>
      <w:spacing w:after="220"/>
      <w:ind w:left="2160" w:hanging="720"/>
    </w:pPr>
  </w:style>
  <w:style w:type="paragraph" w:customStyle="1" w:styleId="TableFormat">
    <w:name w:val="TableFormat"/>
    <w:basedOn w:val="Bullet"/>
    <w:rsid w:val="00B92BFA"/>
    <w:pPr>
      <w:tabs>
        <w:tab w:val="clear" w:pos="2160"/>
        <w:tab w:val="left" w:pos="5040"/>
      </w:tabs>
      <w:ind w:left="5040" w:hanging="3600"/>
    </w:pPr>
  </w:style>
  <w:style w:type="paragraph" w:customStyle="1" w:styleId="TOCTitle">
    <w:name w:val="TOC Title"/>
    <w:basedOn w:val="Normal"/>
    <w:rsid w:val="00B92B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2BFA"/>
    <w:pPr>
      <w:jc w:val="center"/>
    </w:pPr>
    <w:rPr>
      <w:rFonts w:ascii="Times New Roman Bold" w:hAnsi="Times New Roman Bold"/>
      <w:b/>
      <w:bCs/>
      <w:caps/>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uiPriority w:val="99"/>
    <w:locked/>
    <w:rsid w:val="008A369A"/>
    <w:rPr>
      <w:sz w:val="20"/>
    </w:rPr>
  </w:style>
  <w:style w:type="paragraph" w:customStyle="1" w:styleId="Default">
    <w:name w:val="Default"/>
    <w:basedOn w:val="Normal"/>
    <w:rsid w:val="00441582"/>
    <w:pPr>
      <w:widowControl/>
      <w:autoSpaceDE w:val="0"/>
      <w:autoSpaceDN w:val="0"/>
    </w:pPr>
    <w:rPr>
      <w:rFonts w:eastAsiaTheme="minorHAns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ES@fcc.gov" TargetMode="External" /><Relationship Id="rId11" Type="http://schemas.openxmlformats.org/officeDocument/2006/relationships/hyperlink" Target="mailto:Jeffrey.Gee@fcc.gov" TargetMode="External" /><Relationship Id="rId12" Type="http://schemas.openxmlformats.org/officeDocument/2006/relationships/hyperlink" Target="mailto:Victoria.Randazzo@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or.O&#8217;Donovan%20@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s://www.ci.sandy.or.us/residential-services" TargetMode="External" /><Relationship Id="rId3" Type="http://schemas.openxmlformats.org/officeDocument/2006/relationships/hyperlink" Target="https://wireless2.fcc.gov/UlsApp/UlsSearch/license.jsp?licKey=3414181" TargetMode="External" /><Relationship Id="rId4" Type="http://schemas.openxmlformats.org/officeDocument/2006/relationships/hyperlink" Target="https://wireless2.fcc.gov/UlsApp/UlsSearch/license.jsp?licKey=3414182" TargetMode="External" /><Relationship Id="rId5" Type="http://schemas.openxmlformats.org/officeDocument/2006/relationships/hyperlink" Target="https://wireless2.fcc.gov/UlsApp/UlsSearch/license.jsp?licKey=3607622" TargetMode="External" /><Relationship Id="rId6" Type="http://schemas.openxmlformats.org/officeDocument/2006/relationships/hyperlink" Target="https://www.fcc.gov/wireless/systems-utilities/universal-licensing-system" TargetMode="External" /><Relationship Id="rId7" Type="http://schemas.openxmlformats.org/officeDocument/2006/relationships/hyperlink" Target="https://secure.sos.state.or.us/muni/public.do" TargetMode="External" /><Relationship Id="rId8" Type="http://schemas.openxmlformats.org/officeDocument/2006/relationships/hyperlink" Target="mailto:ARINQUIRIES@fcc.gov" TargetMode="External" /><Relationship Id="rId9"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