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322F9" w14:paraId="330177F8" w14:textId="77777777">
      <w:pPr>
        <w:jc w:val="right"/>
        <w:rPr>
          <w:sz w:val="24"/>
        </w:rPr>
      </w:pPr>
    </w:p>
    <w:p w:rsidR="004322F9" w14:paraId="4EAA7837" w14:textId="123F7761">
      <w:pPr>
        <w:jc w:val="right"/>
        <w:rPr>
          <w:b/>
          <w:sz w:val="24"/>
        </w:rPr>
      </w:pPr>
      <w:r>
        <w:rPr>
          <w:b/>
          <w:sz w:val="24"/>
        </w:rPr>
        <w:t>DA 21-</w:t>
      </w:r>
      <w:r w:rsidR="00EB35CA">
        <w:rPr>
          <w:b/>
          <w:sz w:val="24"/>
        </w:rPr>
        <w:t>1288</w:t>
      </w:r>
    </w:p>
    <w:p w:rsidR="004322F9" w14:paraId="7CD2C7DE" w14:textId="37C00C1B">
      <w:pPr>
        <w:spacing w:before="60"/>
        <w:jc w:val="right"/>
        <w:rPr>
          <w:b/>
          <w:sz w:val="24"/>
        </w:rPr>
      </w:pPr>
      <w:r>
        <w:rPr>
          <w:b/>
          <w:sz w:val="24"/>
        </w:rPr>
        <w:t xml:space="preserve">Released:  </w:t>
      </w:r>
      <w:r w:rsidR="00CC2394">
        <w:rPr>
          <w:b/>
          <w:sz w:val="24"/>
        </w:rPr>
        <w:t xml:space="preserve">October </w:t>
      </w:r>
      <w:r w:rsidR="00EB35CA">
        <w:rPr>
          <w:b/>
          <w:sz w:val="24"/>
        </w:rPr>
        <w:t>14</w:t>
      </w:r>
      <w:r w:rsidR="00704100">
        <w:rPr>
          <w:b/>
          <w:sz w:val="24"/>
        </w:rPr>
        <w:t>, 2021</w:t>
      </w:r>
    </w:p>
    <w:p w:rsidR="004322F9" w14:paraId="3D4A9373" w14:textId="77777777">
      <w:pPr>
        <w:jc w:val="right"/>
        <w:rPr>
          <w:sz w:val="24"/>
        </w:rPr>
      </w:pPr>
    </w:p>
    <w:p w:rsidR="004322F9" w14:paraId="710769BB" w14:textId="5755B7D9">
      <w:pPr>
        <w:spacing w:after="240"/>
        <w:jc w:val="center"/>
        <w:rPr>
          <w:rFonts w:ascii="Times New Roman Bold" w:hAnsi="Times New Roman Bold"/>
          <w:b/>
          <w:caps/>
          <w:sz w:val="24"/>
        </w:rPr>
      </w:pPr>
      <w:bookmarkStart w:id="0" w:name="_Hlk85098579"/>
      <w:r>
        <w:rPr>
          <w:rFonts w:ascii="Times New Roman Bold" w:hAnsi="Times New Roman Bold"/>
          <w:b/>
          <w:caps/>
          <w:sz w:val="24"/>
        </w:rPr>
        <w:t xml:space="preserve">Wireline competition bureau adopts protective order for robocall mitigation </w:t>
      </w:r>
      <w:r w:rsidR="002C5319">
        <w:rPr>
          <w:rFonts w:ascii="Times New Roman Bold" w:hAnsi="Times New Roman Bold"/>
          <w:b/>
          <w:caps/>
          <w:sz w:val="24"/>
        </w:rPr>
        <w:t>PROGRAM DESCRIPTIONS</w:t>
      </w:r>
      <w:bookmarkEnd w:id="0"/>
    </w:p>
    <w:p w:rsidR="004322F9" w:rsidRPr="00A02FF6" w14:paraId="1E47CEA2" w14:textId="2A0F46F4">
      <w:pPr>
        <w:jc w:val="center"/>
        <w:rPr>
          <w:b/>
          <w:sz w:val="24"/>
          <w:szCs w:val="24"/>
        </w:rPr>
      </w:pPr>
      <w:r w:rsidRPr="00A02FF6">
        <w:rPr>
          <w:b/>
          <w:sz w:val="24"/>
          <w:szCs w:val="24"/>
        </w:rPr>
        <w:t>WC Docket No. 17-97</w:t>
      </w:r>
    </w:p>
    <w:p w:rsidR="00704100" w:rsidP="00704100" w14:paraId="2721D9E8" w14:textId="7C3AE29A">
      <w:pPr>
        <w:rPr>
          <w:b/>
          <w:szCs w:val="22"/>
        </w:rPr>
      </w:pPr>
    </w:p>
    <w:p w:rsidR="00376C21" w:rsidP="00AC1467" w14:paraId="46B01374" w14:textId="491C4995">
      <w:pPr>
        <w:spacing w:after="120"/>
        <w:rPr>
          <w:bCs/>
          <w:szCs w:val="22"/>
        </w:rPr>
      </w:pPr>
      <w:r>
        <w:rPr>
          <w:bCs/>
          <w:szCs w:val="22"/>
        </w:rPr>
        <w:tab/>
      </w:r>
      <w:r>
        <w:rPr>
          <w:bCs/>
          <w:szCs w:val="22"/>
        </w:rPr>
        <w:t xml:space="preserve">The Wireline Competition Bureau </w:t>
      </w:r>
      <w:r w:rsidR="00343909">
        <w:rPr>
          <w:bCs/>
          <w:szCs w:val="22"/>
        </w:rPr>
        <w:t xml:space="preserve">(Bureau) </w:t>
      </w:r>
      <w:r>
        <w:rPr>
          <w:bCs/>
          <w:szCs w:val="22"/>
        </w:rPr>
        <w:t xml:space="preserve">hereby adopts the attached Protective Order, which will govern </w:t>
      </w:r>
      <w:r w:rsidR="00343909">
        <w:rPr>
          <w:bCs/>
          <w:szCs w:val="22"/>
        </w:rPr>
        <w:t xml:space="preserve">the submission of and access to confidential and highly confidential information included </w:t>
      </w:r>
      <w:r w:rsidR="006F7310">
        <w:rPr>
          <w:bCs/>
          <w:szCs w:val="22"/>
        </w:rPr>
        <w:t xml:space="preserve">in mitigation </w:t>
      </w:r>
      <w:r w:rsidR="00B679F7">
        <w:rPr>
          <w:bCs/>
          <w:szCs w:val="22"/>
        </w:rPr>
        <w:t>program descriptions</w:t>
      </w:r>
      <w:r w:rsidR="006F7310">
        <w:rPr>
          <w:bCs/>
          <w:szCs w:val="22"/>
        </w:rPr>
        <w:t xml:space="preserve"> submitted to the</w:t>
      </w:r>
      <w:r w:rsidR="00343909">
        <w:rPr>
          <w:bCs/>
          <w:szCs w:val="22"/>
        </w:rPr>
        <w:t xml:space="preserve"> Robocall Mitigation Database.</w:t>
      </w:r>
      <w:r w:rsidR="00CC2394">
        <w:rPr>
          <w:bCs/>
          <w:szCs w:val="22"/>
        </w:rPr>
        <w:t xml:space="preserve">  </w:t>
      </w:r>
      <w:r w:rsidR="007F40E4">
        <w:rPr>
          <w:bCs/>
          <w:szCs w:val="22"/>
        </w:rPr>
        <w:t>Implementation c</w:t>
      </w:r>
      <w:r w:rsidR="00CC2394">
        <w:rPr>
          <w:bCs/>
          <w:szCs w:val="22"/>
        </w:rPr>
        <w:t xml:space="preserve">ertifications, contact information, and other data submitted to the Robocall Mitigation Database are </w:t>
      </w:r>
      <w:r w:rsidR="00B26F0E">
        <w:rPr>
          <w:bCs/>
          <w:szCs w:val="22"/>
        </w:rPr>
        <w:t>public and cannot be marked as confidential.</w:t>
      </w:r>
    </w:p>
    <w:p w:rsidR="004F118B" w:rsidP="005A17F1" w14:paraId="674A1A9D" w14:textId="16B0F6C0">
      <w:pPr>
        <w:spacing w:after="120"/>
        <w:ind w:firstLine="720"/>
        <w:rPr>
          <w:bCs/>
          <w:szCs w:val="22"/>
        </w:rPr>
      </w:pPr>
      <w:r>
        <w:rPr>
          <w:bCs/>
          <w:szCs w:val="22"/>
        </w:rPr>
        <w:t>The Commission’s rules require</w:t>
      </w:r>
      <w:r w:rsidRPr="00EC6281">
        <w:rPr>
          <w:bCs/>
          <w:szCs w:val="22"/>
        </w:rPr>
        <w:t xml:space="preserve"> voice service providers to certify </w:t>
      </w:r>
      <w:r w:rsidR="001E61B6">
        <w:rPr>
          <w:bCs/>
          <w:szCs w:val="22"/>
        </w:rPr>
        <w:t xml:space="preserve">in the Robocall Mitigation Database </w:t>
      </w:r>
      <w:r w:rsidRPr="00EC6281">
        <w:rPr>
          <w:bCs/>
          <w:szCs w:val="22"/>
        </w:rPr>
        <w:t>that their traffic is either signed with STIR/SHAKEN caller ID authentication technology or subject to a robocall mitigation program.</w:t>
      </w:r>
      <w:r>
        <w:rPr>
          <w:rStyle w:val="FootnoteReference"/>
          <w:bCs/>
          <w:szCs w:val="22"/>
        </w:rPr>
        <w:footnoteReference w:id="3"/>
      </w:r>
      <w:r w:rsidRPr="00EC6281">
        <w:rPr>
          <w:bCs/>
          <w:szCs w:val="22"/>
        </w:rPr>
        <w:t xml:space="preserve">  Voice service providers that certify that some or all of their traffic is subject to a robocall mitigation program </w:t>
      </w:r>
      <w:r w:rsidR="00330DA5">
        <w:rPr>
          <w:bCs/>
          <w:szCs w:val="22"/>
        </w:rPr>
        <w:t>also must</w:t>
      </w:r>
      <w:r w:rsidRPr="00EC6281">
        <w:rPr>
          <w:bCs/>
          <w:szCs w:val="22"/>
        </w:rPr>
        <w:t xml:space="preserve"> detail in their certifications the reasonable steps they </w:t>
      </w:r>
      <w:r w:rsidR="00330DA5">
        <w:rPr>
          <w:bCs/>
          <w:szCs w:val="22"/>
        </w:rPr>
        <w:t>are taking</w:t>
      </w:r>
      <w:r w:rsidRPr="00EC6281">
        <w:rPr>
          <w:bCs/>
          <w:szCs w:val="22"/>
        </w:rPr>
        <w:t xml:space="preserve"> to avoid originating illegal robocall traffic.</w:t>
      </w:r>
      <w:r>
        <w:rPr>
          <w:bCs/>
          <w:szCs w:val="22"/>
        </w:rPr>
        <w:t xml:space="preserve">  In establishing </w:t>
      </w:r>
      <w:r w:rsidR="005C4443">
        <w:rPr>
          <w:bCs/>
          <w:szCs w:val="22"/>
        </w:rPr>
        <w:t xml:space="preserve">the </w:t>
      </w:r>
      <w:r>
        <w:rPr>
          <w:bCs/>
          <w:szCs w:val="22"/>
        </w:rPr>
        <w:t xml:space="preserve">public </w:t>
      </w:r>
      <w:r w:rsidR="001E61B6">
        <w:rPr>
          <w:bCs/>
          <w:szCs w:val="22"/>
        </w:rPr>
        <w:t>Robocall Mitigation Database</w:t>
      </w:r>
      <w:r>
        <w:rPr>
          <w:bCs/>
          <w:szCs w:val="22"/>
        </w:rPr>
        <w:t xml:space="preserve">, the Commission stated </w:t>
      </w:r>
      <w:r w:rsidR="001E61B6">
        <w:rPr>
          <w:bCs/>
          <w:szCs w:val="22"/>
        </w:rPr>
        <w:t xml:space="preserve">that </w:t>
      </w:r>
      <w:r>
        <w:rPr>
          <w:bCs/>
          <w:szCs w:val="22"/>
        </w:rPr>
        <w:t>its goals were to promote transparency and to allow and encourage industry to self-police by making robocall mitigation plans visible to other voice service providers and the public at large.</w:t>
      </w:r>
      <w:r>
        <w:rPr>
          <w:rStyle w:val="FootnoteReference"/>
          <w:bCs/>
          <w:szCs w:val="22"/>
        </w:rPr>
        <w:footnoteReference w:id="4"/>
      </w:r>
      <w:r w:rsidR="00466768">
        <w:rPr>
          <w:bCs/>
          <w:szCs w:val="22"/>
        </w:rPr>
        <w:t xml:space="preserve"> </w:t>
      </w:r>
      <w:r>
        <w:rPr>
          <w:bCs/>
          <w:szCs w:val="22"/>
        </w:rPr>
        <w:t xml:space="preserve"> At the same time,</w:t>
      </w:r>
      <w:r w:rsidRPr="00EC6281">
        <w:rPr>
          <w:bCs/>
          <w:szCs w:val="22"/>
        </w:rPr>
        <w:t xml:space="preserve"> </w:t>
      </w:r>
      <w:r>
        <w:rPr>
          <w:bCs/>
          <w:szCs w:val="22"/>
        </w:rPr>
        <w:t>r</w:t>
      </w:r>
      <w:r w:rsidRPr="00EC6281">
        <w:rPr>
          <w:bCs/>
          <w:szCs w:val="22"/>
        </w:rPr>
        <w:t xml:space="preserve">ecognizing the </w:t>
      </w:r>
      <w:r>
        <w:rPr>
          <w:bCs/>
          <w:szCs w:val="22"/>
        </w:rPr>
        <w:t xml:space="preserve">potential </w:t>
      </w:r>
      <w:r w:rsidRPr="00EC6281">
        <w:rPr>
          <w:bCs/>
          <w:szCs w:val="22"/>
        </w:rPr>
        <w:t>sensitivity of this information</w:t>
      </w:r>
      <w:r>
        <w:rPr>
          <w:bCs/>
          <w:szCs w:val="22"/>
        </w:rPr>
        <w:t>,</w:t>
      </w:r>
      <w:r w:rsidRPr="00EC6281">
        <w:rPr>
          <w:bCs/>
          <w:szCs w:val="22"/>
        </w:rPr>
        <w:t xml:space="preserve"> the </w:t>
      </w:r>
      <w:r>
        <w:rPr>
          <w:bCs/>
          <w:szCs w:val="22"/>
        </w:rPr>
        <w:t xml:space="preserve">Commission directed the Bureau to adopt </w:t>
      </w:r>
      <w:r w:rsidR="00B57B4E">
        <w:rPr>
          <w:bCs/>
          <w:szCs w:val="22"/>
        </w:rPr>
        <w:t>a p</w:t>
      </w:r>
      <w:r>
        <w:rPr>
          <w:bCs/>
          <w:szCs w:val="22"/>
        </w:rPr>
        <w:t xml:space="preserve">rotective </w:t>
      </w:r>
      <w:r w:rsidR="00B57B4E">
        <w:rPr>
          <w:bCs/>
          <w:szCs w:val="22"/>
        </w:rPr>
        <w:t>o</w:t>
      </w:r>
      <w:r>
        <w:rPr>
          <w:bCs/>
          <w:szCs w:val="22"/>
        </w:rPr>
        <w:t>rde</w:t>
      </w:r>
      <w:r w:rsidR="00F903AE">
        <w:rPr>
          <w:bCs/>
          <w:szCs w:val="22"/>
        </w:rPr>
        <w:t>r</w:t>
      </w:r>
      <w:r w:rsidR="00981A18">
        <w:rPr>
          <w:bCs/>
          <w:szCs w:val="22"/>
        </w:rPr>
        <w:t xml:space="preserve"> governing</w:t>
      </w:r>
      <w:r w:rsidR="00AF65B7">
        <w:rPr>
          <w:bCs/>
          <w:szCs w:val="22"/>
        </w:rPr>
        <w:t xml:space="preserve"> the</w:t>
      </w:r>
      <w:r w:rsidR="00981A18">
        <w:rPr>
          <w:bCs/>
          <w:szCs w:val="22"/>
        </w:rPr>
        <w:t xml:space="preserve"> submission of and access to confidential and highly confidential information included with </w:t>
      </w:r>
      <w:r w:rsidR="006F7310">
        <w:rPr>
          <w:bCs/>
          <w:szCs w:val="22"/>
        </w:rPr>
        <w:t xml:space="preserve">mitigation </w:t>
      </w:r>
      <w:r w:rsidR="00B679F7">
        <w:rPr>
          <w:bCs/>
          <w:szCs w:val="22"/>
        </w:rPr>
        <w:t>program descriptions</w:t>
      </w:r>
      <w:r w:rsidRPr="00EC6281">
        <w:rPr>
          <w:bCs/>
          <w:szCs w:val="22"/>
        </w:rPr>
        <w:t>.</w:t>
      </w:r>
      <w:r>
        <w:rPr>
          <w:rStyle w:val="FootnoteReference"/>
          <w:bCs/>
          <w:szCs w:val="22"/>
        </w:rPr>
        <w:footnoteReference w:id="5"/>
      </w:r>
      <w:r w:rsidR="00466768">
        <w:rPr>
          <w:bCs/>
          <w:szCs w:val="22"/>
        </w:rPr>
        <w:t xml:space="preserve">  </w:t>
      </w:r>
    </w:p>
    <w:p w:rsidR="00AC1467" w:rsidP="005A17F1" w14:paraId="0D7B56BB" w14:textId="2B063890">
      <w:pPr>
        <w:spacing w:after="120"/>
        <w:ind w:firstLine="720"/>
        <w:rPr>
          <w:bCs/>
          <w:szCs w:val="22"/>
        </w:rPr>
      </w:pPr>
      <w:r>
        <w:rPr>
          <w:bCs/>
          <w:szCs w:val="22"/>
        </w:rPr>
        <w:t>On May 10, 2021, the Bureau released a Public Notice seeking comment on the protective order it proposed to adopt.</w:t>
      </w:r>
      <w:r>
        <w:rPr>
          <w:rStyle w:val="FootnoteReference"/>
          <w:bCs/>
          <w:szCs w:val="22"/>
        </w:rPr>
        <w:footnoteReference w:id="6"/>
      </w:r>
      <w:r>
        <w:rPr>
          <w:bCs/>
          <w:szCs w:val="22"/>
        </w:rPr>
        <w:t xml:space="preserve">  </w:t>
      </w:r>
      <w:r w:rsidR="006D2CFB">
        <w:rPr>
          <w:bCs/>
          <w:szCs w:val="22"/>
        </w:rPr>
        <w:t>T</w:t>
      </w:r>
      <w:r>
        <w:rPr>
          <w:bCs/>
          <w:szCs w:val="22"/>
        </w:rPr>
        <w:t>he Bureau proposed adopting a protective order similar to others used by the Bureau but with certain modifications appropriate for the Robocall Mitigation Database.</w:t>
      </w:r>
      <w:r>
        <w:rPr>
          <w:rStyle w:val="FootnoteReference"/>
          <w:bCs/>
          <w:szCs w:val="22"/>
        </w:rPr>
        <w:footnoteReference w:id="7"/>
      </w:r>
      <w:r>
        <w:rPr>
          <w:bCs/>
          <w:szCs w:val="22"/>
        </w:rPr>
        <w:t xml:space="preserve">  In response to this Protective Order Public Notice, we received one reply comment.</w:t>
      </w:r>
      <w:r>
        <w:rPr>
          <w:rStyle w:val="FootnoteReference"/>
          <w:bCs/>
          <w:szCs w:val="22"/>
        </w:rPr>
        <w:footnoteReference w:id="8"/>
      </w:r>
      <w:r>
        <w:rPr>
          <w:bCs/>
          <w:szCs w:val="22"/>
        </w:rPr>
        <w:t xml:space="preserve"> </w:t>
      </w:r>
      <w:r w:rsidR="009E66E0">
        <w:rPr>
          <w:bCs/>
          <w:szCs w:val="22"/>
        </w:rPr>
        <w:t xml:space="preserve"> </w:t>
      </w:r>
      <w:r w:rsidR="005C4443">
        <w:rPr>
          <w:bCs/>
          <w:szCs w:val="22"/>
        </w:rPr>
        <w:t xml:space="preserve">We find that </w:t>
      </w:r>
      <w:r w:rsidR="00466768">
        <w:rPr>
          <w:bCs/>
          <w:szCs w:val="22"/>
        </w:rPr>
        <w:t xml:space="preserve">the attached Protective Order </w:t>
      </w:r>
      <w:r w:rsidR="005C4443">
        <w:rPr>
          <w:bCs/>
          <w:szCs w:val="22"/>
        </w:rPr>
        <w:t xml:space="preserve">best </w:t>
      </w:r>
      <w:r w:rsidR="00E772DA">
        <w:rPr>
          <w:bCs/>
          <w:szCs w:val="22"/>
        </w:rPr>
        <w:t>balance</w:t>
      </w:r>
      <w:r w:rsidR="005C4443">
        <w:rPr>
          <w:bCs/>
          <w:szCs w:val="22"/>
        </w:rPr>
        <w:t>s</w:t>
      </w:r>
      <w:r w:rsidR="00E772DA">
        <w:rPr>
          <w:bCs/>
          <w:szCs w:val="22"/>
        </w:rPr>
        <w:t xml:space="preserve"> the Commission’s goals of transparency of submitted robocall mitigation program information and </w:t>
      </w:r>
      <w:r w:rsidR="005C4443">
        <w:rPr>
          <w:bCs/>
          <w:szCs w:val="22"/>
        </w:rPr>
        <w:t xml:space="preserve">the </w:t>
      </w:r>
      <w:r w:rsidR="00E772DA">
        <w:rPr>
          <w:bCs/>
          <w:szCs w:val="22"/>
        </w:rPr>
        <w:t>protection of confidentially-filed information.</w:t>
      </w:r>
      <w:r w:rsidR="00D35B9C">
        <w:rPr>
          <w:bCs/>
          <w:szCs w:val="22"/>
        </w:rPr>
        <w:t xml:space="preserve"> </w:t>
      </w:r>
      <w:r w:rsidR="00181522">
        <w:rPr>
          <w:bCs/>
          <w:szCs w:val="22"/>
        </w:rPr>
        <w:t xml:space="preserve"> </w:t>
      </w:r>
      <w:bookmarkStart w:id="1" w:name="_Hlk84593256"/>
      <w:r w:rsidR="00181522">
        <w:rPr>
          <w:bCs/>
          <w:szCs w:val="22"/>
        </w:rPr>
        <w:t xml:space="preserve">We reiterate that implementation certifications, contact information, and other information not included in robocall </w:t>
      </w:r>
      <w:r w:rsidR="00181522">
        <w:rPr>
          <w:bCs/>
          <w:szCs w:val="22"/>
        </w:rPr>
        <w:t>mitigation program descriptions submitted to the Robocall Mitigation Database are public and cannot be marked as confidential.</w:t>
      </w:r>
      <w:bookmarkEnd w:id="1"/>
    </w:p>
    <w:p w:rsidR="00D044C4" w:rsidP="00BF4516" w14:paraId="1D8CDC15" w14:textId="745D69E2">
      <w:pPr>
        <w:spacing w:after="120"/>
        <w:ind w:firstLine="720"/>
        <w:rPr>
          <w:bCs/>
          <w:szCs w:val="22"/>
        </w:rPr>
      </w:pPr>
      <w:r w:rsidRPr="00EC6281">
        <w:rPr>
          <w:bCs/>
          <w:i/>
          <w:iCs/>
          <w:szCs w:val="22"/>
        </w:rPr>
        <w:t>Submission of Information</w:t>
      </w:r>
      <w:r w:rsidRPr="00C73DE7">
        <w:rPr>
          <w:bCs/>
          <w:szCs w:val="22"/>
        </w:rPr>
        <w:t xml:space="preserve">.  </w:t>
      </w:r>
      <w:r w:rsidR="00CD34B1">
        <w:rPr>
          <w:bCs/>
          <w:szCs w:val="22"/>
        </w:rPr>
        <w:t xml:space="preserve">In the attached Protective Order, we adopt a process for submitting redacted and unredacted copies of robocall mitigation program descriptions via the Robocall Mitigation Database portal.  </w:t>
      </w:r>
      <w:r>
        <w:rPr>
          <w:bCs/>
          <w:szCs w:val="22"/>
        </w:rPr>
        <w:t xml:space="preserve">In the Protective Order Public Notice, </w:t>
      </w:r>
      <w:r w:rsidR="001D0B91">
        <w:rPr>
          <w:bCs/>
          <w:szCs w:val="22"/>
        </w:rPr>
        <w:t>we</w:t>
      </w:r>
      <w:r>
        <w:rPr>
          <w:bCs/>
          <w:szCs w:val="22"/>
        </w:rPr>
        <w:t xml:space="preserve"> proposed adopting a process for submitting confidential information</w:t>
      </w:r>
      <w:r w:rsidR="00713B54">
        <w:rPr>
          <w:bCs/>
          <w:szCs w:val="22"/>
        </w:rPr>
        <w:t xml:space="preserve"> in which a voice service provider must submit a confidentiality request in WC Docket No. 17-97 through the Commission’s Electronic Comment Filing System (ECFS)</w:t>
      </w:r>
      <w:r w:rsidR="008708F7">
        <w:rPr>
          <w:bCs/>
          <w:szCs w:val="22"/>
        </w:rPr>
        <w:t>,</w:t>
      </w:r>
      <w:r w:rsidR="00713B54">
        <w:rPr>
          <w:bCs/>
          <w:szCs w:val="22"/>
        </w:rPr>
        <w:t xml:space="preserve"> before filing the redacted and unredacted copies</w:t>
      </w:r>
      <w:r w:rsidR="00176ACF">
        <w:rPr>
          <w:bCs/>
          <w:szCs w:val="22"/>
        </w:rPr>
        <w:t xml:space="preserve"> directly</w:t>
      </w:r>
      <w:r w:rsidR="00713B54">
        <w:rPr>
          <w:bCs/>
          <w:szCs w:val="22"/>
        </w:rPr>
        <w:t xml:space="preserve"> </w:t>
      </w:r>
      <w:r w:rsidR="00176ACF">
        <w:rPr>
          <w:bCs/>
          <w:szCs w:val="22"/>
        </w:rPr>
        <w:t>through</w:t>
      </w:r>
      <w:r w:rsidR="00713B54">
        <w:rPr>
          <w:bCs/>
          <w:szCs w:val="22"/>
        </w:rPr>
        <w:t xml:space="preserve"> the </w:t>
      </w:r>
      <w:r w:rsidR="008708F7">
        <w:rPr>
          <w:bCs/>
          <w:szCs w:val="22"/>
        </w:rPr>
        <w:t xml:space="preserve">Robocall Mitigation Database </w:t>
      </w:r>
      <w:r w:rsidR="00713B54">
        <w:rPr>
          <w:bCs/>
          <w:szCs w:val="22"/>
        </w:rPr>
        <w:t>portal</w:t>
      </w:r>
      <w:r>
        <w:rPr>
          <w:bCs/>
          <w:szCs w:val="22"/>
        </w:rPr>
        <w:t>.</w:t>
      </w:r>
      <w:r>
        <w:rPr>
          <w:rStyle w:val="FootnoteReference"/>
          <w:bCs/>
          <w:szCs w:val="22"/>
        </w:rPr>
        <w:footnoteReference w:id="9"/>
      </w:r>
      <w:r w:rsidR="00845C86">
        <w:rPr>
          <w:bCs/>
          <w:szCs w:val="22"/>
        </w:rPr>
        <w:t xml:space="preserve">  We recognized that this approach was already established </w:t>
      </w:r>
      <w:r w:rsidR="00710A8C">
        <w:rPr>
          <w:bCs/>
          <w:szCs w:val="22"/>
        </w:rPr>
        <w:t>by</w:t>
      </w:r>
      <w:r w:rsidR="00845C86">
        <w:rPr>
          <w:bCs/>
          <w:szCs w:val="22"/>
        </w:rPr>
        <w:t xml:space="preserve"> the Public Notice announcing the Robocall Mitigation Database, and proposed </w:t>
      </w:r>
      <w:r w:rsidR="00BF46E2">
        <w:rPr>
          <w:bCs/>
          <w:szCs w:val="22"/>
        </w:rPr>
        <w:t xml:space="preserve">reiterating </w:t>
      </w:r>
      <w:r w:rsidR="00845C86">
        <w:rPr>
          <w:bCs/>
          <w:szCs w:val="22"/>
        </w:rPr>
        <w:t>the approach in this Protective Order.</w:t>
      </w:r>
      <w:r>
        <w:rPr>
          <w:bCs/>
          <w:szCs w:val="22"/>
        </w:rPr>
        <w:t xml:space="preserve">  </w:t>
      </w:r>
      <w:r w:rsidR="0040570E">
        <w:rPr>
          <w:bCs/>
          <w:szCs w:val="22"/>
        </w:rPr>
        <w:t>We received no comments on this proposal</w:t>
      </w:r>
      <w:r w:rsidR="00EB1AFE">
        <w:rPr>
          <w:bCs/>
          <w:szCs w:val="22"/>
        </w:rPr>
        <w:t xml:space="preserve">, </w:t>
      </w:r>
      <w:r w:rsidR="00845C86">
        <w:rPr>
          <w:bCs/>
          <w:szCs w:val="22"/>
        </w:rPr>
        <w:t>and now</w:t>
      </w:r>
      <w:r w:rsidR="00EB1AFE">
        <w:rPr>
          <w:bCs/>
          <w:szCs w:val="22"/>
        </w:rPr>
        <w:t xml:space="preserve"> adopt </w:t>
      </w:r>
      <w:r w:rsidR="00DA122A">
        <w:rPr>
          <w:bCs/>
          <w:szCs w:val="22"/>
        </w:rPr>
        <w:t>our proposed</w:t>
      </w:r>
      <w:r w:rsidR="00EB1AFE">
        <w:rPr>
          <w:bCs/>
          <w:szCs w:val="22"/>
        </w:rPr>
        <w:t xml:space="preserve"> approach in the attached Protective Order.</w:t>
      </w:r>
    </w:p>
    <w:p w:rsidR="00CF441E" w:rsidP="004C5E89" w14:paraId="59F7FF51" w14:textId="719398FF">
      <w:pPr>
        <w:spacing w:after="120"/>
        <w:ind w:firstLine="720"/>
        <w:rPr>
          <w:bCs/>
          <w:szCs w:val="22"/>
        </w:rPr>
      </w:pPr>
      <w:r>
        <w:rPr>
          <w:bCs/>
          <w:szCs w:val="22"/>
        </w:rPr>
        <w:t>W</w:t>
      </w:r>
      <w:r w:rsidR="008F3DE5">
        <w:rPr>
          <w:bCs/>
          <w:szCs w:val="22"/>
        </w:rPr>
        <w:t xml:space="preserve">e also adopt the standard Commission provisions regarding labeling confidential or highly confidential documents with language signifying their confidentiality.  </w:t>
      </w:r>
      <w:r w:rsidR="00B43869">
        <w:rPr>
          <w:bCs/>
          <w:szCs w:val="22"/>
        </w:rPr>
        <w:t>Because</w:t>
      </w:r>
      <w:r w:rsidR="00D044C4">
        <w:rPr>
          <w:bCs/>
          <w:szCs w:val="22"/>
        </w:rPr>
        <w:t xml:space="preserve"> many</w:t>
      </w:r>
      <w:r w:rsidR="00C54585">
        <w:rPr>
          <w:bCs/>
          <w:szCs w:val="22"/>
        </w:rPr>
        <w:t xml:space="preserve"> voice service</w:t>
      </w:r>
      <w:r w:rsidR="00D044C4">
        <w:rPr>
          <w:bCs/>
          <w:szCs w:val="22"/>
        </w:rPr>
        <w:t xml:space="preserve"> providers filed in the Robocall Mitigation Database prior to the release of this Public Notice and Protective Order, </w:t>
      </w:r>
      <w:r w:rsidR="006C13D4">
        <w:rPr>
          <w:bCs/>
          <w:szCs w:val="22"/>
        </w:rPr>
        <w:t xml:space="preserve">we </w:t>
      </w:r>
      <w:r w:rsidR="008F3DE5">
        <w:rPr>
          <w:bCs/>
          <w:szCs w:val="22"/>
        </w:rPr>
        <w:t>establish</w:t>
      </w:r>
      <w:r w:rsidR="006C13D4">
        <w:rPr>
          <w:bCs/>
          <w:szCs w:val="22"/>
        </w:rPr>
        <w:t xml:space="preserve"> that the</w:t>
      </w:r>
      <w:r w:rsidR="008F3DE5">
        <w:rPr>
          <w:bCs/>
          <w:szCs w:val="22"/>
        </w:rPr>
        <w:t>se</w:t>
      </w:r>
      <w:r w:rsidR="006C13D4">
        <w:rPr>
          <w:bCs/>
          <w:szCs w:val="22"/>
        </w:rPr>
        <w:t xml:space="preserve"> </w:t>
      </w:r>
      <w:r>
        <w:rPr>
          <w:bCs/>
          <w:szCs w:val="22"/>
        </w:rPr>
        <w:t xml:space="preserve">labeling </w:t>
      </w:r>
      <w:r w:rsidR="006C13D4">
        <w:rPr>
          <w:bCs/>
          <w:szCs w:val="22"/>
        </w:rPr>
        <w:t>provisions of the attached</w:t>
      </w:r>
      <w:r w:rsidR="00D044C4">
        <w:rPr>
          <w:bCs/>
          <w:szCs w:val="22"/>
        </w:rPr>
        <w:t xml:space="preserve"> Protective </w:t>
      </w:r>
      <w:r w:rsidR="00C54585">
        <w:rPr>
          <w:bCs/>
          <w:szCs w:val="22"/>
        </w:rPr>
        <w:t xml:space="preserve">Order </w:t>
      </w:r>
      <w:r w:rsidR="006C13D4">
        <w:rPr>
          <w:bCs/>
          <w:szCs w:val="22"/>
        </w:rPr>
        <w:t>will only apply prospectively</w:t>
      </w:r>
      <w:r>
        <w:rPr>
          <w:bCs/>
          <w:szCs w:val="22"/>
        </w:rPr>
        <w:t xml:space="preserve"> to providers filing after this item’s release</w:t>
      </w:r>
      <w:r w:rsidR="006C13D4">
        <w:rPr>
          <w:bCs/>
          <w:szCs w:val="22"/>
        </w:rPr>
        <w:t xml:space="preserve">.  </w:t>
      </w:r>
      <w:r>
        <w:rPr>
          <w:bCs/>
          <w:szCs w:val="22"/>
        </w:rPr>
        <w:t>However</w:t>
      </w:r>
      <w:r w:rsidR="006C13D4">
        <w:rPr>
          <w:bCs/>
          <w:szCs w:val="22"/>
        </w:rPr>
        <w:t xml:space="preserve">, </w:t>
      </w:r>
      <w:r w:rsidR="008F3DE5">
        <w:rPr>
          <w:bCs/>
          <w:szCs w:val="22"/>
        </w:rPr>
        <w:t>confidential filings</w:t>
      </w:r>
      <w:r w:rsidR="006C13D4">
        <w:rPr>
          <w:bCs/>
          <w:szCs w:val="22"/>
        </w:rPr>
        <w:t xml:space="preserve"> previously submitted</w:t>
      </w:r>
      <w:r w:rsidR="008F3DE5">
        <w:rPr>
          <w:bCs/>
          <w:szCs w:val="22"/>
        </w:rPr>
        <w:t xml:space="preserve"> </w:t>
      </w:r>
      <w:r w:rsidR="006C13D4">
        <w:rPr>
          <w:bCs/>
          <w:szCs w:val="22"/>
        </w:rPr>
        <w:t>in accordance with the procedures detailed in the Public Notice announcing the opening of the Robocall Mitigation Database</w:t>
      </w:r>
      <w:r>
        <w:rPr>
          <w:rStyle w:val="FootnoteReference"/>
          <w:bCs/>
          <w:szCs w:val="22"/>
        </w:rPr>
        <w:footnoteReference w:id="10"/>
      </w:r>
      <w:r w:rsidR="006C13D4">
        <w:rPr>
          <w:bCs/>
          <w:szCs w:val="22"/>
        </w:rPr>
        <w:t xml:space="preserve"> will</w:t>
      </w:r>
      <w:r>
        <w:rPr>
          <w:bCs/>
          <w:szCs w:val="22"/>
        </w:rPr>
        <w:t xml:space="preserve"> also</w:t>
      </w:r>
      <w:r w:rsidR="006C13D4">
        <w:rPr>
          <w:bCs/>
          <w:szCs w:val="22"/>
        </w:rPr>
        <w:t xml:space="preserve"> be </w:t>
      </w:r>
      <w:r w:rsidR="008F3DE5">
        <w:rPr>
          <w:bCs/>
          <w:szCs w:val="22"/>
        </w:rPr>
        <w:t>subject to the terms of this</w:t>
      </w:r>
      <w:r w:rsidR="00C620BC">
        <w:rPr>
          <w:bCs/>
          <w:szCs w:val="22"/>
        </w:rPr>
        <w:t xml:space="preserve"> </w:t>
      </w:r>
      <w:r w:rsidR="006C13D4">
        <w:rPr>
          <w:bCs/>
          <w:szCs w:val="22"/>
        </w:rPr>
        <w:t>Protective Order</w:t>
      </w:r>
      <w:r w:rsidR="008F3DE5">
        <w:rPr>
          <w:bCs/>
          <w:szCs w:val="22"/>
        </w:rPr>
        <w:t xml:space="preserve"> even if they do not bear the labels this Protective Order now requires; </w:t>
      </w:r>
      <w:r>
        <w:rPr>
          <w:bCs/>
          <w:szCs w:val="22"/>
        </w:rPr>
        <w:t xml:space="preserve">this means </w:t>
      </w:r>
      <w:r w:rsidR="008F3DE5">
        <w:rPr>
          <w:bCs/>
          <w:szCs w:val="22"/>
        </w:rPr>
        <w:t>voice service providers that previously submitted confidential documents need not re-file</w:t>
      </w:r>
      <w:r w:rsidR="006C13D4">
        <w:rPr>
          <w:bCs/>
          <w:szCs w:val="22"/>
        </w:rPr>
        <w:t xml:space="preserve">.  </w:t>
      </w:r>
    </w:p>
    <w:p w:rsidR="00123CC7" w:rsidRPr="00123CC7" w:rsidP="004C5E89" w14:paraId="7A8DC238" w14:textId="2A7EB524">
      <w:pPr>
        <w:spacing w:after="120"/>
        <w:ind w:firstLine="720"/>
        <w:rPr>
          <w:bCs/>
          <w:szCs w:val="22"/>
        </w:rPr>
      </w:pPr>
      <w:r>
        <w:rPr>
          <w:bCs/>
          <w:szCs w:val="22"/>
        </w:rPr>
        <w:t xml:space="preserve">While we did not </w:t>
      </w:r>
      <w:r w:rsidR="002F6AEC">
        <w:rPr>
          <w:bCs/>
          <w:szCs w:val="22"/>
        </w:rPr>
        <w:t>seek comment</w:t>
      </w:r>
      <w:r>
        <w:rPr>
          <w:bCs/>
          <w:szCs w:val="22"/>
        </w:rPr>
        <w:t xml:space="preserve"> on this approach in the Protective Order Public Notice, we</w:t>
      </w:r>
      <w:r w:rsidR="004C5E89">
        <w:rPr>
          <w:bCs/>
          <w:szCs w:val="22"/>
        </w:rPr>
        <w:t xml:space="preserve"> </w:t>
      </w:r>
      <w:r w:rsidR="002F6AEC">
        <w:rPr>
          <w:bCs/>
          <w:szCs w:val="22"/>
        </w:rPr>
        <w:t>find</w:t>
      </w:r>
      <w:r>
        <w:rPr>
          <w:bCs/>
          <w:szCs w:val="22"/>
        </w:rPr>
        <w:t xml:space="preserve"> that it is appropriate here.  Prior to the release of th</w:t>
      </w:r>
      <w:r w:rsidR="002F6AEC">
        <w:rPr>
          <w:bCs/>
          <w:szCs w:val="22"/>
        </w:rPr>
        <w:t>is</w:t>
      </w:r>
      <w:r>
        <w:rPr>
          <w:bCs/>
          <w:szCs w:val="22"/>
        </w:rPr>
        <w:t xml:space="preserve"> Protective Order Public Notice, the unique process for filing in the database had been </w:t>
      </w:r>
      <w:r w:rsidR="002F6AEC">
        <w:rPr>
          <w:bCs/>
          <w:szCs w:val="22"/>
        </w:rPr>
        <w:t>established</w:t>
      </w:r>
      <w:r>
        <w:rPr>
          <w:bCs/>
          <w:szCs w:val="22"/>
        </w:rPr>
        <w:t xml:space="preserve"> in the Robocall Mitigation Database</w:t>
      </w:r>
      <w:r w:rsidR="00C54585">
        <w:rPr>
          <w:bCs/>
          <w:szCs w:val="22"/>
        </w:rPr>
        <w:t xml:space="preserve"> Opening</w:t>
      </w:r>
      <w:r>
        <w:rPr>
          <w:bCs/>
          <w:szCs w:val="22"/>
        </w:rPr>
        <w:t xml:space="preserve"> Public Notice and </w:t>
      </w:r>
      <w:r w:rsidR="002F6AEC">
        <w:rPr>
          <w:bCs/>
          <w:szCs w:val="22"/>
        </w:rPr>
        <w:t>many voice service providers submitted confidential filings consistent with the process therein established</w:t>
      </w:r>
      <w:r>
        <w:rPr>
          <w:bCs/>
          <w:szCs w:val="22"/>
        </w:rPr>
        <w:t xml:space="preserve">.  </w:t>
      </w:r>
      <w:r w:rsidR="002F6AEC">
        <w:rPr>
          <w:bCs/>
          <w:szCs w:val="22"/>
        </w:rPr>
        <w:t>In the Public Notice seeking comment on this Protective Order</w:t>
      </w:r>
      <w:r w:rsidR="00BA7027">
        <w:rPr>
          <w:bCs/>
          <w:szCs w:val="22"/>
        </w:rPr>
        <w:t>,</w:t>
      </w:r>
      <w:r w:rsidR="004C5E89">
        <w:rPr>
          <w:bCs/>
          <w:szCs w:val="22"/>
        </w:rPr>
        <w:t xml:space="preserve"> we sought comment on formalizing the approach rather than </w:t>
      </w:r>
      <w:r w:rsidR="002F6AEC">
        <w:rPr>
          <w:bCs/>
          <w:szCs w:val="22"/>
        </w:rPr>
        <w:t>revising</w:t>
      </w:r>
      <w:r w:rsidR="004C5E89">
        <w:rPr>
          <w:bCs/>
          <w:szCs w:val="22"/>
        </w:rPr>
        <w:t xml:space="preserve"> it to add additional submission requirements on filers</w:t>
      </w:r>
      <w:r w:rsidR="002F6AEC">
        <w:rPr>
          <w:bCs/>
          <w:szCs w:val="22"/>
        </w:rPr>
        <w:t xml:space="preserve"> or requiring voice service providers to re-file.</w:t>
      </w:r>
      <w:r w:rsidR="004C5E89">
        <w:rPr>
          <w:bCs/>
          <w:szCs w:val="22"/>
        </w:rPr>
        <w:t xml:space="preserve"> </w:t>
      </w:r>
      <w:r w:rsidR="002F6AEC">
        <w:rPr>
          <w:bCs/>
          <w:szCs w:val="22"/>
        </w:rPr>
        <w:t xml:space="preserve"> W</w:t>
      </w:r>
      <w:r w:rsidR="004C5E89">
        <w:rPr>
          <w:bCs/>
          <w:szCs w:val="22"/>
        </w:rPr>
        <w:t>e believe leaving the process as</w:t>
      </w:r>
      <w:r w:rsidR="002F6AEC">
        <w:rPr>
          <w:bCs/>
          <w:szCs w:val="22"/>
        </w:rPr>
        <w:t>-</w:t>
      </w:r>
      <w:r w:rsidR="004C5E89">
        <w:rPr>
          <w:bCs/>
          <w:szCs w:val="22"/>
        </w:rPr>
        <w:t>is for earlier filers is consistent with notions of notice and filers’ expectations</w:t>
      </w:r>
      <w:r w:rsidR="002F6AEC">
        <w:rPr>
          <w:bCs/>
          <w:szCs w:val="22"/>
        </w:rPr>
        <w:t>, and see minimal benefit to requiring providers to re-submit confidential filings</w:t>
      </w:r>
      <w:r w:rsidR="004C5E89">
        <w:rPr>
          <w:bCs/>
          <w:szCs w:val="22"/>
        </w:rPr>
        <w:t>.</w:t>
      </w:r>
      <w:r w:rsidR="00AD2163">
        <w:rPr>
          <w:bCs/>
          <w:szCs w:val="22"/>
        </w:rPr>
        <w:t xml:space="preserve">  </w:t>
      </w:r>
      <w:r w:rsidR="00BF27AF">
        <w:rPr>
          <w:bCs/>
          <w:szCs w:val="22"/>
        </w:rPr>
        <w:t xml:space="preserve"> </w:t>
      </w:r>
    </w:p>
    <w:p w:rsidR="00BF4516" w:rsidP="00BF4516" w14:paraId="7B84973A" w14:textId="0AB2D3AF">
      <w:pPr>
        <w:widowControl/>
        <w:spacing w:after="120"/>
        <w:ind w:firstLine="720"/>
        <w:rPr>
          <w:bCs/>
          <w:szCs w:val="22"/>
        </w:rPr>
      </w:pPr>
      <w:r w:rsidRPr="00EC6281">
        <w:rPr>
          <w:bCs/>
          <w:i/>
          <w:iCs/>
          <w:szCs w:val="22"/>
        </w:rPr>
        <w:t>Access to Information</w:t>
      </w:r>
      <w:r w:rsidR="002C2F3D">
        <w:rPr>
          <w:bCs/>
          <w:i/>
          <w:iCs/>
          <w:szCs w:val="22"/>
        </w:rPr>
        <w:t xml:space="preserve"> – Parties</w:t>
      </w:r>
      <w:r w:rsidRPr="005375D0">
        <w:rPr>
          <w:bCs/>
          <w:szCs w:val="22"/>
        </w:rPr>
        <w:t xml:space="preserve">.  </w:t>
      </w:r>
      <w:r w:rsidR="00185EFE">
        <w:rPr>
          <w:bCs/>
          <w:szCs w:val="22"/>
        </w:rPr>
        <w:t xml:space="preserve">In the attached Protective Order, we limit access to confidential information to certain entities and individuals involved in robocall compliance and enforcement.  </w:t>
      </w:r>
      <w:r>
        <w:rPr>
          <w:bCs/>
          <w:szCs w:val="22"/>
        </w:rPr>
        <w:t xml:space="preserve">In the Protective Order Public Notice, </w:t>
      </w:r>
      <w:r w:rsidR="00185EFE">
        <w:rPr>
          <w:bCs/>
          <w:szCs w:val="22"/>
        </w:rPr>
        <w:t>we</w:t>
      </w:r>
      <w:r w:rsidR="00211C24">
        <w:rPr>
          <w:bCs/>
          <w:szCs w:val="22"/>
        </w:rPr>
        <w:t xml:space="preserve"> </w:t>
      </w:r>
      <w:r w:rsidRPr="00EC6281">
        <w:rPr>
          <w:bCs/>
          <w:szCs w:val="22"/>
        </w:rPr>
        <w:t>propose</w:t>
      </w:r>
      <w:r w:rsidR="00211C24">
        <w:rPr>
          <w:bCs/>
          <w:szCs w:val="22"/>
        </w:rPr>
        <w:t>d</w:t>
      </w:r>
      <w:r w:rsidRPr="00EC6281">
        <w:rPr>
          <w:bCs/>
          <w:szCs w:val="22"/>
        </w:rPr>
        <w:t xml:space="preserve"> </w:t>
      </w:r>
      <w:r>
        <w:rPr>
          <w:bCs/>
          <w:szCs w:val="22"/>
        </w:rPr>
        <w:t>only allowing access to</w:t>
      </w:r>
      <w:r w:rsidR="00211C24">
        <w:rPr>
          <w:bCs/>
          <w:szCs w:val="22"/>
        </w:rPr>
        <w:t xml:space="preserve"> </w:t>
      </w:r>
      <w:r w:rsidR="00185EFE">
        <w:rPr>
          <w:bCs/>
          <w:szCs w:val="22"/>
        </w:rPr>
        <w:t xml:space="preserve">confidential and highly confidential </w:t>
      </w:r>
      <w:r w:rsidR="00211C24">
        <w:rPr>
          <w:bCs/>
          <w:szCs w:val="22"/>
        </w:rPr>
        <w:t>information to</w:t>
      </w:r>
      <w:r>
        <w:rPr>
          <w:bCs/>
          <w:szCs w:val="22"/>
        </w:rPr>
        <w:t xml:space="preserve"> limited categories of entities</w:t>
      </w:r>
      <w:r w:rsidR="00E76BFC">
        <w:rPr>
          <w:bCs/>
          <w:szCs w:val="22"/>
        </w:rPr>
        <w:t xml:space="preserve"> and individuals</w:t>
      </w:r>
      <w:r w:rsidR="00185EFE">
        <w:rPr>
          <w:bCs/>
          <w:szCs w:val="22"/>
        </w:rPr>
        <w:t>,</w:t>
      </w:r>
      <w:r>
        <w:rPr>
          <w:bCs/>
          <w:szCs w:val="22"/>
        </w:rPr>
        <w:t xml:space="preserve"> includ</w:t>
      </w:r>
      <w:r w:rsidR="00185EFE">
        <w:rPr>
          <w:bCs/>
          <w:szCs w:val="22"/>
        </w:rPr>
        <w:t>ing</w:t>
      </w:r>
      <w:r>
        <w:rPr>
          <w:bCs/>
          <w:szCs w:val="22"/>
        </w:rPr>
        <w:t>:  federal, state, local, and Tribal governmental entities involved in robocall enforcement; the registered industry traceback consortium;</w:t>
      </w:r>
      <w:r>
        <w:rPr>
          <w:rStyle w:val="FootnoteReference"/>
          <w:bCs/>
          <w:szCs w:val="22"/>
        </w:rPr>
        <w:footnoteReference w:id="11"/>
      </w:r>
      <w:r>
        <w:rPr>
          <w:bCs/>
          <w:szCs w:val="22"/>
        </w:rPr>
        <w:t xml:space="preserve"> the STIR/SHAKEN Governance Authority;</w:t>
      </w:r>
      <w:r>
        <w:rPr>
          <w:rStyle w:val="FootnoteReference"/>
          <w:bCs/>
          <w:szCs w:val="22"/>
        </w:rPr>
        <w:footnoteReference w:id="12"/>
      </w:r>
      <w:r>
        <w:rPr>
          <w:bCs/>
          <w:szCs w:val="22"/>
        </w:rPr>
        <w:t xml:space="preserve"> and intermediate providers and voice service providers who accept call traffic directly from a voice service provider listed in the database and request to review what </w:t>
      </w:r>
      <w:r>
        <w:rPr>
          <w:bCs/>
          <w:szCs w:val="22"/>
        </w:rPr>
        <w:t>actions that provider is taking to combat the origination of illegal robocalls.</w:t>
      </w:r>
      <w:r>
        <w:rPr>
          <w:rStyle w:val="FootnoteReference"/>
          <w:bCs/>
          <w:szCs w:val="22"/>
        </w:rPr>
        <w:footnoteReference w:id="13"/>
      </w:r>
      <w:r>
        <w:rPr>
          <w:bCs/>
          <w:szCs w:val="22"/>
        </w:rPr>
        <w:t xml:space="preserve">  For this final group, we propose</w:t>
      </w:r>
      <w:r w:rsidR="00770EDE">
        <w:rPr>
          <w:bCs/>
          <w:szCs w:val="22"/>
        </w:rPr>
        <w:t>d</w:t>
      </w:r>
      <w:r>
        <w:rPr>
          <w:bCs/>
          <w:szCs w:val="22"/>
        </w:rPr>
        <w:t xml:space="preserve"> limiting access to the requesting party’s outside counsel and consultants, as well as the employees and support personnel of these outside firms.  </w:t>
      </w:r>
      <w:r w:rsidR="00185EFE">
        <w:rPr>
          <w:bCs/>
          <w:szCs w:val="22"/>
        </w:rPr>
        <w:t>We received no comments</w:t>
      </w:r>
      <w:r w:rsidR="00630E13">
        <w:rPr>
          <w:bCs/>
          <w:szCs w:val="22"/>
        </w:rPr>
        <w:t>, and we adopt</w:t>
      </w:r>
      <w:r w:rsidR="00185EFE">
        <w:rPr>
          <w:bCs/>
          <w:szCs w:val="22"/>
        </w:rPr>
        <w:t xml:space="preserve"> our proposal.  </w:t>
      </w:r>
      <w:r w:rsidRPr="00335228" w:rsidR="002C2F3D">
        <w:rPr>
          <w:bCs/>
          <w:szCs w:val="22"/>
        </w:rPr>
        <w:t>We find</w:t>
      </w:r>
      <w:r w:rsidRPr="00335228" w:rsidR="004F76FC">
        <w:rPr>
          <w:bCs/>
          <w:szCs w:val="22"/>
        </w:rPr>
        <w:t xml:space="preserve"> this approach </w:t>
      </w:r>
      <w:r w:rsidR="005C4443">
        <w:rPr>
          <w:bCs/>
          <w:szCs w:val="22"/>
        </w:rPr>
        <w:t xml:space="preserve">appropriately </w:t>
      </w:r>
      <w:r w:rsidRPr="00335228">
        <w:rPr>
          <w:bCs/>
          <w:szCs w:val="22"/>
        </w:rPr>
        <w:t>balance</w:t>
      </w:r>
      <w:r w:rsidRPr="00335228" w:rsidR="004F76FC">
        <w:rPr>
          <w:bCs/>
          <w:szCs w:val="22"/>
        </w:rPr>
        <w:t>s</w:t>
      </w:r>
      <w:r w:rsidRPr="00335228">
        <w:rPr>
          <w:bCs/>
          <w:szCs w:val="22"/>
        </w:rPr>
        <w:t xml:space="preserve"> the Commission’s goals of promoting transparency in robocall mitigation efforts and protecting providers’ sensitive information from competitors and bad actors attempting to circumvent</w:t>
      </w:r>
      <w:r w:rsidRPr="00335228" w:rsidR="00E76BFC">
        <w:rPr>
          <w:bCs/>
          <w:szCs w:val="22"/>
        </w:rPr>
        <w:t xml:space="preserve"> </w:t>
      </w:r>
      <w:r w:rsidRPr="00335228">
        <w:rPr>
          <w:bCs/>
          <w:szCs w:val="22"/>
        </w:rPr>
        <w:t>mitigation efforts</w:t>
      </w:r>
      <w:r w:rsidRPr="00335228" w:rsidR="002C2F3D">
        <w:rPr>
          <w:bCs/>
          <w:szCs w:val="22"/>
        </w:rPr>
        <w:t xml:space="preserve"> because</w:t>
      </w:r>
      <w:r w:rsidRPr="00335228" w:rsidR="00634D8F">
        <w:rPr>
          <w:bCs/>
          <w:szCs w:val="22"/>
        </w:rPr>
        <w:t xml:space="preserve"> it grants access</w:t>
      </w:r>
      <w:r w:rsidR="00D5230E">
        <w:rPr>
          <w:bCs/>
          <w:szCs w:val="22"/>
        </w:rPr>
        <w:t xml:space="preserve"> to information</w:t>
      </w:r>
      <w:r w:rsidRPr="00335228" w:rsidR="00634D8F">
        <w:rPr>
          <w:bCs/>
          <w:szCs w:val="22"/>
        </w:rPr>
        <w:t xml:space="preserve"> </w:t>
      </w:r>
      <w:r w:rsidR="005C4443">
        <w:rPr>
          <w:bCs/>
          <w:szCs w:val="22"/>
        </w:rPr>
        <w:t xml:space="preserve">only </w:t>
      </w:r>
      <w:r w:rsidRPr="00335228" w:rsidR="00634D8F">
        <w:rPr>
          <w:bCs/>
          <w:szCs w:val="22"/>
        </w:rPr>
        <w:t xml:space="preserve">to </w:t>
      </w:r>
      <w:r w:rsidRPr="00335228" w:rsidR="00335228">
        <w:rPr>
          <w:bCs/>
          <w:szCs w:val="22"/>
        </w:rPr>
        <w:t xml:space="preserve">appropriate </w:t>
      </w:r>
      <w:r w:rsidRPr="00335228" w:rsidR="00634D8F">
        <w:rPr>
          <w:bCs/>
          <w:szCs w:val="22"/>
        </w:rPr>
        <w:t xml:space="preserve">parties involved in robocall compliance and enforcement </w:t>
      </w:r>
      <w:r w:rsidR="005C4443">
        <w:rPr>
          <w:bCs/>
          <w:szCs w:val="22"/>
        </w:rPr>
        <w:t xml:space="preserve">that </w:t>
      </w:r>
      <w:r w:rsidRPr="00335228" w:rsidR="004D008B">
        <w:rPr>
          <w:bCs/>
          <w:szCs w:val="22"/>
        </w:rPr>
        <w:t>will aid in robocall mitigation oversight.</w:t>
      </w:r>
      <w:r>
        <w:rPr>
          <w:rStyle w:val="FootnoteReference"/>
          <w:bCs/>
          <w:szCs w:val="22"/>
        </w:rPr>
        <w:footnoteReference w:id="14"/>
      </w:r>
      <w:r w:rsidR="004F76FC">
        <w:rPr>
          <w:bCs/>
          <w:szCs w:val="22"/>
        </w:rPr>
        <w:t xml:space="preserve"> </w:t>
      </w:r>
      <w:r w:rsidR="002C2F3D">
        <w:rPr>
          <w:bCs/>
          <w:szCs w:val="22"/>
        </w:rPr>
        <w:t xml:space="preserve"> </w:t>
      </w:r>
    </w:p>
    <w:p w:rsidR="00581421" w:rsidP="00342C60" w14:paraId="4039ACD4" w14:textId="0D686F18">
      <w:pPr>
        <w:widowControl/>
        <w:spacing w:after="120"/>
        <w:ind w:firstLine="720"/>
        <w:rPr>
          <w:bCs/>
          <w:szCs w:val="22"/>
        </w:rPr>
      </w:pPr>
      <w:r w:rsidRPr="00113F9D">
        <w:rPr>
          <w:bCs/>
          <w:i/>
          <w:iCs/>
          <w:szCs w:val="22"/>
        </w:rPr>
        <w:t>Access to Information – Process.</w:t>
      </w:r>
      <w:r>
        <w:rPr>
          <w:bCs/>
          <w:szCs w:val="22"/>
        </w:rPr>
        <w:t xml:space="preserve">  W</w:t>
      </w:r>
      <w:r w:rsidR="003A4804">
        <w:rPr>
          <w:bCs/>
          <w:szCs w:val="22"/>
        </w:rPr>
        <w:t xml:space="preserve">e also adopt our proposal that any person, other than support personnel, seeking access to confidential and highly confidential information </w:t>
      </w:r>
      <w:r w:rsidR="005D2076">
        <w:rPr>
          <w:bCs/>
          <w:szCs w:val="22"/>
        </w:rPr>
        <w:t xml:space="preserve">must </w:t>
      </w:r>
      <w:r w:rsidR="003A4804">
        <w:rPr>
          <w:bCs/>
          <w:szCs w:val="22"/>
        </w:rPr>
        <w:t>sign and abide by an Acknowledgement of Confidentiality</w:t>
      </w:r>
      <w:r>
        <w:rPr>
          <w:bCs/>
          <w:szCs w:val="22"/>
        </w:rPr>
        <w:t xml:space="preserve"> </w:t>
      </w:r>
      <w:r>
        <w:rPr>
          <w:bCs/>
          <w:szCs w:val="22"/>
        </w:rPr>
        <w:t xml:space="preserve">agreeing to be bound by the terms and conditions of the Protective Order, and </w:t>
      </w:r>
      <w:r>
        <w:rPr>
          <w:bCs/>
          <w:szCs w:val="22"/>
        </w:rPr>
        <w:t xml:space="preserve">both </w:t>
      </w:r>
      <w:r>
        <w:rPr>
          <w:bCs/>
          <w:szCs w:val="22"/>
        </w:rPr>
        <w:t xml:space="preserve">file the Acknowledgment with the Commission and deliver a copy to the filing </w:t>
      </w:r>
      <w:r w:rsidR="00ED5A67">
        <w:rPr>
          <w:bCs/>
          <w:szCs w:val="22"/>
        </w:rPr>
        <w:t>party</w:t>
      </w:r>
      <w:r>
        <w:rPr>
          <w:bCs/>
          <w:szCs w:val="22"/>
        </w:rPr>
        <w:t>.</w:t>
      </w:r>
      <w:r>
        <w:rPr>
          <w:rStyle w:val="FootnoteReference"/>
          <w:bCs/>
          <w:szCs w:val="22"/>
        </w:rPr>
        <w:footnoteReference w:id="15"/>
      </w:r>
      <w:r w:rsidR="005B0829">
        <w:rPr>
          <w:bCs/>
          <w:szCs w:val="22"/>
        </w:rPr>
        <w:t xml:space="preserve">  </w:t>
      </w:r>
      <w:r w:rsidR="00971A9B">
        <w:rPr>
          <w:bCs/>
          <w:szCs w:val="22"/>
        </w:rPr>
        <w:t xml:space="preserve">We </w:t>
      </w:r>
      <w:r w:rsidR="005B0829">
        <w:rPr>
          <w:bCs/>
          <w:szCs w:val="22"/>
        </w:rPr>
        <w:t xml:space="preserve">received no </w:t>
      </w:r>
      <w:r w:rsidR="00342C60">
        <w:rPr>
          <w:bCs/>
          <w:szCs w:val="22"/>
        </w:rPr>
        <w:t xml:space="preserve">comments in </w:t>
      </w:r>
      <w:r w:rsidR="005B0829">
        <w:rPr>
          <w:bCs/>
          <w:szCs w:val="22"/>
        </w:rPr>
        <w:t xml:space="preserve">opposition to </w:t>
      </w:r>
      <w:r w:rsidR="00342C60">
        <w:rPr>
          <w:bCs/>
          <w:szCs w:val="22"/>
        </w:rPr>
        <w:t>this proposal</w:t>
      </w:r>
      <w:r w:rsidR="005B0829">
        <w:rPr>
          <w:bCs/>
          <w:szCs w:val="22"/>
        </w:rPr>
        <w:t xml:space="preserve">, </w:t>
      </w:r>
      <w:r w:rsidR="00342C60">
        <w:rPr>
          <w:bCs/>
          <w:szCs w:val="22"/>
        </w:rPr>
        <w:t xml:space="preserve">and </w:t>
      </w:r>
      <w:r w:rsidR="00971A9B">
        <w:rPr>
          <w:bCs/>
          <w:szCs w:val="22"/>
        </w:rPr>
        <w:t xml:space="preserve">we find that </w:t>
      </w:r>
      <w:r w:rsidR="00342C60">
        <w:rPr>
          <w:bCs/>
          <w:szCs w:val="22"/>
        </w:rPr>
        <w:t xml:space="preserve">this approach </w:t>
      </w:r>
      <w:r w:rsidR="005C4443">
        <w:rPr>
          <w:bCs/>
          <w:szCs w:val="22"/>
        </w:rPr>
        <w:t xml:space="preserve">appropriately </w:t>
      </w:r>
      <w:r w:rsidR="00342C60">
        <w:rPr>
          <w:bCs/>
          <w:szCs w:val="22"/>
        </w:rPr>
        <w:t>balance</w:t>
      </w:r>
      <w:r>
        <w:rPr>
          <w:bCs/>
          <w:szCs w:val="22"/>
        </w:rPr>
        <w:t>s</w:t>
      </w:r>
      <w:r w:rsidR="00342C60">
        <w:rPr>
          <w:bCs/>
          <w:szCs w:val="22"/>
        </w:rPr>
        <w:t xml:space="preserve"> the Commission’s goals </w:t>
      </w:r>
      <w:r w:rsidR="00971A9B">
        <w:rPr>
          <w:bCs/>
          <w:szCs w:val="22"/>
        </w:rPr>
        <w:t>of transparency and protection of confidential information because</w:t>
      </w:r>
      <w:r w:rsidR="00D5230E">
        <w:rPr>
          <w:bCs/>
          <w:szCs w:val="22"/>
        </w:rPr>
        <w:t xml:space="preserve"> it </w:t>
      </w:r>
      <w:r w:rsidR="002731A8">
        <w:rPr>
          <w:bCs/>
          <w:szCs w:val="22"/>
        </w:rPr>
        <w:t>binds</w:t>
      </w:r>
      <w:r w:rsidR="00D5230E">
        <w:rPr>
          <w:bCs/>
          <w:szCs w:val="22"/>
        </w:rPr>
        <w:t xml:space="preserve"> part</w:t>
      </w:r>
      <w:r w:rsidR="00221FF9">
        <w:rPr>
          <w:bCs/>
          <w:szCs w:val="22"/>
        </w:rPr>
        <w:t>ies</w:t>
      </w:r>
      <w:r w:rsidR="00D5230E">
        <w:rPr>
          <w:bCs/>
          <w:szCs w:val="22"/>
        </w:rPr>
        <w:t xml:space="preserve"> seeking access</w:t>
      </w:r>
      <w:r w:rsidR="00221FF9">
        <w:rPr>
          <w:bCs/>
          <w:szCs w:val="22"/>
        </w:rPr>
        <w:t xml:space="preserve"> to information to the provisions of the Protective Order, a practice which appropriate </w:t>
      </w:r>
      <w:r w:rsidR="002731A8">
        <w:rPr>
          <w:bCs/>
          <w:szCs w:val="22"/>
        </w:rPr>
        <w:t xml:space="preserve">parties involved in </w:t>
      </w:r>
      <w:r w:rsidR="00221FF9">
        <w:rPr>
          <w:bCs/>
          <w:szCs w:val="22"/>
        </w:rPr>
        <w:t>robocall compliance and enforcement will adhere to</w:t>
      </w:r>
      <w:r w:rsidR="002731A8">
        <w:rPr>
          <w:bCs/>
          <w:szCs w:val="22"/>
        </w:rPr>
        <w:t xml:space="preserve"> in order to conduct oversight</w:t>
      </w:r>
      <w:r w:rsidR="00221FF9">
        <w:rPr>
          <w:bCs/>
          <w:szCs w:val="22"/>
        </w:rPr>
        <w:t xml:space="preserve"> and which bad actors will</w:t>
      </w:r>
      <w:r w:rsidR="006A7664">
        <w:rPr>
          <w:bCs/>
          <w:szCs w:val="22"/>
        </w:rPr>
        <w:t xml:space="preserve"> likely</w:t>
      </w:r>
      <w:r w:rsidR="00221FF9">
        <w:rPr>
          <w:bCs/>
          <w:szCs w:val="22"/>
        </w:rPr>
        <w:t xml:space="preserve"> avoid</w:t>
      </w:r>
      <w:r w:rsidR="002731A8">
        <w:rPr>
          <w:bCs/>
          <w:szCs w:val="22"/>
        </w:rPr>
        <w:t xml:space="preserve"> so as not to expose themselves. </w:t>
      </w:r>
    </w:p>
    <w:p w:rsidR="004322F9" w:rsidP="00D14778" w14:paraId="738D707B" w14:textId="6AA6A96F">
      <w:pPr>
        <w:spacing w:after="120"/>
        <w:ind w:firstLine="720"/>
        <w:rPr>
          <w:bCs/>
          <w:szCs w:val="22"/>
        </w:rPr>
      </w:pPr>
      <w:r w:rsidRPr="00A5737D">
        <w:rPr>
          <w:bCs/>
          <w:i/>
          <w:iCs/>
          <w:szCs w:val="22"/>
        </w:rPr>
        <w:t>Other Protective Order Provisions</w:t>
      </w:r>
      <w:r w:rsidRPr="00A5737D">
        <w:rPr>
          <w:bCs/>
          <w:szCs w:val="22"/>
        </w:rPr>
        <w:t xml:space="preserve">.  </w:t>
      </w:r>
      <w:r w:rsidR="002A09CE">
        <w:rPr>
          <w:bCs/>
          <w:szCs w:val="22"/>
        </w:rPr>
        <w:t>Beyond the specific modifications elaborated above</w:t>
      </w:r>
      <w:r w:rsidR="00273B92">
        <w:rPr>
          <w:bCs/>
          <w:szCs w:val="22"/>
        </w:rPr>
        <w:t xml:space="preserve">, we adopt the standard provisions </w:t>
      </w:r>
      <w:r w:rsidR="00871A5B">
        <w:rPr>
          <w:bCs/>
          <w:szCs w:val="22"/>
        </w:rPr>
        <w:t xml:space="preserve">and appendices </w:t>
      </w:r>
      <w:r w:rsidR="00273B92">
        <w:rPr>
          <w:bCs/>
          <w:szCs w:val="22"/>
        </w:rPr>
        <w:t xml:space="preserve">found in other Bureau protective orders.  </w:t>
      </w:r>
      <w:r w:rsidR="00DB5C65">
        <w:rPr>
          <w:bCs/>
          <w:szCs w:val="22"/>
        </w:rPr>
        <w:t xml:space="preserve">In the Protective Order Public Notice, </w:t>
      </w:r>
      <w:r w:rsidRPr="00A5737D">
        <w:rPr>
          <w:bCs/>
          <w:szCs w:val="22"/>
        </w:rPr>
        <w:t>we propose</w:t>
      </w:r>
      <w:r w:rsidR="007C2E23">
        <w:rPr>
          <w:bCs/>
          <w:szCs w:val="22"/>
        </w:rPr>
        <w:t>d</w:t>
      </w:r>
      <w:r w:rsidRPr="00A5737D">
        <w:rPr>
          <w:bCs/>
          <w:szCs w:val="22"/>
        </w:rPr>
        <w:t xml:space="preserve"> adopting provisions</w:t>
      </w:r>
      <w:r>
        <w:rPr>
          <w:bCs/>
          <w:szCs w:val="22"/>
        </w:rPr>
        <w:t xml:space="preserve"> </w:t>
      </w:r>
      <w:r w:rsidR="00DB5C65">
        <w:rPr>
          <w:bCs/>
          <w:szCs w:val="22"/>
        </w:rPr>
        <w:t xml:space="preserve">typically </w:t>
      </w:r>
      <w:r>
        <w:rPr>
          <w:bCs/>
          <w:szCs w:val="22"/>
        </w:rPr>
        <w:t xml:space="preserve">found in </w:t>
      </w:r>
      <w:r w:rsidR="00713B9C">
        <w:rPr>
          <w:bCs/>
          <w:szCs w:val="22"/>
        </w:rPr>
        <w:t>p</w:t>
      </w:r>
      <w:r>
        <w:rPr>
          <w:bCs/>
          <w:szCs w:val="22"/>
        </w:rPr>
        <w:t xml:space="preserve">rotective </w:t>
      </w:r>
      <w:r w:rsidR="00713B9C">
        <w:rPr>
          <w:bCs/>
          <w:szCs w:val="22"/>
        </w:rPr>
        <w:t>o</w:t>
      </w:r>
      <w:r>
        <w:rPr>
          <w:bCs/>
          <w:szCs w:val="22"/>
        </w:rPr>
        <w:t>rders</w:t>
      </w:r>
      <w:r w:rsidR="00DB5C65">
        <w:rPr>
          <w:bCs/>
          <w:szCs w:val="22"/>
        </w:rPr>
        <w:t xml:space="preserve"> released by the Bureau, including</w:t>
      </w:r>
      <w:r>
        <w:rPr>
          <w:bCs/>
          <w:szCs w:val="22"/>
        </w:rPr>
        <w:t xml:space="preserve"> provisions</w:t>
      </w:r>
      <w:r w:rsidRPr="00A5737D">
        <w:rPr>
          <w:bCs/>
          <w:szCs w:val="22"/>
        </w:rPr>
        <w:t xml:space="preserve"> governing the designation of information as confidential or highly confidential, challenges to designations, the procedure for objecting to the disclosure of confidential or highly confidential information,</w:t>
      </w:r>
      <w:r>
        <w:rPr>
          <w:bCs/>
          <w:szCs w:val="22"/>
        </w:rPr>
        <w:t xml:space="preserve"> and</w:t>
      </w:r>
      <w:r w:rsidRPr="00A5737D">
        <w:rPr>
          <w:bCs/>
          <w:szCs w:val="22"/>
        </w:rPr>
        <w:t xml:space="preserve"> the review of confidential and highly confidential documents.</w:t>
      </w:r>
      <w:r>
        <w:rPr>
          <w:rStyle w:val="FootnoteReference"/>
          <w:bCs/>
          <w:szCs w:val="22"/>
        </w:rPr>
        <w:footnoteReference w:id="16"/>
      </w:r>
      <w:r w:rsidRPr="00A5737D">
        <w:rPr>
          <w:bCs/>
          <w:szCs w:val="22"/>
        </w:rPr>
        <w:t xml:space="preserve">  </w:t>
      </w:r>
      <w:r w:rsidR="00362C8B">
        <w:rPr>
          <w:bCs/>
          <w:szCs w:val="22"/>
        </w:rPr>
        <w:t>In addition</w:t>
      </w:r>
      <w:r w:rsidRPr="00A5737D">
        <w:rPr>
          <w:bCs/>
          <w:szCs w:val="22"/>
        </w:rPr>
        <w:t>, we propose</w:t>
      </w:r>
      <w:r w:rsidR="00362C8B">
        <w:rPr>
          <w:bCs/>
          <w:szCs w:val="22"/>
        </w:rPr>
        <w:t>d</w:t>
      </w:r>
      <w:r w:rsidRPr="00A5737D">
        <w:rPr>
          <w:bCs/>
          <w:szCs w:val="22"/>
        </w:rPr>
        <w:t xml:space="preserve"> adopting</w:t>
      </w:r>
      <w:r>
        <w:rPr>
          <w:bCs/>
          <w:szCs w:val="22"/>
        </w:rPr>
        <w:t xml:space="preserve"> similar</w:t>
      </w:r>
      <w:r w:rsidR="001F3BF3">
        <w:rPr>
          <w:bCs/>
          <w:szCs w:val="22"/>
        </w:rPr>
        <w:t xml:space="preserve"> protective order</w:t>
      </w:r>
      <w:r>
        <w:rPr>
          <w:bCs/>
          <w:szCs w:val="22"/>
        </w:rPr>
        <w:t xml:space="preserve"> appendices, including one which contains an Acknowledgement of Confidentiality, and another which details what information and documents can be designated as highly confidential.</w:t>
      </w:r>
      <w:r>
        <w:rPr>
          <w:rStyle w:val="FootnoteReference"/>
          <w:bCs/>
          <w:szCs w:val="22"/>
        </w:rPr>
        <w:footnoteReference w:id="17"/>
      </w:r>
      <w:r w:rsidR="008B6CA4">
        <w:rPr>
          <w:bCs/>
          <w:szCs w:val="22"/>
        </w:rPr>
        <w:t xml:space="preserve">  W</w:t>
      </w:r>
      <w:r w:rsidR="00860293">
        <w:rPr>
          <w:bCs/>
          <w:szCs w:val="22"/>
        </w:rPr>
        <w:t>e received no comments on these proposals</w:t>
      </w:r>
      <w:r w:rsidR="008F3F5A">
        <w:rPr>
          <w:bCs/>
          <w:szCs w:val="22"/>
        </w:rPr>
        <w:t xml:space="preserve">, and we now adopt them </w:t>
      </w:r>
      <w:r w:rsidR="00E40D13">
        <w:rPr>
          <w:bCs/>
          <w:szCs w:val="22"/>
        </w:rPr>
        <w:t>in the attached Protective Order</w:t>
      </w:r>
      <w:bookmarkStart w:id="2" w:name="TOChere"/>
      <w:r w:rsidR="00E40D13">
        <w:rPr>
          <w:bCs/>
          <w:szCs w:val="22"/>
        </w:rPr>
        <w:t>.</w:t>
      </w:r>
    </w:p>
    <w:p w:rsidR="00D14778" w:rsidP="00D14778" w14:paraId="36E7E7EA" w14:textId="7D990764">
      <w:pPr>
        <w:spacing w:after="120"/>
        <w:ind w:firstLine="720"/>
        <w:rPr>
          <w:bCs/>
          <w:szCs w:val="22"/>
        </w:rPr>
      </w:pPr>
      <w:r>
        <w:rPr>
          <w:bCs/>
          <w:szCs w:val="22"/>
        </w:rPr>
        <w:t xml:space="preserve">In </w:t>
      </w:r>
      <w:r w:rsidR="008A2AF9">
        <w:rPr>
          <w:bCs/>
          <w:szCs w:val="22"/>
        </w:rPr>
        <w:t>its</w:t>
      </w:r>
      <w:r>
        <w:rPr>
          <w:bCs/>
          <w:szCs w:val="22"/>
        </w:rPr>
        <w:t xml:space="preserve"> reply comm</w:t>
      </w:r>
      <w:r w:rsidR="008A2AF9">
        <w:rPr>
          <w:bCs/>
          <w:szCs w:val="22"/>
        </w:rPr>
        <w:t xml:space="preserve">ents, </w:t>
      </w:r>
      <w:r w:rsidR="008A2AF9">
        <w:rPr>
          <w:bCs/>
          <w:szCs w:val="22"/>
        </w:rPr>
        <w:t>USTelecom</w:t>
      </w:r>
      <w:r w:rsidR="008A2AF9">
        <w:rPr>
          <w:bCs/>
          <w:szCs w:val="22"/>
        </w:rPr>
        <w:t xml:space="preserve"> </w:t>
      </w:r>
      <w:r w:rsidR="00D13146">
        <w:rPr>
          <w:bCs/>
          <w:szCs w:val="22"/>
        </w:rPr>
        <w:t xml:space="preserve">argues </w:t>
      </w:r>
      <w:r w:rsidR="008A2AF9">
        <w:rPr>
          <w:bCs/>
          <w:szCs w:val="22"/>
        </w:rPr>
        <w:t xml:space="preserve">that </w:t>
      </w:r>
      <w:r w:rsidR="003452F2">
        <w:rPr>
          <w:bCs/>
          <w:szCs w:val="22"/>
        </w:rPr>
        <w:t xml:space="preserve">the Bureau should ensure that “robocall mitigation plans are public by default, and only truly confidential and sensitive information is withheld from public </w:t>
      </w:r>
      <w:r w:rsidR="003452F2">
        <w:rPr>
          <w:bCs/>
          <w:szCs w:val="22"/>
        </w:rPr>
        <w:t xml:space="preserve">view,” </w:t>
      </w:r>
      <w:r w:rsidR="00231A24">
        <w:rPr>
          <w:bCs/>
          <w:szCs w:val="22"/>
        </w:rPr>
        <w:t>and asks the Bureau to “take action where providers seek overbroad confidentiality</w:t>
      </w:r>
      <w:r w:rsidR="003452F2">
        <w:rPr>
          <w:bCs/>
          <w:szCs w:val="22"/>
        </w:rPr>
        <w:t>.</w:t>
      </w:r>
      <w:r w:rsidR="00C308F7">
        <w:rPr>
          <w:bCs/>
          <w:szCs w:val="22"/>
        </w:rPr>
        <w:t>”</w:t>
      </w:r>
      <w:r>
        <w:rPr>
          <w:rStyle w:val="FootnoteReference"/>
          <w:bCs/>
          <w:szCs w:val="22"/>
        </w:rPr>
        <w:footnoteReference w:id="18"/>
      </w:r>
      <w:r w:rsidR="00231A24">
        <w:rPr>
          <w:bCs/>
          <w:szCs w:val="22"/>
        </w:rPr>
        <w:t xml:space="preserve">  </w:t>
      </w:r>
      <w:r w:rsidRPr="005E7194" w:rsidR="00FF6851">
        <w:rPr>
          <w:bCs/>
          <w:szCs w:val="22"/>
        </w:rPr>
        <w:t xml:space="preserve">We </w:t>
      </w:r>
      <w:r w:rsidR="00FF6851">
        <w:rPr>
          <w:bCs/>
          <w:szCs w:val="22"/>
        </w:rPr>
        <w:t>agree</w:t>
      </w:r>
      <w:r w:rsidR="005A3C5F">
        <w:rPr>
          <w:bCs/>
          <w:szCs w:val="22"/>
        </w:rPr>
        <w:t xml:space="preserve"> that filings which are overly redacted are </w:t>
      </w:r>
      <w:r w:rsidR="00802DED">
        <w:rPr>
          <w:bCs/>
          <w:szCs w:val="22"/>
        </w:rPr>
        <w:t>not appropriate</w:t>
      </w:r>
      <w:r w:rsidR="00494652">
        <w:rPr>
          <w:bCs/>
          <w:szCs w:val="22"/>
        </w:rPr>
        <w:t xml:space="preserve"> and </w:t>
      </w:r>
      <w:r w:rsidR="006F3F41">
        <w:rPr>
          <w:bCs/>
          <w:szCs w:val="22"/>
        </w:rPr>
        <w:t>adopt in</w:t>
      </w:r>
      <w:r w:rsidRPr="005E7194" w:rsidR="00FF6851">
        <w:rPr>
          <w:bCs/>
          <w:szCs w:val="22"/>
        </w:rPr>
        <w:t xml:space="preserve"> </w:t>
      </w:r>
      <w:r w:rsidR="00FF6851">
        <w:rPr>
          <w:bCs/>
          <w:szCs w:val="22"/>
        </w:rPr>
        <w:t>the attached Protective Order</w:t>
      </w:r>
      <w:r w:rsidR="00494652">
        <w:rPr>
          <w:bCs/>
          <w:szCs w:val="22"/>
        </w:rPr>
        <w:t xml:space="preserve"> </w:t>
      </w:r>
      <w:r w:rsidR="005A3C5F">
        <w:rPr>
          <w:bCs/>
          <w:szCs w:val="22"/>
        </w:rPr>
        <w:t>a process for addressing these filings</w:t>
      </w:r>
      <w:r w:rsidR="00FF6851">
        <w:rPr>
          <w:bCs/>
          <w:szCs w:val="22"/>
        </w:rPr>
        <w:t>.</w:t>
      </w:r>
      <w:r w:rsidR="00CC5066">
        <w:rPr>
          <w:bCs/>
          <w:szCs w:val="22"/>
        </w:rPr>
        <w:t xml:space="preserve">  </w:t>
      </w:r>
      <w:r w:rsidR="00475FDB">
        <w:rPr>
          <w:bCs/>
          <w:szCs w:val="22"/>
        </w:rPr>
        <w:t>U</w:t>
      </w:r>
      <w:r w:rsidR="00231A24">
        <w:rPr>
          <w:bCs/>
          <w:szCs w:val="22"/>
        </w:rPr>
        <w:t xml:space="preserve">nder this </w:t>
      </w:r>
      <w:r w:rsidR="005E2A6E">
        <w:rPr>
          <w:bCs/>
          <w:szCs w:val="22"/>
        </w:rPr>
        <w:t>P</w:t>
      </w:r>
      <w:r w:rsidR="00231A24">
        <w:rPr>
          <w:bCs/>
          <w:szCs w:val="22"/>
        </w:rPr>
        <w:t xml:space="preserve">rotective </w:t>
      </w:r>
      <w:r w:rsidR="005E2A6E">
        <w:rPr>
          <w:bCs/>
          <w:szCs w:val="22"/>
        </w:rPr>
        <w:t>O</w:t>
      </w:r>
      <w:r w:rsidR="00231A24">
        <w:rPr>
          <w:bCs/>
          <w:szCs w:val="22"/>
        </w:rPr>
        <w:t xml:space="preserve">rder and our confidentiality rules, a filing is “public by default” and </w:t>
      </w:r>
      <w:r w:rsidR="005C4443">
        <w:rPr>
          <w:bCs/>
          <w:szCs w:val="22"/>
        </w:rPr>
        <w:t xml:space="preserve">treated as </w:t>
      </w:r>
      <w:r w:rsidR="00231A24">
        <w:rPr>
          <w:bCs/>
          <w:szCs w:val="22"/>
        </w:rPr>
        <w:t xml:space="preserve">confidential </w:t>
      </w:r>
      <w:r w:rsidR="005C4443">
        <w:rPr>
          <w:bCs/>
          <w:szCs w:val="22"/>
        </w:rPr>
        <w:t xml:space="preserve">only </w:t>
      </w:r>
      <w:r w:rsidR="00231A24">
        <w:rPr>
          <w:bCs/>
          <w:szCs w:val="22"/>
        </w:rPr>
        <w:t>upon request.</w:t>
      </w:r>
      <w:r w:rsidR="00066164">
        <w:rPr>
          <w:bCs/>
          <w:szCs w:val="22"/>
        </w:rPr>
        <w:t xml:space="preserve">  </w:t>
      </w:r>
      <w:r w:rsidR="001162D4">
        <w:rPr>
          <w:bCs/>
          <w:szCs w:val="22"/>
        </w:rPr>
        <w:t>This means unredacted</w:t>
      </w:r>
      <w:r w:rsidR="00066164">
        <w:rPr>
          <w:bCs/>
          <w:szCs w:val="22"/>
        </w:rPr>
        <w:t xml:space="preserve"> information included in </w:t>
      </w:r>
      <w:r w:rsidR="001162D4">
        <w:rPr>
          <w:bCs/>
          <w:szCs w:val="22"/>
        </w:rPr>
        <w:t xml:space="preserve">non-confidential </w:t>
      </w:r>
      <w:r w:rsidR="00066164">
        <w:rPr>
          <w:bCs/>
          <w:szCs w:val="22"/>
        </w:rPr>
        <w:t>robocall mitigation plan</w:t>
      </w:r>
      <w:r w:rsidR="00952277">
        <w:rPr>
          <w:bCs/>
          <w:szCs w:val="22"/>
        </w:rPr>
        <w:t>s</w:t>
      </w:r>
      <w:r w:rsidR="001162D4">
        <w:rPr>
          <w:bCs/>
          <w:szCs w:val="22"/>
        </w:rPr>
        <w:t xml:space="preserve"> </w:t>
      </w:r>
      <w:r w:rsidR="003551BD">
        <w:rPr>
          <w:bCs/>
          <w:szCs w:val="22"/>
        </w:rPr>
        <w:t xml:space="preserve">and information submitted </w:t>
      </w:r>
      <w:r w:rsidR="00821C35">
        <w:rPr>
          <w:bCs/>
          <w:szCs w:val="22"/>
        </w:rPr>
        <w:t xml:space="preserve">to the database </w:t>
      </w:r>
      <w:r w:rsidR="003551BD">
        <w:rPr>
          <w:bCs/>
          <w:szCs w:val="22"/>
        </w:rPr>
        <w:t>outside of</w:t>
      </w:r>
      <w:r w:rsidR="00D30F43">
        <w:rPr>
          <w:bCs/>
          <w:szCs w:val="22"/>
        </w:rPr>
        <w:t xml:space="preserve"> </w:t>
      </w:r>
      <w:r w:rsidR="003551BD">
        <w:rPr>
          <w:bCs/>
          <w:szCs w:val="22"/>
        </w:rPr>
        <w:t>program descriptio</w:t>
      </w:r>
      <w:r w:rsidR="00952277">
        <w:rPr>
          <w:bCs/>
          <w:szCs w:val="22"/>
        </w:rPr>
        <w:t>ns</w:t>
      </w:r>
      <w:r w:rsidR="003551BD">
        <w:rPr>
          <w:bCs/>
          <w:szCs w:val="22"/>
        </w:rPr>
        <w:t xml:space="preserve"> </w:t>
      </w:r>
      <w:r w:rsidR="001162D4">
        <w:rPr>
          <w:bCs/>
          <w:szCs w:val="22"/>
        </w:rPr>
        <w:t>can be viewed by the public.</w:t>
      </w:r>
      <w:r w:rsidR="00547F39">
        <w:rPr>
          <w:bCs/>
          <w:szCs w:val="22"/>
        </w:rPr>
        <w:t xml:space="preserve"> </w:t>
      </w:r>
      <w:r w:rsidR="00231A24">
        <w:rPr>
          <w:bCs/>
          <w:szCs w:val="22"/>
        </w:rPr>
        <w:t xml:space="preserve"> </w:t>
      </w:r>
      <w:r w:rsidR="00C70FCE">
        <w:rPr>
          <w:bCs/>
          <w:szCs w:val="22"/>
        </w:rPr>
        <w:t>W</w:t>
      </w:r>
      <w:r w:rsidR="00231A24">
        <w:rPr>
          <w:bCs/>
          <w:szCs w:val="22"/>
        </w:rPr>
        <w:t xml:space="preserve">hen </w:t>
      </w:r>
      <w:r w:rsidR="00FF6851">
        <w:rPr>
          <w:bCs/>
          <w:szCs w:val="22"/>
        </w:rPr>
        <w:t xml:space="preserve">a party requests </w:t>
      </w:r>
      <w:r w:rsidR="00231A24">
        <w:rPr>
          <w:bCs/>
          <w:szCs w:val="22"/>
        </w:rPr>
        <w:t xml:space="preserve">confidentiality, the </w:t>
      </w:r>
      <w:r w:rsidR="00463761">
        <w:rPr>
          <w:bCs/>
          <w:szCs w:val="22"/>
        </w:rPr>
        <w:t xml:space="preserve">Protective Order </w:t>
      </w:r>
      <w:r w:rsidR="00231A24">
        <w:rPr>
          <w:bCs/>
          <w:szCs w:val="22"/>
        </w:rPr>
        <w:t>allows</w:t>
      </w:r>
      <w:r w:rsidR="00463761">
        <w:rPr>
          <w:bCs/>
          <w:szCs w:val="22"/>
        </w:rPr>
        <w:t xml:space="preserve"> third party challenges and permits</w:t>
      </w:r>
      <w:r w:rsidR="00231A24">
        <w:rPr>
          <w:bCs/>
          <w:szCs w:val="22"/>
        </w:rPr>
        <w:t xml:space="preserve"> the Commission to</w:t>
      </w:r>
      <w:r w:rsidR="00072B4F">
        <w:rPr>
          <w:bCs/>
          <w:szCs w:val="22"/>
        </w:rPr>
        <w:t xml:space="preserve"> initiate review of </w:t>
      </w:r>
      <w:r w:rsidR="005C4443">
        <w:rPr>
          <w:bCs/>
          <w:szCs w:val="22"/>
        </w:rPr>
        <w:t xml:space="preserve">the </w:t>
      </w:r>
      <w:r w:rsidR="00072B4F">
        <w:rPr>
          <w:bCs/>
          <w:szCs w:val="22"/>
        </w:rPr>
        <w:t>request on its own.</w:t>
      </w:r>
      <w:r>
        <w:rPr>
          <w:rStyle w:val="FootnoteReference"/>
          <w:bCs/>
          <w:szCs w:val="22"/>
        </w:rPr>
        <w:footnoteReference w:id="19"/>
      </w:r>
      <w:r w:rsidR="003452F2">
        <w:rPr>
          <w:bCs/>
          <w:szCs w:val="22"/>
        </w:rPr>
        <w:t xml:space="preserve"> </w:t>
      </w:r>
      <w:r w:rsidR="00834753">
        <w:rPr>
          <w:bCs/>
          <w:szCs w:val="22"/>
        </w:rPr>
        <w:t xml:space="preserve"> </w:t>
      </w:r>
      <w:r w:rsidR="00463761">
        <w:rPr>
          <w:bCs/>
          <w:szCs w:val="22"/>
        </w:rPr>
        <w:t xml:space="preserve">We will not hesitate to act </w:t>
      </w:r>
      <w:r w:rsidR="008B3DD6">
        <w:rPr>
          <w:bCs/>
          <w:szCs w:val="22"/>
        </w:rPr>
        <w:t>should we identify improper confidentiality requests</w:t>
      </w:r>
      <w:r w:rsidR="00072B4F">
        <w:rPr>
          <w:bCs/>
          <w:szCs w:val="22"/>
        </w:rPr>
        <w:t>.</w:t>
      </w:r>
    </w:p>
    <w:bookmarkEnd w:id="2"/>
    <w:p w:rsidR="00F46B6C" w:rsidP="00EB35CA" w14:paraId="6B4739BC" w14:textId="2AD1382A">
      <w:pPr>
        <w:widowControl/>
        <w:spacing w:after="120"/>
        <w:ind w:firstLine="720"/>
        <w:rPr>
          <w:color w:val="000000"/>
          <w:szCs w:val="22"/>
        </w:rPr>
      </w:pPr>
      <w:r>
        <w:rPr>
          <w:i/>
          <w:iCs/>
          <w:color w:val="000000"/>
          <w:szCs w:val="22"/>
        </w:rPr>
        <w:t>Contact Information</w:t>
      </w:r>
      <w:r>
        <w:rPr>
          <w:color w:val="000000"/>
          <w:szCs w:val="22"/>
        </w:rPr>
        <w:t xml:space="preserve">.  </w:t>
      </w:r>
      <w:r w:rsidRPr="00EC6281" w:rsidR="00F307DA">
        <w:rPr>
          <w:color w:val="000000"/>
          <w:szCs w:val="22"/>
        </w:rPr>
        <w:t xml:space="preserve">For further information, please contact Michael Nemcik, Competition Policy Division, Wireline Competition Bureau, at (202) 418-2343 or by email at </w:t>
      </w:r>
      <w:hyperlink r:id="rId5" w:history="1">
        <w:r w:rsidRPr="00EC6281" w:rsidR="00F307DA">
          <w:rPr>
            <w:rStyle w:val="Hyperlink"/>
            <w:szCs w:val="22"/>
          </w:rPr>
          <w:t>Michael.Nemcik@fcc.gov</w:t>
        </w:r>
      </w:hyperlink>
      <w:r w:rsidRPr="00EC6281" w:rsidR="00F307DA">
        <w:rPr>
          <w:color w:val="000000"/>
          <w:szCs w:val="22"/>
        </w:rPr>
        <w:t>.</w:t>
      </w:r>
    </w:p>
    <w:p w:rsidR="00E846CD" w:rsidP="00E846CD" w14:paraId="53A65F9D" w14:textId="5E8B7B4C">
      <w:pPr>
        <w:widowControl/>
        <w:spacing w:after="120"/>
        <w:rPr>
          <w:color w:val="000000"/>
          <w:szCs w:val="22"/>
        </w:rPr>
      </w:pPr>
    </w:p>
    <w:p w:rsidR="00E846CD" w:rsidRPr="00E846CD" w:rsidP="00E846CD" w14:paraId="2805EE8C" w14:textId="42CAA6E2">
      <w:pPr>
        <w:widowControl/>
        <w:spacing w:after="120"/>
        <w:jc w:val="center"/>
        <w:rPr>
          <w:b/>
          <w:bCs/>
          <w:color w:val="000000"/>
          <w:szCs w:val="22"/>
        </w:rPr>
      </w:pPr>
      <w:r>
        <w:rPr>
          <w:b/>
          <w:bCs/>
          <w:color w:val="000000"/>
          <w:szCs w:val="22"/>
        </w:rPr>
        <w:t>- FCC -</w:t>
      </w:r>
    </w:p>
    <w:p w:rsidR="001F7C93" w14:paraId="501BBB8F" w14:textId="56255F47">
      <w:pPr>
        <w:widowControl/>
        <w:rPr>
          <w:color w:val="000000"/>
          <w:szCs w:val="22"/>
        </w:rPr>
      </w:pPr>
      <w:r>
        <w:rPr>
          <w:color w:val="000000"/>
          <w:szCs w:val="22"/>
        </w:rPr>
        <w:br w:type="page"/>
      </w:r>
    </w:p>
    <w:p w:rsidR="00F46B6C" w:rsidP="00F46B6C" w14:paraId="6A2279E7" w14:textId="1E078FED">
      <w:pPr>
        <w:widowControl/>
        <w:spacing w:after="120"/>
        <w:jc w:val="center"/>
        <w:rPr>
          <w:b/>
          <w:bCs/>
          <w:color w:val="000000"/>
          <w:szCs w:val="22"/>
        </w:rPr>
      </w:pPr>
      <w:r>
        <w:rPr>
          <w:b/>
          <w:bCs/>
          <w:color w:val="000000"/>
          <w:szCs w:val="22"/>
        </w:rPr>
        <w:t>ATTACHMENT</w:t>
      </w:r>
    </w:p>
    <w:p w:rsidR="00051A1F" w:rsidRPr="00051A1F" w:rsidP="00051A1F" w14:paraId="14606DD4" w14:textId="77777777">
      <w:pPr>
        <w:jc w:val="center"/>
        <w:rPr>
          <w:b/>
        </w:rPr>
      </w:pPr>
      <w:r w:rsidRPr="00051A1F">
        <w:rPr>
          <w:b/>
        </w:rPr>
        <w:t>Before the</w:t>
      </w:r>
    </w:p>
    <w:p w:rsidR="00051A1F" w:rsidRPr="00051A1F" w:rsidP="00051A1F" w14:paraId="5262293E" w14:textId="77777777">
      <w:pPr>
        <w:jc w:val="center"/>
        <w:rPr>
          <w:b/>
        </w:rPr>
      </w:pPr>
      <w:r w:rsidRPr="00051A1F">
        <w:rPr>
          <w:b/>
        </w:rPr>
        <w:t>Federal Communications Commission</w:t>
      </w:r>
    </w:p>
    <w:p w:rsidR="00051A1F" w:rsidRPr="00051A1F" w:rsidP="00051A1F" w14:paraId="1AD51774" w14:textId="77777777">
      <w:pPr>
        <w:jc w:val="center"/>
      </w:pPr>
      <w:r w:rsidRPr="00051A1F">
        <w:rPr>
          <w:b/>
        </w:rPr>
        <w:t>Washington, D.C. 20554</w:t>
      </w:r>
    </w:p>
    <w:tbl>
      <w:tblPr>
        <w:tblW w:w="18900" w:type="dxa"/>
        <w:tblInd w:w="-108" w:type="dxa"/>
        <w:tblLayout w:type="fixed"/>
        <w:tblLook w:val="0000"/>
      </w:tblPr>
      <w:tblGrid>
        <w:gridCol w:w="108"/>
        <w:gridCol w:w="4590"/>
        <w:gridCol w:w="108"/>
        <w:gridCol w:w="522"/>
        <w:gridCol w:w="4176"/>
        <w:gridCol w:w="72"/>
        <w:gridCol w:w="4626"/>
        <w:gridCol w:w="4698"/>
      </w:tblGrid>
      <w:tr w14:paraId="3B0E5846" w14:textId="77777777" w:rsidTr="00981068">
        <w:tblPrEx>
          <w:tblW w:w="18900" w:type="dxa"/>
          <w:tblInd w:w="-108" w:type="dxa"/>
          <w:tblLayout w:type="fixed"/>
          <w:tblLook w:val="0000"/>
        </w:tblPrEx>
        <w:trPr>
          <w:gridBefore w:val="1"/>
          <w:wBefore w:w="108" w:type="dxa"/>
        </w:trPr>
        <w:tc>
          <w:tcPr>
            <w:tcW w:w="4698" w:type="dxa"/>
            <w:gridSpan w:val="2"/>
          </w:tcPr>
          <w:p w:rsidR="00051A1F" w:rsidRPr="00051A1F" w:rsidP="00051A1F" w14:paraId="7BF16E24" w14:textId="77777777"/>
        </w:tc>
        <w:tc>
          <w:tcPr>
            <w:tcW w:w="4698" w:type="dxa"/>
            <w:gridSpan w:val="2"/>
          </w:tcPr>
          <w:p w:rsidR="00051A1F" w:rsidRPr="00051A1F" w:rsidP="00051A1F" w14:paraId="781B5356" w14:textId="77777777">
            <w:pPr>
              <w:rPr>
                <w:b/>
              </w:rPr>
            </w:pPr>
          </w:p>
        </w:tc>
        <w:tc>
          <w:tcPr>
            <w:tcW w:w="4698" w:type="dxa"/>
            <w:gridSpan w:val="2"/>
          </w:tcPr>
          <w:p w:rsidR="00051A1F" w:rsidRPr="00051A1F" w:rsidP="00051A1F" w14:paraId="4B58F89C" w14:textId="77777777">
            <w:pPr>
              <w:snapToGrid w:val="0"/>
            </w:pPr>
          </w:p>
        </w:tc>
        <w:tc>
          <w:tcPr>
            <w:tcW w:w="4698" w:type="dxa"/>
          </w:tcPr>
          <w:p w:rsidR="00051A1F" w:rsidRPr="00051A1F" w:rsidP="00051A1F" w14:paraId="2F4667F1" w14:textId="77777777">
            <w:pPr>
              <w:rPr>
                <w:b/>
              </w:rPr>
            </w:pPr>
          </w:p>
        </w:tc>
      </w:tr>
      <w:tr w14:paraId="2FF93337" w14:textId="77777777" w:rsidTr="00981068">
        <w:tblPrEx>
          <w:tblW w:w="18900" w:type="dxa"/>
          <w:tblInd w:w="-108" w:type="dxa"/>
          <w:tblLayout w:type="fixed"/>
          <w:tblLook w:val="0000"/>
        </w:tblPrEx>
        <w:trPr>
          <w:gridBefore w:val="1"/>
          <w:wBefore w:w="108" w:type="dxa"/>
        </w:trPr>
        <w:tc>
          <w:tcPr>
            <w:tcW w:w="4698" w:type="dxa"/>
            <w:gridSpan w:val="2"/>
          </w:tcPr>
          <w:p w:rsidR="00051A1F" w:rsidRPr="00051A1F" w:rsidP="00051A1F" w14:paraId="305D5976" w14:textId="77777777"/>
        </w:tc>
        <w:tc>
          <w:tcPr>
            <w:tcW w:w="4698" w:type="dxa"/>
            <w:gridSpan w:val="2"/>
          </w:tcPr>
          <w:p w:rsidR="00051A1F" w:rsidRPr="00051A1F" w:rsidP="00051A1F" w14:paraId="083DCA27" w14:textId="77777777">
            <w:pPr>
              <w:rPr>
                <w:b/>
              </w:rPr>
            </w:pPr>
          </w:p>
        </w:tc>
        <w:tc>
          <w:tcPr>
            <w:tcW w:w="4698" w:type="dxa"/>
            <w:gridSpan w:val="2"/>
          </w:tcPr>
          <w:p w:rsidR="00051A1F" w:rsidRPr="00051A1F" w:rsidP="00051A1F" w14:paraId="4580FC2E" w14:textId="77777777">
            <w:pPr>
              <w:snapToGrid w:val="0"/>
            </w:pPr>
          </w:p>
        </w:tc>
        <w:tc>
          <w:tcPr>
            <w:tcW w:w="4698" w:type="dxa"/>
          </w:tcPr>
          <w:p w:rsidR="00051A1F" w:rsidRPr="00051A1F" w:rsidP="00051A1F" w14:paraId="00574B87" w14:textId="77777777">
            <w:pPr>
              <w:rPr>
                <w:b/>
              </w:rPr>
            </w:pPr>
          </w:p>
        </w:tc>
      </w:tr>
      <w:tr w14:paraId="7F0E9D88" w14:textId="77777777" w:rsidTr="00981068">
        <w:tblPrEx>
          <w:tblW w:w="18900" w:type="dxa"/>
          <w:tblInd w:w="-108" w:type="dxa"/>
          <w:tblLayout w:type="fixed"/>
          <w:tblLook w:val="0000"/>
        </w:tblPrEx>
        <w:trPr>
          <w:gridAfter w:val="2"/>
          <w:wAfter w:w="9324" w:type="dxa"/>
        </w:trPr>
        <w:tc>
          <w:tcPr>
            <w:tcW w:w="4698" w:type="dxa"/>
            <w:gridSpan w:val="2"/>
          </w:tcPr>
          <w:p w:rsidR="00051A1F" w:rsidRPr="00051A1F" w:rsidP="00051A1F" w14:paraId="062E8F2A" w14:textId="77777777">
            <w:pPr>
              <w:tabs>
                <w:tab w:val="center" w:pos="4680"/>
              </w:tabs>
              <w:suppressAutoHyphens/>
              <w:rPr>
                <w:spacing w:val="-2"/>
              </w:rPr>
            </w:pPr>
            <w:r w:rsidRPr="00051A1F">
              <w:rPr>
                <w:spacing w:val="-2"/>
              </w:rPr>
              <w:t>In the Matter of</w:t>
            </w:r>
          </w:p>
          <w:p w:rsidR="00051A1F" w:rsidRPr="00051A1F" w:rsidP="00051A1F" w14:paraId="4336F960" w14:textId="77777777">
            <w:pPr>
              <w:tabs>
                <w:tab w:val="center" w:pos="4680"/>
              </w:tabs>
              <w:suppressAutoHyphens/>
              <w:rPr>
                <w:spacing w:val="-2"/>
              </w:rPr>
            </w:pPr>
          </w:p>
          <w:p w:rsidR="00051A1F" w:rsidRPr="00051A1F" w:rsidP="00051A1F" w14:paraId="2F09BDC7" w14:textId="77777777">
            <w:pPr>
              <w:tabs>
                <w:tab w:val="center" w:pos="4680"/>
              </w:tabs>
              <w:suppressAutoHyphens/>
              <w:rPr>
                <w:spacing w:val="-2"/>
              </w:rPr>
            </w:pPr>
            <w:r w:rsidRPr="00051A1F">
              <w:rPr>
                <w:spacing w:val="-2"/>
              </w:rPr>
              <w:t>Call Authentication Trust Anchor</w:t>
            </w:r>
          </w:p>
        </w:tc>
        <w:tc>
          <w:tcPr>
            <w:tcW w:w="630" w:type="dxa"/>
            <w:gridSpan w:val="2"/>
          </w:tcPr>
          <w:p w:rsidR="00051A1F" w:rsidRPr="00051A1F" w:rsidP="00051A1F" w14:paraId="23C25655" w14:textId="77777777">
            <w:pPr>
              <w:tabs>
                <w:tab w:val="center" w:pos="4680"/>
              </w:tabs>
              <w:suppressAutoHyphens/>
              <w:rPr>
                <w:b/>
                <w:spacing w:val="-2"/>
              </w:rPr>
            </w:pPr>
            <w:r w:rsidRPr="00051A1F">
              <w:rPr>
                <w:b/>
                <w:spacing w:val="-2"/>
              </w:rPr>
              <w:t>)</w:t>
            </w:r>
          </w:p>
          <w:p w:rsidR="00051A1F" w:rsidRPr="00051A1F" w:rsidP="00051A1F" w14:paraId="7176C8F4" w14:textId="77777777">
            <w:pPr>
              <w:tabs>
                <w:tab w:val="center" w:pos="4680"/>
              </w:tabs>
              <w:suppressAutoHyphens/>
              <w:rPr>
                <w:b/>
                <w:spacing w:val="-2"/>
              </w:rPr>
            </w:pPr>
            <w:r w:rsidRPr="00051A1F">
              <w:rPr>
                <w:b/>
                <w:spacing w:val="-2"/>
              </w:rPr>
              <w:t>)</w:t>
            </w:r>
          </w:p>
          <w:p w:rsidR="00051A1F" w:rsidRPr="00051A1F" w:rsidP="00051A1F" w14:paraId="75081CD1" w14:textId="77777777">
            <w:pPr>
              <w:tabs>
                <w:tab w:val="center" w:pos="4680"/>
              </w:tabs>
              <w:suppressAutoHyphens/>
              <w:rPr>
                <w:b/>
                <w:spacing w:val="-2"/>
              </w:rPr>
            </w:pPr>
            <w:r w:rsidRPr="00051A1F">
              <w:rPr>
                <w:b/>
                <w:spacing w:val="-2"/>
              </w:rPr>
              <w:t>)</w:t>
            </w:r>
          </w:p>
          <w:p w:rsidR="00051A1F" w:rsidRPr="00051A1F" w:rsidP="00051A1F" w14:paraId="53467895" w14:textId="77777777">
            <w:pPr>
              <w:tabs>
                <w:tab w:val="center" w:pos="4680"/>
              </w:tabs>
              <w:suppressAutoHyphens/>
              <w:rPr>
                <w:spacing w:val="-2"/>
              </w:rPr>
            </w:pPr>
          </w:p>
        </w:tc>
        <w:tc>
          <w:tcPr>
            <w:tcW w:w="4248" w:type="dxa"/>
            <w:gridSpan w:val="2"/>
          </w:tcPr>
          <w:p w:rsidR="00051A1F" w:rsidRPr="00051A1F" w:rsidP="00051A1F" w14:paraId="518CD34E" w14:textId="77777777">
            <w:pPr>
              <w:tabs>
                <w:tab w:val="center" w:pos="4680"/>
              </w:tabs>
              <w:suppressAutoHyphens/>
              <w:rPr>
                <w:spacing w:val="-2"/>
              </w:rPr>
            </w:pPr>
          </w:p>
          <w:p w:rsidR="00051A1F" w:rsidRPr="00051A1F" w:rsidP="00051A1F" w14:paraId="229335BF" w14:textId="46A38919">
            <w:pPr>
              <w:tabs>
                <w:tab w:val="center" w:pos="4680"/>
              </w:tabs>
              <w:suppressAutoHyphens/>
              <w:rPr>
                <w:spacing w:val="-2"/>
              </w:rPr>
            </w:pPr>
            <w:r w:rsidRPr="00051A1F">
              <w:rPr>
                <w:spacing w:val="-2"/>
              </w:rPr>
              <w:t>WC Docket No</w:t>
            </w:r>
            <w:r w:rsidR="00A02FF6">
              <w:rPr>
                <w:spacing w:val="-2"/>
              </w:rPr>
              <w:t>.</w:t>
            </w:r>
            <w:r w:rsidRPr="00051A1F">
              <w:rPr>
                <w:spacing w:val="-2"/>
              </w:rPr>
              <w:t xml:space="preserve"> 17-97</w:t>
            </w:r>
          </w:p>
          <w:p w:rsidR="00051A1F" w:rsidRPr="00051A1F" w:rsidP="00051A1F" w14:paraId="0481B522" w14:textId="77777777">
            <w:pPr>
              <w:tabs>
                <w:tab w:val="center" w:pos="4680"/>
              </w:tabs>
              <w:suppressAutoHyphens/>
              <w:rPr>
                <w:spacing w:val="-2"/>
              </w:rPr>
            </w:pPr>
          </w:p>
        </w:tc>
      </w:tr>
    </w:tbl>
    <w:p w:rsidR="00051A1F" w:rsidRPr="00051A1F" w:rsidP="00051A1F" w14:paraId="6EBE75D8" w14:textId="77777777">
      <w:pPr>
        <w:snapToGrid w:val="0"/>
        <w:jc w:val="center"/>
        <w:rPr>
          <w:b/>
          <w:bCs/>
        </w:rPr>
      </w:pPr>
    </w:p>
    <w:p w:rsidR="00051A1F" w:rsidRPr="00051A1F" w:rsidP="00051A1F" w14:paraId="1BBBE106" w14:textId="77777777">
      <w:pPr>
        <w:snapToGrid w:val="0"/>
        <w:jc w:val="center"/>
        <w:rPr>
          <w:b/>
          <w:bCs/>
        </w:rPr>
      </w:pPr>
      <w:r w:rsidRPr="00051A1F">
        <w:rPr>
          <w:b/>
          <w:bCs/>
        </w:rPr>
        <w:t>PROTECTIVE ORDER</w:t>
      </w:r>
    </w:p>
    <w:p w:rsidR="00051A1F" w:rsidRPr="00051A1F" w:rsidP="00051A1F" w14:paraId="11B458E8" w14:textId="77777777">
      <w:pPr>
        <w:snapToGrid w:val="0"/>
        <w:jc w:val="center"/>
        <w:rPr>
          <w:b/>
          <w:bCs/>
        </w:rPr>
      </w:pPr>
    </w:p>
    <w:p w:rsidR="00CD254A" w:rsidP="00CD254A" w14:paraId="7D38ECE6" w14:textId="06B6F23E">
      <w:pPr>
        <w:tabs>
          <w:tab w:val="left" w:pos="720"/>
          <w:tab w:val="right" w:pos="9360"/>
        </w:tabs>
        <w:suppressAutoHyphens/>
        <w:spacing w:line="227" w:lineRule="auto"/>
        <w:rPr>
          <w:spacing w:val="-2"/>
        </w:rPr>
      </w:pPr>
      <w:r>
        <w:rPr>
          <w:b/>
          <w:spacing w:val="-2"/>
        </w:rPr>
        <w:t>Adopted:  October 14, 2021</w:t>
      </w:r>
      <w:r>
        <w:rPr>
          <w:b/>
          <w:spacing w:val="-2"/>
        </w:rPr>
        <w:tab/>
        <w:t>Released:  October 14, 2021</w:t>
      </w:r>
    </w:p>
    <w:p w:rsidR="00051A1F" w:rsidRPr="00051A1F" w:rsidP="00051A1F" w14:paraId="3BFF0780" w14:textId="77777777">
      <w:pPr>
        <w:spacing w:after="120"/>
      </w:pPr>
    </w:p>
    <w:p w:rsidR="00051A1F" w:rsidRPr="00051A1F" w:rsidP="00051A1F" w14:paraId="41CF92F7" w14:textId="77777777">
      <w:pPr>
        <w:snapToGrid w:val="0"/>
      </w:pPr>
      <w:r w:rsidRPr="00051A1F">
        <w:t xml:space="preserve">By the Chief, Wireline Competition Bureau:  </w:t>
      </w:r>
    </w:p>
    <w:p w:rsidR="00051A1F" w:rsidRPr="00051A1F" w:rsidP="00051A1F" w14:paraId="5345E2EC" w14:textId="77777777">
      <w:pPr>
        <w:snapToGrid w:val="0"/>
      </w:pPr>
    </w:p>
    <w:p w:rsidR="00051A1F" w:rsidRPr="00051A1F" w:rsidP="0099792A" w14:paraId="3B1F65BB" w14:textId="4ED12A81">
      <w:pPr>
        <w:numPr>
          <w:ilvl w:val="0"/>
          <w:numId w:val="7"/>
        </w:numPr>
        <w:tabs>
          <w:tab w:val="clear" w:pos="1080"/>
          <w:tab w:val="num" w:pos="1440"/>
        </w:tabs>
        <w:spacing w:after="120"/>
      </w:pPr>
      <w:r w:rsidRPr="00051A1F">
        <w:t>In this Protective Order, we set forth procedures to (</w:t>
      </w:r>
      <w:r w:rsidRPr="00051A1F">
        <w:t>i</w:t>
      </w:r>
      <w:r w:rsidRPr="00051A1F">
        <w:t>) limit access to proprietary or confidential information that may be filed in voice service providers’ robocall mitigation programs and (ii) more strictly limit access to certain particularly sensitive information.  We find that allowing limited access to sensitive materials pursuant to the procedures set forth in this Protective Order balances the Commission’s goals of promoting transparency in robocall mitigation efforts and protecting providers’ sensitive information both from competitors and from bad actors attempting to circumvent these mitigation efforts.</w:t>
      </w:r>
      <w:r>
        <w:rPr>
          <w:sz w:val="20"/>
          <w:vertAlign w:val="superscript"/>
        </w:rPr>
        <w:footnoteReference w:id="20"/>
      </w:r>
      <w:r w:rsidRPr="00051A1F">
        <w:t xml:space="preserve">  </w:t>
      </w:r>
      <w:r w:rsidRPr="00181522" w:rsidR="00181522">
        <w:rPr>
          <w:bCs/>
        </w:rPr>
        <w:t xml:space="preserve">We </w:t>
      </w:r>
      <w:r w:rsidR="00181522">
        <w:rPr>
          <w:bCs/>
        </w:rPr>
        <w:t>also clarify</w:t>
      </w:r>
      <w:r w:rsidRPr="00181522" w:rsidR="00181522">
        <w:rPr>
          <w:bCs/>
        </w:rPr>
        <w:t xml:space="preserve"> that implementation certifications, contact information, and other information not included in robocall mitigation program descriptions submitted to the Robocall Mitigation Database are public and cannot be marked as confidential.</w:t>
      </w:r>
      <w:r w:rsidR="00181522">
        <w:rPr>
          <w:bCs/>
        </w:rPr>
        <w:t xml:space="preserve">  </w:t>
      </w:r>
      <w:r w:rsidRPr="00051A1F">
        <w:t>Accordingly, sensibly balancing the public and private interests involved, we conclude that these procedures serve the public interest and adopting them “best conduce[s] to the proper dispatch of the Commission’s business and to the ends of justice.”</w:t>
      </w:r>
      <w:r>
        <w:rPr>
          <w:vertAlign w:val="superscript"/>
        </w:rPr>
        <w:footnoteReference w:id="21"/>
      </w:r>
      <w:bookmarkStart w:id="3" w:name="_Ref287958855"/>
      <w:r w:rsidR="00181522">
        <w:t xml:space="preserve">  </w:t>
      </w:r>
    </w:p>
    <w:p w:rsidR="00051A1F" w:rsidRPr="00051A1F" w:rsidP="00051A1F" w14:paraId="3E8E8349" w14:textId="77777777">
      <w:pPr>
        <w:numPr>
          <w:ilvl w:val="0"/>
          <w:numId w:val="2"/>
        </w:numPr>
        <w:tabs>
          <w:tab w:val="clear" w:pos="1080"/>
          <w:tab w:val="num" w:pos="1440"/>
        </w:tabs>
        <w:spacing w:after="120"/>
        <w:rPr>
          <w:szCs w:val="22"/>
        </w:rPr>
      </w:pPr>
      <w:r w:rsidRPr="00051A1F">
        <w:rPr>
          <w:i/>
          <w:iCs/>
        </w:rPr>
        <w:t>Definitions.</w:t>
      </w:r>
      <w:r w:rsidRPr="00051A1F">
        <w:t xml:space="preserve">  As used herein, </w:t>
      </w:r>
      <w:r w:rsidRPr="00051A1F">
        <w:rPr>
          <w:szCs w:val="22"/>
        </w:rPr>
        <w:t>capitalized</w:t>
      </w:r>
      <w:r w:rsidRPr="00051A1F">
        <w:t xml:space="preserve"> terms not otherwise defined in this Protective Order shall have the following meanings:</w:t>
      </w:r>
      <w:bookmarkEnd w:id="3"/>
    </w:p>
    <w:p w:rsidR="00051A1F" w:rsidRPr="00051A1F" w:rsidP="00051A1F" w14:paraId="7C4F64E0" w14:textId="77777777">
      <w:pPr>
        <w:snapToGrid w:val="0"/>
        <w:spacing w:after="120" w:line="259" w:lineRule="auto"/>
        <w:ind w:firstLine="720"/>
      </w:pPr>
      <w:r w:rsidRPr="00051A1F">
        <w:t>“Acknowledgment” means the Acknowledgment of Confidentiality attached as Appendix A hereto.</w:t>
      </w:r>
    </w:p>
    <w:p w:rsidR="00051A1F" w:rsidRPr="00051A1F" w:rsidP="00051A1F" w14:paraId="0CDDF205" w14:textId="77777777">
      <w:pPr>
        <w:widowControl/>
        <w:snapToGrid w:val="0"/>
        <w:spacing w:after="120" w:line="259" w:lineRule="auto"/>
        <w:ind w:firstLine="720"/>
      </w:pPr>
      <w:r w:rsidRPr="00051A1F">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051A1F" w:rsidRPr="00051A1F" w:rsidP="00051A1F" w14:paraId="399A5B0C" w14:textId="49B6CA94">
      <w:pPr>
        <w:widowControl/>
        <w:snapToGrid w:val="0"/>
        <w:spacing w:after="120" w:line="259" w:lineRule="auto"/>
        <w:ind w:firstLine="720"/>
      </w:pPr>
      <w:r w:rsidRPr="00051A1F">
        <w:t xml:space="preserve">“Confidential Information” means information that is not otherwise available from publicly available sources and that is subject to protection under the Freedom of Information Act (“FOIA”), 5 U.S.C. § 552, and the Commission’s implementing rules, unless the Commission determines, </w:t>
      </w:r>
      <w:r w:rsidRPr="00051A1F">
        <w:rPr>
          <w:i/>
          <w:iCs/>
        </w:rPr>
        <w:t>sua</w:t>
      </w:r>
      <w:r w:rsidRPr="00051A1F">
        <w:rPr>
          <w:i/>
          <w:iCs/>
        </w:rPr>
        <w:t xml:space="preserve"> sponte</w:t>
      </w:r>
      <w:r w:rsidRPr="00051A1F">
        <w:t xml:space="preserve"> or by request pursuant to paragraph </w:t>
      </w:r>
      <w:r w:rsidR="005F10DC">
        <w:t>4</w:t>
      </w:r>
      <w:r w:rsidRPr="00051A1F">
        <w:t xml:space="preserve"> of this Protective Order or Sections 0.459 or 0.461 of its rules,</w:t>
      </w:r>
      <w:r>
        <w:rPr>
          <w:sz w:val="20"/>
          <w:vertAlign w:val="superscript"/>
        </w:rPr>
        <w:footnoteReference w:id="22"/>
      </w:r>
      <w:r w:rsidRPr="00051A1F">
        <w:t xml:space="preserve"> that such information is not entitled to confidential treatment.</w:t>
      </w:r>
    </w:p>
    <w:p w:rsidR="00051A1F" w:rsidRPr="00051A1F" w:rsidP="00051A1F" w14:paraId="71A39BCC" w14:textId="77777777">
      <w:pPr>
        <w:widowControl/>
        <w:snapToGrid w:val="0"/>
        <w:spacing w:after="120" w:line="259" w:lineRule="auto"/>
        <w:ind w:firstLine="720"/>
      </w:pPr>
      <w:r w:rsidRPr="00051A1F">
        <w:t>“Counsel” means In-House Counsel and Outside Counsel of Record.</w:t>
      </w:r>
    </w:p>
    <w:p w:rsidR="00051A1F" w:rsidRPr="00051A1F" w:rsidP="00051A1F" w14:paraId="2C9CC30B" w14:textId="77777777">
      <w:pPr>
        <w:snapToGrid w:val="0"/>
        <w:spacing w:after="120" w:line="259" w:lineRule="auto"/>
        <w:ind w:firstLine="720"/>
      </w:pPr>
      <w:r w:rsidRPr="00051A1F">
        <w:t>“Document” means any written, recorded, electronically stored, or graphic material, whether produced or created by the Submitting Party or another person.</w:t>
      </w:r>
    </w:p>
    <w:p w:rsidR="00051A1F" w:rsidRPr="00051A1F" w:rsidP="00051A1F" w14:paraId="14F3400F" w14:textId="347FA61E">
      <w:pPr>
        <w:snapToGrid w:val="0"/>
        <w:spacing w:after="120" w:line="259" w:lineRule="auto"/>
        <w:ind w:firstLine="720"/>
      </w:pPr>
      <w:bookmarkStart w:id="4" w:name="_Hlk77767846"/>
      <w:r w:rsidRPr="00051A1F">
        <w:t xml:space="preserve">“Highly Confidential Information” means information that is not otherwise available from publicly available sources; that the Submitting Party has kept strictly confidential; that is subject to protection under FOIA and the Commission’s implementing rules; and that constitutes detailed technical information about a provider’s network, detailed, competitively sensitive information about a provider’s business strategies, or highly detailed information about a provider’s robocall mitigation strategies that would allow bad actors to circumvent a provider’s mitigation efforts, unless the Commission determines, </w:t>
      </w:r>
      <w:r w:rsidRPr="00051A1F">
        <w:rPr>
          <w:i/>
          <w:iCs/>
        </w:rPr>
        <w:t>sua</w:t>
      </w:r>
      <w:r w:rsidRPr="00051A1F">
        <w:rPr>
          <w:i/>
          <w:iCs/>
        </w:rPr>
        <w:t xml:space="preserve"> sponte</w:t>
      </w:r>
      <w:r w:rsidRPr="00051A1F">
        <w:t xml:space="preserve"> or by request pursuant to paragraph </w:t>
      </w:r>
      <w:r w:rsidR="005F10DC">
        <w:t>4</w:t>
      </w:r>
      <w:r w:rsidRPr="00051A1F">
        <w:t xml:space="preserve"> of this Protective Order or Sections 0.459 or 0.461 of its rules,</w:t>
      </w:r>
      <w:r>
        <w:rPr>
          <w:sz w:val="20"/>
          <w:vertAlign w:val="superscript"/>
        </w:rPr>
        <w:footnoteReference w:id="23"/>
      </w:r>
      <w:r w:rsidRPr="00051A1F">
        <w:t xml:space="preserve"> that any such information is not entitled to confidential treatment.</w:t>
      </w:r>
    </w:p>
    <w:bookmarkEnd w:id="4"/>
    <w:p w:rsidR="00051A1F" w:rsidRPr="00051A1F" w:rsidP="00051A1F" w14:paraId="52ED48BA" w14:textId="77777777">
      <w:pPr>
        <w:snapToGrid w:val="0"/>
        <w:spacing w:after="120" w:line="259" w:lineRule="auto"/>
        <w:ind w:firstLine="720"/>
      </w:pPr>
      <w:r w:rsidRPr="00051A1F">
        <w:t xml:space="preserve">“In-House Counsel” means an attorney employed by a Participant in this proceeding or employed by an affiliated entity and who is actively engaged in the conduct of this proceeding, </w:t>
      </w:r>
      <w:r w:rsidRPr="00051A1F">
        <w:rPr>
          <w:iCs/>
        </w:rPr>
        <w:t>provided that</w:t>
      </w:r>
      <w:r w:rsidRPr="00051A1F">
        <w:t xml:space="preserve"> such attorney is not involved in Competitive Decision-Making.  (In this regard, an In-House Counsel’s employer is considered his or her client.)</w:t>
      </w:r>
    </w:p>
    <w:p w:rsidR="00051A1F" w:rsidRPr="00051A1F" w:rsidP="00051A1F" w14:paraId="740BFA22" w14:textId="77777777">
      <w:pPr>
        <w:snapToGrid w:val="0"/>
        <w:spacing w:after="120" w:line="259" w:lineRule="auto"/>
        <w:ind w:firstLine="720"/>
      </w:pPr>
      <w:r w:rsidRPr="00051A1F">
        <w:rPr>
          <w:color w:val="000000"/>
        </w:rPr>
        <w:t>“Outside Counsel of Record” or “</w:t>
      </w:r>
      <w:r w:rsidRPr="00051A1F">
        <w:t>Outside</w:t>
      </w:r>
      <w:r w:rsidRPr="00051A1F">
        <w:rPr>
          <w:color w:val="000000"/>
        </w:rPr>
        <w:t xml:space="preserve"> Counsel” means the attorney(s), firm(s) of attorneys, or sole practitioner(s), as the </w:t>
      </w:r>
      <w:r w:rsidRPr="00051A1F">
        <w:t>case</w:t>
      </w:r>
      <w:r w:rsidRPr="00051A1F">
        <w:rPr>
          <w:color w:val="000000"/>
        </w:rPr>
        <w:t xml:space="preserve"> may be, retained by a Participant in this proceeding, provided that such attorneys are not involved in Competitive Decision-Making.  For purposes of this Protective Order, the terms “Outside Counsel of Record” and “Outside Counsel” include any attorney employed by </w:t>
      </w:r>
      <w:r w:rsidRPr="00051A1F">
        <w:t xml:space="preserve">a </w:t>
      </w:r>
      <w:r w:rsidRPr="00051A1F">
        <w:rPr>
          <w:bCs/>
          <w:szCs w:val="22"/>
        </w:rPr>
        <w:t>federal, state, local, or Tribal governmental entity involved in robocall enforcement; by the registered industry traceback consortium;</w:t>
      </w:r>
      <w:r>
        <w:rPr>
          <w:bCs/>
          <w:sz w:val="20"/>
          <w:szCs w:val="22"/>
          <w:vertAlign w:val="superscript"/>
        </w:rPr>
        <w:footnoteReference w:id="24"/>
      </w:r>
      <w:r w:rsidRPr="00051A1F">
        <w:rPr>
          <w:bCs/>
          <w:szCs w:val="22"/>
        </w:rPr>
        <w:t xml:space="preserve"> or by the STIR/SHAKEN Governance Authority,</w:t>
      </w:r>
      <w:r>
        <w:rPr>
          <w:bCs/>
          <w:sz w:val="20"/>
          <w:szCs w:val="22"/>
          <w:vertAlign w:val="superscript"/>
        </w:rPr>
        <w:footnoteReference w:id="25"/>
      </w:r>
      <w:r w:rsidRPr="00051A1F">
        <w:rPr>
          <w:bCs/>
          <w:szCs w:val="22"/>
        </w:rPr>
        <w:t xml:space="preserve"> </w:t>
      </w:r>
      <w:r w:rsidRPr="00051A1F">
        <w:rPr>
          <w:color w:val="000000"/>
        </w:rPr>
        <w:t>provided that such attorney is not involved in Competitive Decision-Making.</w:t>
      </w:r>
    </w:p>
    <w:p w:rsidR="00051A1F" w:rsidRPr="00051A1F" w:rsidP="00051A1F" w14:paraId="0A87E024" w14:textId="77777777">
      <w:pPr>
        <w:snapToGrid w:val="0"/>
        <w:spacing w:after="120" w:line="259" w:lineRule="auto"/>
        <w:ind w:firstLine="720"/>
      </w:pPr>
      <w:r w:rsidRPr="00051A1F">
        <w:t>“Outside Consultant” means a consultant or expert retained for the purpose of assisting Outside Counsel or a Participant in this proceeding, provided that such consultant or expert is not involved in Competitive Decision-Making.  For purposes of this Protective Order, the term “Outside Consultant” includes any consultant or expert employed by a federal, state, local, or Tribal governmental entity involved in robocall enforcement; by the registered industry traceback consortium; by or the STIR/SHAKEN Governance Authority, provided that such consultant or expert is not involved in Competitive Decision-Making.</w:t>
      </w:r>
    </w:p>
    <w:p w:rsidR="00051A1F" w:rsidRPr="00051A1F" w:rsidP="00051A1F" w14:paraId="19AE8D3D" w14:textId="77777777">
      <w:pPr>
        <w:snapToGrid w:val="0"/>
        <w:spacing w:after="120" w:line="259" w:lineRule="auto"/>
        <w:ind w:firstLine="720"/>
      </w:pPr>
      <w:r w:rsidRPr="00051A1F">
        <w:t>“Outside Firm” means a firm, whether organized as a partnership, limited partnership, limited liability partnership, limited liability company, corporation, or otherwise, of Outside Counsel or Outside Consultants.</w:t>
      </w:r>
    </w:p>
    <w:p w:rsidR="00051A1F" w:rsidRPr="00051A1F" w:rsidP="00051A1F" w14:paraId="586D0D90" w14:textId="77777777">
      <w:pPr>
        <w:widowControl/>
        <w:snapToGrid w:val="0"/>
        <w:spacing w:after="120" w:line="259" w:lineRule="auto"/>
        <w:ind w:firstLine="720"/>
      </w:pPr>
      <w:r w:rsidRPr="00051A1F">
        <w:t xml:space="preserve">“Participant” means </w:t>
      </w:r>
      <w:r w:rsidRPr="00051A1F">
        <w:t>i</w:t>
      </w:r>
      <w:r w:rsidRPr="00051A1F">
        <w:t xml:space="preserve">) a </w:t>
      </w:r>
      <w:r w:rsidRPr="00051A1F">
        <w:rPr>
          <w:bCs/>
          <w:szCs w:val="22"/>
        </w:rPr>
        <w:t xml:space="preserve">federal, state, local, or Tribal governmental entity involved in robocall enforcement; ii) the registered industry traceback consortium; iii) the STIR/SHAKEN Governance Authority; or iv) an intermediate provider or a voice service provider that accepts call traffic directly from </w:t>
      </w:r>
      <w:r w:rsidRPr="00051A1F">
        <w:rPr>
          <w:bCs/>
          <w:szCs w:val="22"/>
        </w:rPr>
        <w:t xml:space="preserve">a voice service provider listed in the database and requests to review what actions that provider is taking to combat the origination of illegal robocalls.  </w:t>
      </w:r>
    </w:p>
    <w:p w:rsidR="00051A1F" w:rsidRPr="00051A1F" w:rsidP="00051A1F" w14:paraId="6AAE3430" w14:textId="77777777">
      <w:pPr>
        <w:snapToGrid w:val="0"/>
        <w:spacing w:after="120" w:line="259" w:lineRule="auto"/>
        <w:ind w:firstLine="720"/>
      </w:pPr>
      <w:r w:rsidRPr="00051A1F">
        <w:t>“Redacted Confidential Document” means a copy of a Stamped Confidential Document where the Confidential Information has been redacted.</w:t>
      </w:r>
    </w:p>
    <w:p w:rsidR="00051A1F" w:rsidRPr="00051A1F" w:rsidP="00051A1F" w14:paraId="3814FE57" w14:textId="77777777">
      <w:pPr>
        <w:snapToGrid w:val="0"/>
        <w:spacing w:after="120" w:line="259" w:lineRule="auto"/>
        <w:ind w:firstLine="720"/>
      </w:pPr>
      <w:r w:rsidRPr="00051A1F">
        <w:t>“Redacted Highly Confidential Document” means a copy of a Stamped Highly Confidential Document where the Highly Confidential Information has been redacted.</w:t>
      </w:r>
    </w:p>
    <w:p w:rsidR="00051A1F" w:rsidRPr="00051A1F" w:rsidP="00051A1F" w14:paraId="186E0E79" w14:textId="77777777">
      <w:pPr>
        <w:snapToGrid w:val="0"/>
        <w:spacing w:after="120" w:line="259" w:lineRule="auto"/>
        <w:ind w:firstLine="720"/>
      </w:pPr>
      <w:r w:rsidRPr="00051A1F">
        <w:t xml:space="preserve">“Reviewing </w:t>
      </w:r>
      <w:r w:rsidRPr="00051A1F">
        <w:rPr>
          <w:color w:val="000000"/>
        </w:rPr>
        <w:t>Party</w:t>
      </w:r>
      <w:r w:rsidRPr="00051A1F">
        <w:t xml:space="preserve">” means a person who has obtained access to Confidential Information (including Stamped Confidential Documents) or Highly Confidential Information (including Stamped Highly Confidential Documents) pursuant to paragraphs </w:t>
      </w:r>
      <w:r w:rsidRPr="00051A1F">
        <w:fldChar w:fldCharType="begin"/>
      </w:r>
      <w:r w:rsidRPr="00051A1F">
        <w:instrText xml:space="preserve"> REF _Ref287447223 \r \h  \* MERGEFORMAT </w:instrText>
      </w:r>
      <w:r w:rsidRPr="00051A1F">
        <w:fldChar w:fldCharType="separate"/>
      </w:r>
      <w:r w:rsidRPr="00051A1F">
        <w:t>7</w:t>
      </w:r>
      <w:r w:rsidRPr="00051A1F">
        <w:fldChar w:fldCharType="end"/>
      </w:r>
      <w:r w:rsidRPr="00051A1F">
        <w:t xml:space="preserve"> or </w:t>
      </w:r>
      <w:r w:rsidRPr="00051A1F">
        <w:fldChar w:fldCharType="begin"/>
      </w:r>
      <w:r w:rsidRPr="00051A1F">
        <w:instrText xml:space="preserve"> REF _Ref287447280 \r \h  \* MERGEFORMAT </w:instrText>
      </w:r>
      <w:r w:rsidRPr="00051A1F">
        <w:fldChar w:fldCharType="separate"/>
      </w:r>
      <w:r w:rsidRPr="00051A1F">
        <w:t>12</w:t>
      </w:r>
      <w:r w:rsidRPr="00051A1F">
        <w:fldChar w:fldCharType="end"/>
      </w:r>
      <w:r w:rsidRPr="00051A1F">
        <w:t xml:space="preserve"> of this Protective Order.</w:t>
      </w:r>
    </w:p>
    <w:p w:rsidR="00051A1F" w:rsidRPr="00051A1F" w:rsidP="00051A1F" w14:paraId="512DFAA4" w14:textId="77777777">
      <w:pPr>
        <w:snapToGrid w:val="0"/>
        <w:spacing w:after="120" w:line="259" w:lineRule="auto"/>
        <w:ind w:firstLine="720"/>
      </w:pPr>
      <w:r w:rsidRPr="00051A1F">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w:t>
      </w:r>
      <w:r w:rsidRPr="00051A1F">
        <w:rPr>
          <w:caps/>
        </w:rPr>
        <w:t xml:space="preserve"> No</w:t>
      </w:r>
      <w:r w:rsidRPr="00051A1F">
        <w:t xml:space="preserve">. 17-97 BEFORE THE FEDERAL COMMUNICATIONS COMMISSION.”  A document that contains Confidential Information that was submitted through the Robocall Mitigation Database portal prior to the effective date of this Protective Order that is labelled Confidential or contains a similar marking shall also be considered a Stamped Confidential Document.  By designating a document a “Stamped Confidential Document,” a Submitting Party signifies and represents that it contains Confidential Information.  </w:t>
      </w:r>
    </w:p>
    <w:p w:rsidR="00051A1F" w:rsidRPr="00051A1F" w:rsidP="00051A1F" w14:paraId="6BF558BE" w14:textId="77777777">
      <w:pPr>
        <w:snapToGrid w:val="0"/>
        <w:spacing w:after="120" w:line="259" w:lineRule="auto"/>
        <w:ind w:firstLine="720"/>
      </w:pPr>
      <w:r w:rsidRPr="00051A1F">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WC </w:t>
      </w:r>
      <w:r w:rsidRPr="00051A1F">
        <w:rPr>
          <w:caps/>
        </w:rPr>
        <w:t>Docket No</w:t>
      </w:r>
      <w:r w:rsidRPr="00051A1F">
        <w:t xml:space="preserve">. 17-97 BEFORE THE FEDERAL COMMUNICATIONS COMMISSION.”  A document that contains Highly Confidential Information that was submitted through the Robocall Mitigation Database portal prior to the effective date of this Protective Order that is labelled Confidential or contains a similar marking shall also be considered a Stamped Highly Confidential Document.  By designating a document a “Stamped Highly Confidential Document,” a Submitting Party signifies and represents that it contains Highly Confidential Information.  </w:t>
      </w:r>
    </w:p>
    <w:p w:rsidR="00051A1F" w:rsidRPr="00051A1F" w:rsidP="00051A1F" w14:paraId="3E5A51D5" w14:textId="77777777">
      <w:pPr>
        <w:snapToGrid w:val="0"/>
        <w:spacing w:after="120" w:line="259" w:lineRule="auto"/>
        <w:ind w:firstLine="720"/>
      </w:pPr>
      <w:r w:rsidRPr="00051A1F">
        <w:t>“Submitting Party” means a person or entity who submits a Stamped Confidential Document or a Stamped Highly Confidential Document.</w:t>
      </w:r>
    </w:p>
    <w:p w:rsidR="00051A1F" w:rsidRPr="00051A1F" w:rsidP="00051A1F" w14:paraId="2A0225EE" w14:textId="77777777">
      <w:pPr>
        <w:snapToGrid w:val="0"/>
        <w:spacing w:after="120" w:line="259" w:lineRule="auto"/>
        <w:ind w:firstLine="720"/>
      </w:pPr>
      <w:r w:rsidRPr="00051A1F">
        <w:t>“Support Personnel” means 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051A1F" w:rsidRPr="00051A1F" w:rsidP="00051A1F" w14:paraId="2F75F53A" w14:textId="77777777">
      <w:pPr>
        <w:snapToGrid w:val="0"/>
        <w:spacing w:after="120" w:line="259" w:lineRule="auto"/>
        <w:ind w:firstLine="720"/>
      </w:pPr>
      <w:r w:rsidRPr="00051A1F">
        <w:t>“Third-Party Interest Holder” means a person who is not a Submitting Party who has a confidentiality interest in Confidential Information or Highly Confidential Information that is submitted under this Protective Order.</w:t>
      </w:r>
    </w:p>
    <w:p w:rsidR="00051A1F" w:rsidRPr="00051A1F" w:rsidP="002C1B39" w14:paraId="5B4D7CC6" w14:textId="77777777">
      <w:pPr>
        <w:widowControl/>
        <w:numPr>
          <w:ilvl w:val="0"/>
          <w:numId w:val="2"/>
        </w:numPr>
        <w:tabs>
          <w:tab w:val="clear" w:pos="1080"/>
          <w:tab w:val="num" w:pos="1440"/>
        </w:tabs>
        <w:spacing w:after="120"/>
      </w:pPr>
      <w:bookmarkStart w:id="5" w:name="_Ref287958858"/>
      <w:r w:rsidRPr="00051A1F">
        <w:rPr>
          <w:i/>
        </w:rPr>
        <w:t>Designation of Information as Confidential or Highly Confidential.</w:t>
      </w:r>
      <w:r w:rsidRPr="00051A1F">
        <w:t xml:space="preserve">  </w:t>
      </w:r>
      <w:bookmarkEnd w:id="5"/>
      <w:r w:rsidRPr="00051A1F">
        <w:t xml:space="preserve">A Submitting Party may designate as Highly Confidential only that information that constitutes detailed technical information about a provider’s network, detailed, competitively sensitive information about a provider’s business strategies, or highly detailed information about a provider’s robocall mitigation strategies that would allow bad actors to circumvent a provider’s mitigation efforts.  If a Submitting Party believes that additional types of information should be designated as Highly Confidential, the Submitting Party shall </w:t>
      </w:r>
      <w:r w:rsidRPr="00051A1F">
        <w:t xml:space="preserve">submit a request to amend this order along with a supporting explanation.  To the extent the request is granted, an amended order will be issued.  </w:t>
      </w:r>
    </w:p>
    <w:p w:rsidR="00051A1F" w:rsidRPr="00051A1F" w:rsidP="00051A1F" w14:paraId="21917014" w14:textId="027E6B0B">
      <w:pPr>
        <w:pStyle w:val="ParaNum"/>
      </w:pPr>
      <w:r w:rsidRPr="00051A1F">
        <w:rPr>
          <w:i/>
        </w:rPr>
        <w:t>Challenge to Designation</w:t>
      </w:r>
      <w:r w:rsidRPr="00051A1F">
        <w:t xml:space="preserve">.  Any person wishing to challenge the designation of a document, portion of a document, or information as Confidential or Highly Confidential </w:t>
      </w:r>
      <w:r w:rsidRPr="00051A1F">
        <w:rPr>
          <w:szCs w:val="22"/>
        </w:rPr>
        <w:t xml:space="preserve">must file such a challenge at the Commission and serve it on the </w:t>
      </w:r>
      <w:r w:rsidRPr="00051A1F">
        <w:t>Submitting</w:t>
      </w:r>
      <w:r w:rsidRPr="00051A1F">
        <w:rPr>
          <w:szCs w:val="22"/>
        </w:rPr>
        <w:t xml:space="preserve"> Party and any known Third-Party Interest Holders.  The Commission may also initiate such a review on its own.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26"/>
      </w:r>
      <w:r w:rsidRPr="00051A1F">
        <w:rPr>
          <w:szCs w:val="22"/>
        </w:rPr>
        <w:t xml:space="preserve">  Any decision on whether the materials should be accorded confidential treatment </w:t>
      </w:r>
      <w:r w:rsidRPr="00051A1F">
        <w:t>does not constitute a resolution of the merits concerning whether such information would be released publicly by the Commission upon an appropriate request under our rules implementing FOIA.</w:t>
      </w:r>
      <w:r>
        <w:rPr>
          <w:vertAlign w:val="superscript"/>
        </w:rPr>
        <w:footnoteReference w:id="27"/>
      </w:r>
      <w:r w:rsidRPr="00051A1F">
        <w:t xml:space="preserve">  </w:t>
      </w:r>
    </w:p>
    <w:p w:rsidR="00051A1F" w:rsidRPr="00051A1F" w:rsidP="00051A1F" w14:paraId="63856EF4" w14:textId="77777777">
      <w:pPr>
        <w:numPr>
          <w:ilvl w:val="0"/>
          <w:numId w:val="2"/>
        </w:numPr>
        <w:tabs>
          <w:tab w:val="clear" w:pos="1080"/>
          <w:tab w:val="num" w:pos="1440"/>
        </w:tabs>
        <w:spacing w:after="120"/>
      </w:pPr>
      <w:bookmarkStart w:id="6" w:name="_Ref287609812"/>
      <w:r w:rsidRPr="00051A1F">
        <w:rPr>
          <w:i/>
        </w:rPr>
        <w:t>Submission of Stamped Confidential Documents and Stamped Highly Confidential Documents.</w:t>
      </w:r>
      <w:r w:rsidRPr="00051A1F">
        <w:t xml:space="preserve">  A Submitting Party that wishes to designate a portion of its filing as confidential shall first </w:t>
      </w:r>
      <w:r w:rsidRPr="00051A1F">
        <w:rPr>
          <w:szCs w:val="22"/>
        </w:rPr>
        <w:t>file through the Commission’s Electronic Comment Filing System (“ECFS”) in WC Docket No. 17-97 a request that the information be withheld from public inspection as required by section 0.459 of the Commission’s rules, providing all of the information required by that rule.</w:t>
      </w:r>
      <w:r>
        <w:rPr>
          <w:vertAlign w:val="superscript"/>
        </w:rPr>
        <w:footnoteReference w:id="28"/>
      </w:r>
      <w:r w:rsidRPr="00051A1F">
        <w:rPr>
          <w:szCs w:val="22"/>
        </w:rPr>
        <w:t xml:space="preserve">  For documents submitted after the effective date of this Protective Order, </w:t>
      </w:r>
      <w:r w:rsidRPr="00051A1F">
        <w:t xml:space="preserve">the Submitting Party shall also notify </w:t>
      </w:r>
      <w:r w:rsidRPr="00051A1F">
        <w:rPr>
          <w:szCs w:val="22"/>
        </w:rPr>
        <w:t xml:space="preserve">any known Third-Party Interest Holders who have a confidentiality interest in any such Stamped Confidential Document or Stamped Highly Confidential Document.  A Submitting Party </w:t>
      </w:r>
      <w:r w:rsidRPr="00051A1F">
        <w:t xml:space="preserve">shall then submit through the Robocall Mitigation Database portal one copy of each Stamped Confidential Document and each Stamped Highly Confidential Document it seeks to file in one combined attachment.  Each page of the Stamped Confidential Document or Stamped Highly Confidential Document shall be stamped “CONFIDENTIAL INFORMATION – SUBJECT TO PROTECTIVE ORDER IN WC DOCKET NO. 17-97 BEFORE THE FEDERAL COMMUNICATIONS COMMISSION” or “HIGHLY CONFIDENTIAL INFORMATION – SUBJECT TO PROTECTIVE ORDER IN WC DOCKET NO. 17-97 BEFORE THE FEDERAL COMMUNICATIONS COMMISSION”, as appropriate.  </w:t>
      </w:r>
      <w:r w:rsidRPr="00051A1F">
        <w:rPr>
          <w:szCs w:val="22"/>
        </w:rPr>
        <w:t xml:space="preserve">In addition, with respect to each Stamped Confidential Document and each Stamped Highly Confidential Document submitted, the Submitting Party shall also submit through the Robocall Mitigation Database portal a copy of the respective Redacted Confidential Document or Redacted Highly Confidential Document in one combined attachment.  </w:t>
      </w:r>
      <w:r w:rsidRPr="00051A1F">
        <w:t xml:space="preserve">Each Redacted Confidential Document or Redacted Highly Confidential Document shall have the same pagination as the Stamped Confidential Document or Stamped Highly Confidential Document from which it is derived.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w:t>
      </w:r>
    </w:p>
    <w:p w:rsidR="00051A1F" w:rsidRPr="00051A1F" w:rsidP="002C1B39" w14:paraId="10FE6F9E" w14:textId="77777777">
      <w:pPr>
        <w:widowControl/>
        <w:numPr>
          <w:ilvl w:val="0"/>
          <w:numId w:val="2"/>
        </w:numPr>
        <w:tabs>
          <w:tab w:val="clear" w:pos="1080"/>
          <w:tab w:val="num" w:pos="1440"/>
        </w:tabs>
        <w:spacing w:after="120"/>
      </w:pPr>
      <w:bookmarkStart w:id="7" w:name="_Ref424658924"/>
      <w:r w:rsidRPr="00051A1F">
        <w:rPr>
          <w:i/>
        </w:rPr>
        <w:t>Copying Sensitive Documents</w:t>
      </w:r>
      <w:r w:rsidRPr="00051A1F">
        <w:t xml:space="preserve">.  </w:t>
      </w:r>
      <w:bookmarkEnd w:id="6"/>
      <w:r w:rsidRPr="00051A1F">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051A1F">
        <w:fldChar w:fldCharType="begin"/>
      </w:r>
      <w:r w:rsidRPr="00051A1F">
        <w:instrText xml:space="preserve"> REF _Ref379362551 \r \h  \* MERGEFORMAT </w:instrText>
      </w:r>
      <w:r w:rsidRPr="00051A1F">
        <w:fldChar w:fldCharType="separate"/>
      </w:r>
      <w:r w:rsidRPr="00051A1F">
        <w:t>10</w:t>
      </w:r>
      <w:r w:rsidRPr="00051A1F">
        <w:fldChar w:fldCharType="end"/>
      </w:r>
      <w:r w:rsidRPr="00051A1F">
        <w:t xml:space="preserve">, each Outside Firm shall receive only one copy of the document and no more than two additional copies, in any form, shall be made.  Application for relief from this restriction against further copying may be made to the </w:t>
      </w:r>
      <w:r w:rsidRPr="00051A1F">
        <w:t>Commission, with notice to Counsel of Record for the Submitting Party, which will be granted only for cause</w:t>
      </w:r>
      <w:r w:rsidRPr="00051A1F">
        <w:rPr>
          <w:i/>
        </w:rPr>
        <w:t>.</w:t>
      </w:r>
      <w:bookmarkEnd w:id="7"/>
    </w:p>
    <w:p w:rsidR="00051A1F" w:rsidRPr="00051A1F" w:rsidP="00051A1F" w14:paraId="0C0CC63C" w14:textId="77777777">
      <w:pPr>
        <w:numPr>
          <w:ilvl w:val="0"/>
          <w:numId w:val="2"/>
        </w:numPr>
        <w:tabs>
          <w:tab w:val="clear" w:pos="1080"/>
          <w:tab w:val="num" w:pos="1440"/>
        </w:tabs>
        <w:spacing w:after="120"/>
        <w:rPr>
          <w:szCs w:val="22"/>
        </w:rPr>
      </w:pPr>
      <w:bookmarkStart w:id="8" w:name="_Ref287447223"/>
      <w:bookmarkStart w:id="9" w:name="_Ref379362673"/>
      <w:bookmarkStart w:id="10" w:name="_Ref133212377"/>
      <w:bookmarkStart w:id="11" w:name="_Ref287447233"/>
      <w:r w:rsidRPr="00051A1F">
        <w:rPr>
          <w:i/>
        </w:rPr>
        <w:t>Procedure for Obtaining Access to Confidential Information and Highly Confidential Information</w:t>
      </w:r>
      <w:r w:rsidRPr="00051A1F">
        <w:rPr>
          <w:i/>
          <w:szCs w:val="22"/>
        </w:rPr>
        <w:t>.</w:t>
      </w:r>
      <w:r w:rsidRPr="00051A1F">
        <w:rPr>
          <w:szCs w:val="22"/>
        </w:rPr>
        <w:t xml:space="preserve">  </w:t>
      </w:r>
      <w:bookmarkEnd w:id="8"/>
      <w:r w:rsidRPr="00051A1F">
        <w:rPr>
          <w:szCs w:val="22"/>
        </w:rPr>
        <w:t xml:space="preserve">Access to Highly Confidential Information (including Stamped Highly Confidential Documents) is limited to </w:t>
      </w:r>
      <w:r w:rsidRPr="00051A1F">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051A1F" w:rsidRPr="00051A1F" w:rsidP="00051A1F" w14:paraId="611DAA5C" w14:textId="77777777">
      <w:pPr>
        <w:widowControl/>
        <w:numPr>
          <w:ilvl w:val="0"/>
          <w:numId w:val="2"/>
        </w:numPr>
        <w:tabs>
          <w:tab w:val="clear" w:pos="1080"/>
          <w:tab w:val="num" w:pos="1440"/>
        </w:tabs>
        <w:spacing w:after="120"/>
        <w:rPr>
          <w:szCs w:val="22"/>
        </w:rPr>
      </w:pPr>
      <w:r w:rsidRPr="00051A1F">
        <w:rPr>
          <w:i/>
        </w:rPr>
        <w:t>Procedure for Objecting to the Disclosure of Confidential Information and Highly Confidential Information to a Potential Reviewing Party</w:t>
      </w:r>
      <w:r w:rsidRPr="00051A1F">
        <w:rPr>
          <w:i/>
          <w:szCs w:val="22"/>
        </w:rPr>
        <w:t>.</w:t>
      </w:r>
      <w:r>
        <w:rPr>
          <w:snapToGrid/>
          <w:sz w:val="20"/>
          <w:szCs w:val="22"/>
          <w:vertAlign w:val="superscript"/>
        </w:rPr>
        <w:footnoteReference w:id="29"/>
      </w:r>
      <w:r w:rsidRPr="00051A1F">
        <w:rPr>
          <w:i/>
          <w:szCs w:val="22"/>
        </w:rPr>
        <w:t xml:space="preserve">  </w:t>
      </w:r>
      <w:r w:rsidRPr="00051A1F">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051A1F">
        <w:rPr>
          <w:szCs w:val="22"/>
        </w:rPr>
        <w:t>.  Persons filing Acknowledgments shall not have access to Confidential Information or Highly Confidential Information before the period for filing objections has passed, unless both the Submitting Party and any known Third-Party Interest Holders waive this requirement.  If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9"/>
      <w:r>
        <w:rPr>
          <w:sz w:val="20"/>
          <w:szCs w:val="22"/>
          <w:vertAlign w:val="superscript"/>
        </w:rPr>
        <w:footnoteReference w:id="30"/>
      </w:r>
      <w:r w:rsidRPr="00051A1F">
        <w:rPr>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p>
    <w:p w:rsidR="00051A1F" w:rsidRPr="00051A1F" w:rsidP="00051A1F" w14:paraId="4A1D7EF6" w14:textId="77777777">
      <w:pPr>
        <w:widowControl/>
        <w:numPr>
          <w:ilvl w:val="0"/>
          <w:numId w:val="2"/>
        </w:numPr>
        <w:tabs>
          <w:tab w:val="clear" w:pos="1080"/>
          <w:tab w:val="num" w:pos="1440"/>
        </w:tabs>
        <w:spacing w:after="120"/>
      </w:pPr>
      <w:r w:rsidRPr="00051A1F">
        <w:rPr>
          <w:i/>
          <w:szCs w:val="22"/>
        </w:rPr>
        <w:t xml:space="preserve">Review of Stamped Confidential Documents and Stamped Highly Confidential Documents.  </w:t>
      </w:r>
      <w:r w:rsidRPr="00051A1F">
        <w:rPr>
          <w:szCs w:val="22"/>
        </w:rPr>
        <w:t xml:space="preserve">A Submitting Party shall make available for review the Stamped Confidential Documents </w:t>
      </w:r>
      <w:r w:rsidRPr="00051A1F">
        <w:rPr>
          <w:szCs w:val="22"/>
        </w:rPr>
        <w:t>and Stamped Highly Confidential Documents of such party at the offices of the party’s Outside Counsel of Record or as otherwise agreed to by the Reviewing Party.</w:t>
      </w:r>
      <w:bookmarkEnd w:id="10"/>
      <w:r w:rsidRPr="00051A1F">
        <w:rPr>
          <w:szCs w:val="22"/>
        </w:rPr>
        <w:t xml:space="preserve">  S</w:t>
      </w:r>
      <w:r w:rsidRPr="00051A1F">
        <w:t xml:space="preserve">ubject to the provisions of paragraph </w:t>
      </w:r>
      <w:r w:rsidRPr="00051A1F">
        <w:fldChar w:fldCharType="begin"/>
      </w:r>
      <w:r w:rsidRPr="00051A1F">
        <w:instrText xml:space="preserve"> REF _Ref424658924 \r \h  \* MERGEFORMAT </w:instrText>
      </w:r>
      <w:r w:rsidRPr="00051A1F">
        <w:fldChar w:fldCharType="separate"/>
      </w:r>
      <w:r w:rsidRPr="00051A1F">
        <w:t>6</w:t>
      </w:r>
      <w:r w:rsidRPr="00051A1F">
        <w:fldChar w:fldCharType="end"/>
      </w:r>
      <w:r w:rsidRPr="00051A1F">
        <w:t xml:space="preserve">, a </w:t>
      </w:r>
      <w:r w:rsidRPr="00051A1F">
        <w:rPr>
          <w:szCs w:val="22"/>
        </w:rPr>
        <w:t xml:space="preserve">Reviewing </w:t>
      </w:r>
      <w:r w:rsidRPr="00051A1F">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A Submitting Party may make the documents available to the Reviewing Party electronically.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051A1F">
        <w:fldChar w:fldCharType="begin"/>
      </w:r>
      <w:r w:rsidRPr="00051A1F">
        <w:instrText xml:space="preserve"> REF _Ref287447223 \r \h  \* MERGEFORMAT </w:instrText>
      </w:r>
      <w:r w:rsidRPr="00051A1F">
        <w:fldChar w:fldCharType="separate"/>
      </w:r>
      <w:r w:rsidRPr="00051A1F">
        <w:t>7</w:t>
      </w:r>
      <w:r w:rsidRPr="00051A1F">
        <w:fldChar w:fldCharType="end"/>
      </w:r>
      <w:r w:rsidRPr="00051A1F">
        <w:t xml:space="preserve">.  All copies of documents that are removed from the Submitting Party’s office must be returned or destroyed in accordance with the terms of paragraph </w:t>
      </w:r>
      <w:r w:rsidRPr="00051A1F">
        <w:fldChar w:fldCharType="begin"/>
      </w:r>
      <w:r w:rsidRPr="00051A1F">
        <w:instrText xml:space="preserve"> REF _Ref379362621 \r \h  \* MERGEFORMAT </w:instrText>
      </w:r>
      <w:r w:rsidRPr="00051A1F">
        <w:fldChar w:fldCharType="separate"/>
      </w:r>
      <w:r w:rsidRPr="00051A1F">
        <w:t>21</w:t>
      </w:r>
      <w:r w:rsidRPr="00051A1F">
        <w:fldChar w:fldCharType="end"/>
      </w:r>
      <w:r w:rsidRPr="00051A1F">
        <w:t>.</w:t>
      </w:r>
      <w:bookmarkEnd w:id="11"/>
    </w:p>
    <w:p w:rsidR="00051A1F" w:rsidRPr="00051A1F" w:rsidP="00051A1F" w14:paraId="689C80A7" w14:textId="77777777">
      <w:pPr>
        <w:numPr>
          <w:ilvl w:val="0"/>
          <w:numId w:val="2"/>
        </w:numPr>
        <w:tabs>
          <w:tab w:val="clear" w:pos="1080"/>
          <w:tab w:val="num" w:pos="1440"/>
        </w:tabs>
        <w:spacing w:after="120"/>
      </w:pPr>
      <w:bookmarkStart w:id="12" w:name="_Ref379362551"/>
      <w:bookmarkStart w:id="13" w:name="_Ref287967464"/>
      <w:r w:rsidRPr="00051A1F">
        <w:rPr>
          <w:i/>
        </w:rPr>
        <w:t>Review of Highly Confidential Information in Electronic Format.</w:t>
      </w:r>
      <w:r w:rsidRPr="00051A1F">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051A1F">
        <w:rPr>
          <w:szCs w:val="22"/>
        </w:rPr>
        <w:t>electronically</w:t>
      </w:r>
      <w:r w:rsidRPr="00051A1F">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securely and a record kept of any persons given access to it.</w:t>
      </w:r>
      <w:bookmarkEnd w:id="12"/>
      <w:bookmarkEnd w:id="13"/>
    </w:p>
    <w:p w:rsidR="00051A1F" w:rsidRPr="00051A1F" w:rsidP="00051A1F" w14:paraId="570065FA" w14:textId="77777777">
      <w:pPr>
        <w:numPr>
          <w:ilvl w:val="0"/>
          <w:numId w:val="2"/>
        </w:numPr>
        <w:tabs>
          <w:tab w:val="clear" w:pos="1080"/>
          <w:tab w:val="num" w:pos="1440"/>
        </w:tabs>
        <w:spacing w:after="120"/>
        <w:rPr>
          <w:szCs w:val="22"/>
        </w:rPr>
      </w:pPr>
      <w:bookmarkStart w:id="14" w:name="_Ref287453789"/>
      <w:r w:rsidRPr="00051A1F">
        <w:rPr>
          <w:i/>
        </w:rPr>
        <w:t>U</w:t>
      </w:r>
      <w:r w:rsidRPr="00051A1F">
        <w:rPr>
          <w:i/>
          <w:iCs/>
        </w:rPr>
        <w:t>se of Confidential and Highly Confidential Information</w:t>
      </w:r>
      <w:r w:rsidRPr="00051A1F">
        <w:t xml:space="preserve">.  Persons obtaining access to Confidential and Highly Confidential Information under this </w:t>
      </w:r>
      <w:r w:rsidRPr="00051A1F">
        <w:rPr>
          <w:szCs w:val="22"/>
        </w:rPr>
        <w:t>Protective Order</w:t>
      </w:r>
      <w:r w:rsidRPr="00051A1F">
        <w:t xml:space="preserve"> shall use the information solely for the preparation and conduct of this proceeding before the Commission and any subsequent judicial proceeding arising directly from that portion of this proceeding and, except as </w:t>
      </w:r>
      <w:r w:rsidRPr="00051A1F">
        <w:rPr>
          <w:szCs w:val="22"/>
        </w:rPr>
        <w:t>provided</w:t>
      </w:r>
      <w:r w:rsidRPr="00051A1F">
        <w:t xml:space="preserve"> herein, shall not use such documents or information for any other purpose, including without limitation business, governmental, or commercial purposes, or in any other administrative, regulatory, or judicial proceedings.  Should the Commission reveal any Confidential or Highly Confidential Information in its orders in this proceeding, it will do so either by redacting any such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051A1F">
        <w:rPr>
          <w:szCs w:val="22"/>
        </w:rPr>
        <w:t>Protective Order</w:t>
      </w:r>
      <w:r w:rsidRPr="00051A1F">
        <w:t>, as appropriate, or as otherwise permitted by law.</w:t>
      </w:r>
    </w:p>
    <w:p w:rsidR="00051A1F" w:rsidRPr="00051A1F" w:rsidP="00051A1F" w14:paraId="45550375" w14:textId="77777777">
      <w:pPr>
        <w:numPr>
          <w:ilvl w:val="0"/>
          <w:numId w:val="2"/>
        </w:numPr>
        <w:tabs>
          <w:tab w:val="clear" w:pos="1080"/>
          <w:tab w:val="num" w:pos="1440"/>
        </w:tabs>
        <w:spacing w:after="120"/>
      </w:pPr>
      <w:bookmarkStart w:id="15" w:name="_Ref287447280"/>
      <w:r w:rsidRPr="00051A1F">
        <w:rPr>
          <w:i/>
          <w:iCs/>
        </w:rPr>
        <w:t>Permissible Disclosure</w:t>
      </w:r>
      <w:r w:rsidRPr="00051A1F">
        <w:t>.  A 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Party, and a Third-Party Interest Holder’s Confidential Information and Highly Confidential Information may be disclosed to employees and Counsel of the Third-Party Interest Holder.</w:t>
      </w:r>
      <w:bookmarkEnd w:id="15"/>
      <w:r w:rsidRPr="00051A1F">
        <w:t xml:space="preserve">  Information derived from Confidential Information or Highly Confidential Information shall be treated as Confidential Information or Highly Confidential Information, respectively, unless the Commission determines otherwise.</w:t>
      </w:r>
    </w:p>
    <w:p w:rsidR="00051A1F" w:rsidRPr="00051A1F" w:rsidP="00051A1F" w14:paraId="69727EF6" w14:textId="77777777">
      <w:pPr>
        <w:numPr>
          <w:ilvl w:val="0"/>
          <w:numId w:val="2"/>
        </w:numPr>
        <w:tabs>
          <w:tab w:val="clear" w:pos="1080"/>
          <w:tab w:val="num" w:pos="1440"/>
        </w:tabs>
        <w:spacing w:after="120"/>
        <w:rPr>
          <w:szCs w:val="22"/>
        </w:rPr>
      </w:pPr>
      <w:bookmarkStart w:id="16" w:name="_Ref351625876"/>
      <w:bookmarkEnd w:id="14"/>
      <w:r w:rsidRPr="00051A1F">
        <w:rPr>
          <w:i/>
          <w:iCs/>
        </w:rPr>
        <w:t>Filings with the Commission</w:t>
      </w:r>
      <w:r w:rsidRPr="00051A1F">
        <w:t xml:space="preserve">.  A party making a filing in this proceeding that contains Confidential or Highly Confidential Information </w:t>
      </w:r>
      <w:r w:rsidRPr="00051A1F">
        <w:rPr>
          <w:szCs w:val="22"/>
        </w:rPr>
        <w:t xml:space="preserve">shall submit to the Secretary’s Office one copy of the filing containing the </w:t>
      </w:r>
      <w:r w:rsidRPr="00051A1F">
        <w:t>Confidential</w:t>
      </w:r>
      <w:r w:rsidRPr="00051A1F">
        <w:rPr>
          <w:szCs w:val="22"/>
        </w:rPr>
        <w:t xml:space="preserve"> or Highly Confidential </w:t>
      </w:r>
      <w:r w:rsidRPr="00051A1F">
        <w:t>Information</w:t>
      </w:r>
      <w:r w:rsidRPr="00051A1F">
        <w:rPr>
          <w:szCs w:val="22"/>
        </w:rPr>
        <w:t xml:space="preserve"> (the “Confidential Filing”) and an </w:t>
      </w:r>
      <w:r w:rsidRPr="00051A1F">
        <w:rPr>
          <w:szCs w:val="22"/>
        </w:rPr>
        <w:t>accompanying cover letter.</w:t>
      </w:r>
      <w:r>
        <w:rPr>
          <w:sz w:val="20"/>
          <w:szCs w:val="22"/>
          <w:vertAlign w:val="superscript"/>
        </w:rPr>
        <w:footnoteReference w:id="31"/>
      </w:r>
      <w:r w:rsidRPr="00051A1F">
        <w:rPr>
          <w:szCs w:val="22"/>
        </w:rPr>
        <w:t xml:space="preserve">  </w:t>
      </w:r>
      <w:r w:rsidRPr="00051A1F">
        <w:t>The cover or first page of the Confidential Filing and each page of the Confidential Filing that contains or discloses only Confidential Information shall be clearly marked “</w:t>
      </w:r>
      <w:r w:rsidRPr="00051A1F">
        <w:rPr>
          <w:caps/>
          <w:szCs w:val="22"/>
        </w:rPr>
        <w:t xml:space="preserve">Confidential Information – subject to Protective Order in WC DOCKET NO. 17-97 </w:t>
      </w:r>
      <w:r w:rsidRPr="00051A1F">
        <w:t>BEFORE THE FEDERAL COMMUNICATIONS COMMISSION.”  The cover or first page of the Confidential Filing and each page of the Confidential Filing that contains or discloses Highly Confidential Information shall be clearly marked “</w:t>
      </w:r>
      <w:r w:rsidRPr="00051A1F">
        <w:rPr>
          <w:caps/>
          <w:szCs w:val="22"/>
        </w:rPr>
        <w:t xml:space="preserve">Highly Confidential Information – subject to Protective Order in WC DOCKET NO. 17-97 </w:t>
      </w:r>
      <w:r w:rsidRPr="00051A1F">
        <w:t xml:space="preserve">BEFORE THE FEDERAL COMMUNICATIONS COMMISSION.”  </w:t>
      </w:r>
      <w:r w:rsidRPr="00051A1F">
        <w:rPr>
          <w:szCs w:val="22"/>
        </w:rPr>
        <w:t xml:space="preserve">The accompanying cover letter shall also contain the appropriate legend.  </w:t>
      </w:r>
      <w:r w:rsidRPr="00051A1F">
        <w:t>The Confidential Filing shall be made under seal and will not be placed in the Commission’s public file.  The party shall submit a copy of the filing in redacted form, i.e., containing no Confidential or Highly Confidential Information (the “Redacted Confidential Filing”), to the Commission via ECFS.</w:t>
      </w:r>
      <w:r>
        <w:rPr>
          <w:sz w:val="20"/>
          <w:szCs w:val="22"/>
          <w:vertAlign w:val="superscript"/>
        </w:rPr>
        <w:footnoteReference w:id="32"/>
      </w:r>
      <w:r w:rsidRPr="00051A1F">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Michael Nemcik, </w:t>
      </w:r>
      <w:hyperlink r:id="rId5" w:history="1">
        <w:r w:rsidRPr="00051A1F">
          <w:rPr>
            <w:color w:val="0000FF"/>
            <w:u w:val="single"/>
          </w:rPr>
          <w:t>Michael.Nemcik@fcc.gov</w:t>
        </w:r>
      </w:hyperlink>
      <w:r w:rsidRPr="00051A1F">
        <w:t>, (202) 418-2343, Wireline Competition Bureau</w:t>
      </w:r>
      <w:r w:rsidRPr="00051A1F">
        <w:rPr>
          <w:szCs w:val="22"/>
        </w:rPr>
        <w:t xml:space="preserve">, </w:t>
      </w:r>
      <w:r w:rsidRPr="00051A1F">
        <w:t>Federal Communications Commission, 45 L Street, N.E., Washington, D.C. 20554</w:t>
      </w:r>
      <w:r w:rsidRPr="00051A1F">
        <w:rPr>
          <w:szCs w:val="22"/>
        </w:rPr>
        <w:t>.</w:t>
      </w:r>
      <w:r w:rsidRPr="00051A1F">
        <w:t xml:space="preserve">  Parties should not provide courtesy copies of pleadings containing Highly Confidential Information to Commission staff unless the Bureau so requests, and any such courtesy copies shall be submitted under seal.</w:t>
      </w:r>
      <w:bookmarkEnd w:id="16"/>
    </w:p>
    <w:p w:rsidR="00051A1F" w:rsidRPr="001106B2" w:rsidP="00051A1F" w14:paraId="667E8BA3"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Pr>
        <w:t>Information</w:t>
      </w:r>
      <w:r w:rsidRPr="001106B2">
        <w:t xml:space="preserve"> shall not be disclosed further.  </w:t>
      </w:r>
    </w:p>
    <w:p w:rsidR="00051A1F" w:rsidRPr="001106B2" w:rsidP="00051A1F" w14:paraId="1FBFD98A"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051A1F" w:rsidRPr="001106B2" w:rsidP="00051A1F" w14:paraId="1E093723" w14:textId="7777777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33"/>
      </w:r>
    </w:p>
    <w:p w:rsidR="00051A1F" w:rsidRPr="001106B2" w:rsidP="00051A1F" w14:paraId="6294EF70"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Pr>
        <w:t>and</w:t>
      </w:r>
      <w:r w:rsidRPr="001106B2">
        <w:t xml:space="preserve">, in the course thereof, relying generally on </w:t>
      </w:r>
      <w:r w:rsidRPr="001106B2">
        <w:t xml:space="preserve">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051A1F" w:rsidRPr="001106B2" w:rsidP="00051A1F" w14:paraId="06B27E99" w14:textId="77777777">
      <w:pPr>
        <w:pStyle w:val="ParaNum"/>
      </w:pPr>
      <w:r w:rsidRPr="001106B2">
        <w:rPr>
          <w:i/>
          <w:iCs/>
        </w:rPr>
        <w:t>No Waiver of Confidentiality</w:t>
      </w:r>
      <w:r w:rsidRPr="001106B2">
        <w:t xml:space="preserve">.  Disclosure of </w:t>
      </w:r>
      <w:r w:rsidRPr="00492BD3">
        <w:rPr>
          <w:rStyle w:val="StyleParaNum11ptCharCharCharCharCharCharCharCharCharCharCharCharChar"/>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w:t>
      </w:r>
      <w:r>
        <w:t xml:space="preserve"> </w:t>
      </w:r>
      <w:r w:rsidRPr="001106B2">
        <w:t>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051A1F" w:rsidRPr="001106B2" w:rsidP="00051A1F" w14:paraId="08AF5E12" w14:textId="77777777">
      <w:pPr>
        <w:pStyle w:val="ParaNum"/>
        <w:widowControl/>
      </w:pPr>
      <w:bookmarkStart w:id="17"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051A1F" w:rsidRPr="001106B2" w:rsidP="00051A1F" w14:paraId="4AB88BA4"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051A1F" w:rsidRPr="001106B2" w:rsidP="00051A1F" w14:paraId="24D1E7C6" w14:textId="77777777">
      <w:pPr>
        <w:pStyle w:val="ParaNum"/>
      </w:pPr>
      <w:bookmarkStart w:id="18"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8"/>
    </w:p>
    <w:p w:rsidR="00051A1F" w:rsidP="00051A1F" w14:paraId="23B55E90" w14:textId="77777777">
      <w:pPr>
        <w:pStyle w:val="ParaNum"/>
      </w:pPr>
      <w:r w:rsidRPr="001106B2">
        <w:rPr>
          <w:i/>
          <w:iCs/>
        </w:rPr>
        <w:t>Questions</w:t>
      </w:r>
      <w:r w:rsidRPr="001106B2">
        <w:t xml:space="preserve">.  </w:t>
      </w:r>
      <w:r w:rsidRPr="00B2178A">
        <w:t>Questions concerning this Protective Order should be addressed to</w:t>
      </w:r>
      <w:r>
        <w:rPr>
          <w:szCs w:val="22"/>
        </w:rPr>
        <w:t xml:space="preserve"> Michael Nemcik, </w:t>
      </w:r>
      <w:hyperlink r:id="rId5" w:history="1">
        <w:r w:rsidRPr="00BB3906">
          <w:rPr>
            <w:rStyle w:val="Hyperlink"/>
            <w:szCs w:val="22"/>
          </w:rPr>
          <w:t>Michael.Nemcik@fcc.gov</w:t>
        </w:r>
      </w:hyperlink>
      <w:r>
        <w:rPr>
          <w:szCs w:val="22"/>
        </w:rPr>
        <w:t xml:space="preserve">, </w:t>
      </w:r>
      <w:r>
        <w:t>(202) 418-2343, Wireline Competition Bureau</w:t>
      </w:r>
      <w:r w:rsidRPr="000D095B">
        <w:rPr>
          <w:szCs w:val="22"/>
        </w:rPr>
        <w:t>,</w:t>
      </w:r>
      <w:r w:rsidRPr="00A65D34">
        <w:rPr>
          <w:szCs w:val="22"/>
        </w:rPr>
        <w:t xml:space="preserve"> </w:t>
      </w:r>
      <w:r w:rsidRPr="00A65D34">
        <w:t xml:space="preserve">Federal Communications Commission, </w:t>
      </w:r>
      <w:r>
        <w:t xml:space="preserve">or </w:t>
      </w:r>
      <w:r w:rsidRPr="001106B2">
        <w:t xml:space="preserve">to Joel Rabinovitz, </w:t>
      </w:r>
      <w:hyperlink r:id="rId6" w:history="1">
        <w:r w:rsidRPr="008F4C12">
          <w:rPr>
            <w:rStyle w:val="Hyperlink"/>
          </w:rPr>
          <w:t>Joel.Rabinovitz@fcc.gov</w:t>
        </w:r>
      </w:hyperlink>
      <w:r>
        <w:t xml:space="preserve">, </w:t>
      </w:r>
      <w:r w:rsidRPr="001106B2">
        <w:t>(202) 4</w:t>
      </w:r>
      <w:r>
        <w:t>18-</w:t>
      </w:r>
      <w:r w:rsidRPr="001106B2">
        <w:t>0689, Transaction Team, Office of General Counsel.</w:t>
      </w:r>
      <w:bookmarkEnd w:id="17"/>
    </w:p>
    <w:p w:rsidR="00051A1F" w:rsidP="00051A1F" w14:paraId="7FF986A9" w14:textId="77777777">
      <w:pPr>
        <w:pStyle w:val="ParaNum"/>
        <w:keepNext/>
      </w:pPr>
      <w:r w:rsidRPr="00CF406F">
        <w:rPr>
          <w:i/>
          <w:iCs/>
        </w:rPr>
        <w:t>Authority</w:t>
      </w:r>
      <w:r w:rsidRPr="00384E38">
        <w:t xml:space="preserve">.  This Order is issued pursuant to </w:t>
      </w:r>
      <w:r>
        <w:t>S</w:t>
      </w:r>
      <w:r w:rsidRPr="00384E38">
        <w:t>ections 4(</w:t>
      </w:r>
      <w:r>
        <w:t>j</w:t>
      </w:r>
      <w:r w:rsidRPr="00384E38">
        <w:t>), 214 and 310(d) of the Communications Act of 1934, as amended, 47 U.S.C. §§ 154(</w:t>
      </w:r>
      <w:r>
        <w:t>j</w:t>
      </w:r>
      <w:r w:rsidRPr="00384E38">
        <w:t xml:space="preserve">), 214 and 310(d), Section 4 of the Freedom of Information Act, 5 U.S.C. § 552(b)(4), and authority delegated under </w:t>
      </w:r>
      <w:r>
        <w:t>S</w:t>
      </w:r>
      <w:r w:rsidRPr="00384E38">
        <w:t>ection 0.</w:t>
      </w:r>
      <w:r>
        <w:t>291</w:t>
      </w:r>
      <w:r w:rsidRPr="00384E38">
        <w:t xml:space="preserve"> of the Commission’s rules, 47 CFR § 0.</w:t>
      </w:r>
      <w:r>
        <w:t>291</w:t>
      </w:r>
      <w:r w:rsidRPr="00384E38">
        <w:t>, and is effective upon its adoption.</w:t>
      </w:r>
    </w:p>
    <w:p w:rsidR="00051A1F" w:rsidP="00051A1F" w14:paraId="22B0051F" w14:textId="77777777">
      <w:pPr>
        <w:pStyle w:val="ParaNum"/>
        <w:keepNext/>
        <w:numPr>
          <w:ilvl w:val="0"/>
          <w:numId w:val="0"/>
        </w:numPr>
      </w:pPr>
    </w:p>
    <w:p w:rsidR="00051A1F" w:rsidP="00051A1F" w14:paraId="55C13653" w14:textId="77777777">
      <w:pPr>
        <w:keepNext/>
      </w:pPr>
      <w:r>
        <w:tab/>
      </w:r>
      <w:r>
        <w:tab/>
      </w:r>
      <w:r>
        <w:tab/>
      </w:r>
      <w:r>
        <w:tab/>
      </w:r>
      <w:r>
        <w:tab/>
      </w:r>
      <w:r>
        <w:tab/>
        <w:t>FEDERAL COMMUNICATIONS COMMISSION</w:t>
      </w:r>
    </w:p>
    <w:p w:rsidR="00051A1F" w:rsidP="00051A1F" w14:paraId="704DF39A" w14:textId="77777777">
      <w:pPr>
        <w:keepNext/>
      </w:pPr>
    </w:p>
    <w:p w:rsidR="00051A1F" w:rsidP="00051A1F" w14:paraId="798758E6" w14:textId="77777777">
      <w:pPr>
        <w:keepNext/>
      </w:pPr>
    </w:p>
    <w:p w:rsidR="00051A1F" w:rsidP="00051A1F" w14:paraId="586A566E" w14:textId="77777777">
      <w:pPr>
        <w:keepNext/>
      </w:pPr>
    </w:p>
    <w:p w:rsidR="00051A1F" w:rsidP="00051A1F" w14:paraId="0282A2F1" w14:textId="77777777">
      <w:pPr>
        <w:keepNext/>
      </w:pPr>
    </w:p>
    <w:p w:rsidR="00051A1F" w:rsidP="00051A1F" w14:paraId="68B19705" w14:textId="77777777">
      <w:r>
        <w:tab/>
      </w:r>
      <w:r>
        <w:tab/>
      </w:r>
      <w:r>
        <w:tab/>
      </w:r>
      <w:r>
        <w:tab/>
      </w:r>
      <w:r>
        <w:tab/>
      </w:r>
      <w:r>
        <w:tab/>
      </w:r>
      <w:r>
        <w:rPr>
          <w:color w:val="000000"/>
        </w:rPr>
        <w:t>Kris Anne Monteith</w:t>
      </w:r>
      <w:r w:rsidRPr="00AD2E30">
        <w:rPr>
          <w:color w:val="000000"/>
        </w:rPr>
        <w:t xml:space="preserve"> </w:t>
      </w:r>
    </w:p>
    <w:p w:rsidR="00051A1F" w:rsidP="00051A1F" w14:paraId="7FFB7FBE" w14:textId="77777777">
      <w:r>
        <w:tab/>
      </w:r>
      <w:r>
        <w:tab/>
      </w:r>
      <w:r>
        <w:tab/>
      </w:r>
      <w:r>
        <w:tab/>
      </w:r>
      <w:r>
        <w:tab/>
      </w:r>
      <w:r>
        <w:tab/>
        <w:t>Chief</w:t>
      </w:r>
    </w:p>
    <w:p w:rsidR="00EB35CA" w:rsidP="00EB35CA" w14:paraId="1DAC2DBB" w14:textId="77777777">
      <w:pPr>
        <w:ind w:left="3600" w:firstLine="720"/>
      </w:pPr>
      <w:r>
        <w:t xml:space="preserve">Wireline Competition Bureau </w:t>
      </w:r>
      <w:r>
        <w:br w:type="page"/>
      </w:r>
    </w:p>
    <w:p w:rsidR="00051A1F" w:rsidRPr="00051A1F" w:rsidP="002C1B39" w14:paraId="43CC6389" w14:textId="77777777">
      <w:pPr>
        <w:jc w:val="center"/>
      </w:pPr>
      <w:r w:rsidRPr="00051A1F">
        <w:rPr>
          <w:b/>
          <w:bCs/>
        </w:rPr>
        <w:t>APPENDIX A</w:t>
      </w:r>
    </w:p>
    <w:p w:rsidR="00051A1F" w:rsidRPr="00051A1F" w:rsidP="00051A1F" w14:paraId="13134B80" w14:textId="77777777">
      <w:pPr>
        <w:snapToGrid w:val="0"/>
        <w:spacing w:after="120"/>
        <w:jc w:val="center"/>
        <w:rPr>
          <w:b/>
          <w:bCs/>
        </w:rPr>
      </w:pPr>
      <w:r w:rsidRPr="00051A1F">
        <w:rPr>
          <w:b/>
          <w:bCs/>
        </w:rPr>
        <w:t>Acknowledgment of Confidentiality</w:t>
      </w:r>
    </w:p>
    <w:p w:rsidR="00051A1F" w:rsidRPr="00051A1F" w:rsidP="00051A1F" w14:paraId="664420F9" w14:textId="77777777">
      <w:pPr>
        <w:snapToGrid w:val="0"/>
        <w:jc w:val="center"/>
      </w:pPr>
      <w:r w:rsidRPr="00051A1F">
        <w:rPr>
          <w:b/>
          <w:bCs/>
        </w:rPr>
        <w:t>WC Docket No. 17-97</w:t>
      </w:r>
    </w:p>
    <w:p w:rsidR="00051A1F" w:rsidRPr="00051A1F" w:rsidP="00051A1F" w14:paraId="5EB1E87E" w14:textId="77777777">
      <w:pPr>
        <w:snapToGrid w:val="0"/>
      </w:pPr>
      <w:r w:rsidRPr="00051A1F">
        <w:t> </w:t>
      </w:r>
    </w:p>
    <w:p w:rsidR="00051A1F" w:rsidRPr="00051A1F" w:rsidP="00051A1F" w14:paraId="6A310329" w14:textId="77777777">
      <w:pPr>
        <w:snapToGrid w:val="0"/>
        <w:spacing w:after="120" w:line="259" w:lineRule="auto"/>
        <w:ind w:firstLine="720"/>
      </w:pPr>
      <w:r w:rsidRPr="00051A1F">
        <w:t>I am seeking access to [ ] only Confidential Information or [ ] Confidential and Highly Confidential Information.</w:t>
      </w:r>
    </w:p>
    <w:p w:rsidR="00051A1F" w:rsidRPr="00051A1F" w:rsidP="00051A1F" w14:paraId="7553307B" w14:textId="77777777">
      <w:pPr>
        <w:snapToGrid w:val="0"/>
        <w:spacing w:after="120" w:line="259" w:lineRule="auto"/>
        <w:ind w:firstLine="720"/>
      </w:pPr>
      <w:r w:rsidRPr="00051A1F">
        <w:t xml:space="preserve">I hereby acknowledge that I have received and read a copy of the foregoing Protective Order in the above-captioned proceeding, and I understand it.  </w:t>
      </w:r>
    </w:p>
    <w:p w:rsidR="00051A1F" w:rsidRPr="00051A1F" w:rsidP="00051A1F" w14:paraId="1377D0CD" w14:textId="77777777">
      <w:pPr>
        <w:snapToGrid w:val="0"/>
        <w:spacing w:after="120" w:line="259" w:lineRule="auto"/>
        <w:ind w:firstLine="720"/>
      </w:pPr>
      <w:r w:rsidRPr="00051A1F">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051A1F" w:rsidRPr="00051A1F" w:rsidP="00051A1F" w14:paraId="76921486" w14:textId="77777777">
      <w:pPr>
        <w:snapToGrid w:val="0"/>
        <w:spacing w:after="120" w:line="259" w:lineRule="auto"/>
        <w:ind w:firstLine="720"/>
      </w:pPr>
      <w:r w:rsidRPr="00051A1F">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051A1F" w:rsidRPr="00051A1F" w:rsidP="00051A1F" w14:paraId="5D2A4087" w14:textId="77777777">
      <w:pPr>
        <w:snapToGrid w:val="0"/>
        <w:spacing w:after="120" w:line="259" w:lineRule="auto"/>
        <w:ind w:firstLine="720"/>
      </w:pPr>
      <w:r w:rsidRPr="00051A1F">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051A1F" w:rsidRPr="00051A1F" w:rsidP="00051A1F" w14:paraId="38FA71F4" w14:textId="77777777">
      <w:pPr>
        <w:snapToGrid w:val="0"/>
        <w:spacing w:after="120" w:line="259" w:lineRule="auto"/>
        <w:ind w:firstLine="720"/>
      </w:pPr>
      <w:r w:rsidRPr="00051A1F">
        <w:t>I certify that I am not involved in Competitive Decision-Making.</w:t>
      </w:r>
    </w:p>
    <w:p w:rsidR="00051A1F" w:rsidRPr="00051A1F" w:rsidP="00051A1F" w14:paraId="7AF28197" w14:textId="77777777">
      <w:pPr>
        <w:snapToGrid w:val="0"/>
        <w:spacing w:after="120" w:line="259" w:lineRule="auto"/>
        <w:ind w:firstLine="720"/>
      </w:pPr>
      <w:r w:rsidRPr="00051A1F">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051A1F" w:rsidRPr="00051A1F" w:rsidP="00051A1F" w14:paraId="446289E6" w14:textId="77777777">
      <w:pPr>
        <w:snapToGrid w:val="0"/>
        <w:spacing w:after="120" w:line="259" w:lineRule="auto"/>
        <w:ind w:firstLine="720"/>
      </w:pPr>
      <w:r w:rsidRPr="00051A1F">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051A1F" w:rsidRPr="00051A1F" w:rsidP="00051A1F" w14:paraId="135102C4" w14:textId="77777777">
      <w:pPr>
        <w:snapToGrid w:val="0"/>
        <w:spacing w:after="120" w:line="259" w:lineRule="auto"/>
        <w:ind w:firstLine="720"/>
      </w:pPr>
      <w:r w:rsidRPr="00051A1F">
        <w:t>I certify that I have verified that there are in place procedures at my firm or office to prevent unauthorized disclosure of Confidential Information and Highly Confidential Information.</w:t>
      </w:r>
    </w:p>
    <w:p w:rsidR="00051A1F" w:rsidRPr="00051A1F" w:rsidP="00051A1F" w14:paraId="25E3D440" w14:textId="77777777">
      <w:pPr>
        <w:snapToGrid w:val="0"/>
        <w:spacing w:after="120" w:line="259" w:lineRule="auto"/>
        <w:ind w:firstLine="720"/>
      </w:pPr>
      <w:r w:rsidRPr="00051A1F">
        <w:t>Capitalized terms used herein and not otherwise defined shall have the meanings ascribed to them in the Protective Order. </w:t>
      </w:r>
    </w:p>
    <w:p w:rsidR="00051A1F" w:rsidRPr="00051A1F" w:rsidP="00051A1F" w14:paraId="305253D2" w14:textId="77777777">
      <w:pPr>
        <w:snapToGrid w:val="0"/>
        <w:spacing w:after="120" w:line="200" w:lineRule="exact"/>
        <w:ind w:left="3600" w:firstLine="720"/>
      </w:pPr>
      <w:r w:rsidRPr="00051A1F">
        <w:t>Executed this ___ day of _____________, 20__.</w:t>
      </w:r>
    </w:p>
    <w:p w:rsidR="00051A1F" w:rsidRPr="00051A1F" w:rsidP="00051A1F" w14:paraId="61667E72" w14:textId="77777777">
      <w:pPr>
        <w:snapToGrid w:val="0"/>
        <w:spacing w:after="120" w:line="200" w:lineRule="exact"/>
      </w:pPr>
      <w:r w:rsidRPr="00051A1F">
        <w:t> </w:t>
      </w:r>
    </w:p>
    <w:p w:rsidR="00051A1F" w:rsidRPr="00051A1F" w:rsidP="00051A1F" w14:paraId="340DCF7B" w14:textId="77777777">
      <w:pPr>
        <w:snapToGrid w:val="0"/>
        <w:spacing w:after="120" w:line="200" w:lineRule="exact"/>
      </w:pPr>
      <w:r w:rsidRPr="00051A1F">
        <w:tab/>
      </w:r>
      <w:r w:rsidRPr="00051A1F">
        <w:tab/>
      </w:r>
      <w:r w:rsidRPr="00051A1F">
        <w:tab/>
      </w:r>
      <w:r w:rsidRPr="00051A1F">
        <w:tab/>
      </w:r>
      <w:r w:rsidRPr="00051A1F">
        <w:tab/>
      </w:r>
      <w:r w:rsidRPr="00051A1F">
        <w:tab/>
        <w:t>_________________________________</w:t>
      </w:r>
    </w:p>
    <w:p w:rsidR="00051A1F" w:rsidRPr="00051A1F" w:rsidP="00051A1F" w14:paraId="10DD6306" w14:textId="77777777">
      <w:pPr>
        <w:snapToGrid w:val="0"/>
        <w:spacing w:line="200" w:lineRule="exact"/>
      </w:pPr>
      <w:r w:rsidRPr="00051A1F">
        <w:tab/>
      </w:r>
      <w:r w:rsidRPr="00051A1F">
        <w:tab/>
      </w:r>
      <w:r w:rsidRPr="00051A1F">
        <w:tab/>
      </w:r>
      <w:r w:rsidRPr="00051A1F">
        <w:tab/>
      </w:r>
      <w:r w:rsidRPr="00051A1F">
        <w:tab/>
      </w:r>
      <w:r w:rsidRPr="00051A1F">
        <w:tab/>
        <w:t>[Name]</w:t>
      </w:r>
    </w:p>
    <w:p w:rsidR="00051A1F" w:rsidRPr="00051A1F" w:rsidP="00051A1F" w14:paraId="182C9FA5" w14:textId="77777777">
      <w:pPr>
        <w:snapToGrid w:val="0"/>
        <w:spacing w:line="200" w:lineRule="exact"/>
      </w:pPr>
      <w:r w:rsidRPr="00051A1F">
        <w:tab/>
      </w:r>
      <w:r w:rsidRPr="00051A1F">
        <w:tab/>
      </w:r>
      <w:r w:rsidRPr="00051A1F">
        <w:tab/>
      </w:r>
      <w:r w:rsidRPr="00051A1F">
        <w:tab/>
      </w:r>
      <w:r w:rsidRPr="00051A1F">
        <w:tab/>
      </w:r>
      <w:r w:rsidRPr="00051A1F">
        <w:tab/>
        <w:t>[Position]</w:t>
      </w:r>
    </w:p>
    <w:p w:rsidR="00051A1F" w:rsidRPr="00051A1F" w:rsidP="00051A1F" w14:paraId="02F534D8" w14:textId="77777777">
      <w:pPr>
        <w:snapToGrid w:val="0"/>
        <w:spacing w:line="200" w:lineRule="exact"/>
      </w:pPr>
      <w:r w:rsidRPr="00051A1F">
        <w:tab/>
      </w:r>
      <w:r w:rsidRPr="00051A1F">
        <w:tab/>
      </w:r>
      <w:r w:rsidRPr="00051A1F">
        <w:tab/>
      </w:r>
      <w:r w:rsidRPr="00051A1F">
        <w:tab/>
      </w:r>
      <w:r w:rsidRPr="00051A1F">
        <w:tab/>
      </w:r>
      <w:r w:rsidRPr="00051A1F">
        <w:tab/>
        <w:t>[Firm]</w:t>
      </w:r>
    </w:p>
    <w:p w:rsidR="00051A1F" w:rsidRPr="00E86466" w:rsidP="00E86466" w14:paraId="0FCCA1E3" w14:textId="7329C15D">
      <w:pPr>
        <w:snapToGrid w:val="0"/>
        <w:spacing w:line="200" w:lineRule="exact"/>
        <w:ind w:left="3600" w:firstLine="720"/>
      </w:pPr>
      <w:r w:rsidRPr="00051A1F">
        <w:t>[Telephone]</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2F9" w14:paraId="26D5B2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4322F9" w14:paraId="6F27A1AD" w14:textId="77777777">
    <w:pPr>
      <w:pStyle w:val="Footer"/>
    </w:pPr>
  </w:p>
  <w:p w:rsidR="009C2B71" w14:paraId="2F355C3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B71" w:rsidP="00EB35CA" w14:paraId="04F361C6" w14:textId="0AD0C3D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2F9" w14:paraId="26FC35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701B" w14:paraId="7CC5220A" w14:textId="77777777">
      <w:r>
        <w:separator/>
      </w:r>
    </w:p>
  </w:footnote>
  <w:footnote w:type="continuationSeparator" w:id="1">
    <w:p w:rsidR="0025701B" w14:paraId="751B7943" w14:textId="77777777">
      <w:pPr>
        <w:rPr>
          <w:sz w:val="20"/>
        </w:rPr>
      </w:pPr>
      <w:r>
        <w:rPr>
          <w:sz w:val="20"/>
        </w:rPr>
        <w:t xml:space="preserve">(Continued from previous page)  </w:t>
      </w:r>
      <w:r>
        <w:rPr>
          <w:sz w:val="20"/>
        </w:rPr>
        <w:separator/>
      </w:r>
    </w:p>
  </w:footnote>
  <w:footnote w:type="continuationNotice" w:id="2">
    <w:p w:rsidR="0025701B" w14:paraId="5ED23574" w14:textId="77777777">
      <w:pPr>
        <w:jc w:val="right"/>
        <w:rPr>
          <w:sz w:val="20"/>
        </w:rPr>
      </w:pPr>
      <w:r>
        <w:rPr>
          <w:sz w:val="20"/>
        </w:rPr>
        <w:t>(continued….)</w:t>
      </w:r>
    </w:p>
  </w:footnote>
  <w:footnote w:id="3">
    <w:p w:rsidR="00B71E17" w:rsidP="00B71E17" w14:paraId="792FDF38" w14:textId="77777777">
      <w:pPr>
        <w:pStyle w:val="FootnoteText"/>
      </w:pPr>
      <w:r>
        <w:rPr>
          <w:rStyle w:val="FootnoteReference"/>
        </w:rPr>
        <w:footnoteRef/>
      </w:r>
      <w:r>
        <w:t xml:space="preserve"> </w:t>
      </w:r>
      <w:r w:rsidRPr="00ED2251">
        <w:rPr>
          <w:i/>
          <w:iCs/>
        </w:rPr>
        <w:t>Call Authentication Trust Anchor</w:t>
      </w:r>
      <w:r w:rsidRPr="00ED2251">
        <w:t xml:space="preserve">, WC Docket No. 17-97, Second Report and Order, </w:t>
      </w:r>
      <w:r>
        <w:t xml:space="preserve">36 FCC </w:t>
      </w:r>
      <w:r>
        <w:t>Rcd</w:t>
      </w:r>
      <w:r>
        <w:t xml:space="preserve"> 1859</w:t>
      </w:r>
      <w:r w:rsidRPr="00ED2251">
        <w:t xml:space="preserve">, </w:t>
      </w:r>
      <w:r>
        <w:t>1902</w:t>
      </w:r>
      <w:r w:rsidRPr="00ED2251">
        <w:t xml:space="preserve">, para. </w:t>
      </w:r>
      <w:r>
        <w:t>82</w:t>
      </w:r>
      <w:r w:rsidRPr="00ED2251">
        <w:t xml:space="preserve"> (2020) (</w:t>
      </w:r>
      <w:r w:rsidRPr="00ED2251">
        <w:rPr>
          <w:i/>
          <w:iCs/>
        </w:rPr>
        <w:t>Second STIR/SHAKEN Order</w:t>
      </w:r>
      <w:r w:rsidRPr="00ED2251">
        <w:t>)</w:t>
      </w:r>
      <w:r>
        <w:t>.</w:t>
      </w:r>
    </w:p>
  </w:footnote>
  <w:footnote w:id="4">
    <w:p w:rsidR="00AC1467" w:rsidP="00AC1467" w14:paraId="7445312D" w14:textId="13C09FF3">
      <w:pPr>
        <w:pStyle w:val="FootnoteText"/>
      </w:pPr>
      <w:r>
        <w:rPr>
          <w:rStyle w:val="FootnoteReference"/>
        </w:rPr>
        <w:footnoteRef/>
      </w:r>
      <w:r>
        <w:t xml:space="preserve"> </w:t>
      </w:r>
      <w:r w:rsidR="003F37A9">
        <w:rPr>
          <w:i/>
          <w:iCs/>
        </w:rPr>
        <w:t>See S</w:t>
      </w:r>
      <w:r w:rsidRPr="00E0014A" w:rsidR="003F37A9">
        <w:rPr>
          <w:i/>
          <w:iCs/>
        </w:rPr>
        <w:t>econd STIR/SHAKEN Orde</w:t>
      </w:r>
      <w:r w:rsidR="003F37A9">
        <w:rPr>
          <w:i/>
          <w:iCs/>
        </w:rPr>
        <w:t>r</w:t>
      </w:r>
      <w:r w:rsidR="003F37A9">
        <w:t xml:space="preserve">, 36 FCC </w:t>
      </w:r>
      <w:r w:rsidR="003F37A9">
        <w:t>Rcd</w:t>
      </w:r>
      <w:r w:rsidR="003F37A9">
        <w:t xml:space="preserve"> at 1900, para. 77.</w:t>
      </w:r>
    </w:p>
  </w:footnote>
  <w:footnote w:id="5">
    <w:p w:rsidR="00AC1467" w:rsidP="00AC1467" w14:paraId="1D7C9179" w14:textId="7DC27562">
      <w:pPr>
        <w:pStyle w:val="FootnoteText"/>
      </w:pPr>
      <w:r>
        <w:rPr>
          <w:rStyle w:val="FootnoteReference"/>
        </w:rPr>
        <w:footnoteRef/>
      </w:r>
      <w:r>
        <w:t xml:space="preserve"> </w:t>
      </w:r>
      <w:r w:rsidRPr="00E0014A" w:rsidR="00A12619">
        <w:rPr>
          <w:i/>
          <w:iCs/>
        </w:rPr>
        <w:t>Second STIR/SHAKEN Order</w:t>
      </w:r>
      <w:r w:rsidR="00A12619">
        <w:t xml:space="preserve">, 36 FCC </w:t>
      </w:r>
      <w:r w:rsidR="00A12619">
        <w:t>Rcd</w:t>
      </w:r>
      <w:r w:rsidR="00A12619">
        <w:t xml:space="preserve"> at 1902-03, para. 83.</w:t>
      </w:r>
    </w:p>
  </w:footnote>
  <w:footnote w:id="6">
    <w:p w:rsidR="004F118B" w:rsidRPr="002B180F" w:rsidP="004F118B" w14:paraId="174F9023" w14:textId="77777777">
      <w:pPr>
        <w:pStyle w:val="FootnoteText"/>
      </w:pPr>
      <w:r>
        <w:rPr>
          <w:rStyle w:val="FootnoteReference"/>
        </w:rPr>
        <w:footnoteRef/>
      </w:r>
      <w:r>
        <w:t xml:space="preserve"> </w:t>
      </w:r>
      <w:r>
        <w:rPr>
          <w:i/>
          <w:iCs/>
        </w:rPr>
        <w:t>Wireline Competition Bureau Seeks Comment on Protective Order for Robocall Mitigation Database Collection</w:t>
      </w:r>
      <w:r>
        <w:t>, WC Docket No. 17-97, Public Notice, DA 21-546 (WCB May 10, 2021) (</w:t>
      </w:r>
      <w:r>
        <w:rPr>
          <w:i/>
          <w:iCs/>
        </w:rPr>
        <w:t>Database Protective Order Public Notice</w:t>
      </w:r>
      <w:r>
        <w:t>).</w:t>
      </w:r>
    </w:p>
  </w:footnote>
  <w:footnote w:id="7">
    <w:p w:rsidR="004F118B" w:rsidRPr="00C83252" w:rsidP="004F118B" w14:paraId="62595140" w14:textId="77777777">
      <w:pPr>
        <w:pStyle w:val="FootnoteText"/>
      </w:pPr>
      <w:r>
        <w:rPr>
          <w:rStyle w:val="FootnoteReference"/>
        </w:rPr>
        <w:footnoteRef/>
      </w:r>
      <w:r>
        <w:t xml:space="preserve"> </w:t>
      </w:r>
      <w:r>
        <w:rPr>
          <w:i/>
          <w:iCs/>
        </w:rPr>
        <w:t xml:space="preserve">Database Protective Order Public Notice </w:t>
      </w:r>
      <w:r>
        <w:t>at 1.</w:t>
      </w:r>
    </w:p>
  </w:footnote>
  <w:footnote w:id="8">
    <w:p w:rsidR="004F118B" w:rsidP="004F118B" w14:paraId="178EE97B" w14:textId="77777777">
      <w:pPr>
        <w:pStyle w:val="FootnoteText"/>
      </w:pPr>
      <w:r>
        <w:rPr>
          <w:rStyle w:val="FootnoteReference"/>
        </w:rPr>
        <w:footnoteRef/>
      </w:r>
      <w:r>
        <w:t xml:space="preserve"> </w:t>
      </w:r>
      <w:r>
        <w:t>USTelecom</w:t>
      </w:r>
      <w:r>
        <w:t xml:space="preserve"> – The Broadband Association Reply Comments, WC Docket No. 17-97 (rec. June 8, 2021) (</w:t>
      </w:r>
      <w:r>
        <w:t>USTelecom</w:t>
      </w:r>
      <w:r>
        <w:t xml:space="preserve"> Reply Comments).</w:t>
      </w:r>
    </w:p>
  </w:footnote>
  <w:footnote w:id="9">
    <w:p w:rsidR="004B1BC4" w14:paraId="56F8F3D2" w14:textId="4537CA17">
      <w:pPr>
        <w:pStyle w:val="FootnoteText"/>
      </w:pPr>
      <w:r>
        <w:rPr>
          <w:rStyle w:val="FootnoteReference"/>
        </w:rPr>
        <w:footnoteRef/>
      </w:r>
      <w:r>
        <w:t xml:space="preserve"> </w:t>
      </w:r>
      <w:r w:rsidR="004F3953">
        <w:rPr>
          <w:i/>
          <w:iCs/>
        </w:rPr>
        <w:t xml:space="preserve">Database Protective Order Public Notice </w:t>
      </w:r>
      <w:r w:rsidR="004F3953">
        <w:t>at 2.</w:t>
      </w:r>
    </w:p>
  </w:footnote>
  <w:footnote w:id="10">
    <w:p w:rsidR="00C620BC" w14:paraId="3B9F7DED" w14:textId="645E2EEB">
      <w:pPr>
        <w:pStyle w:val="FootnoteText"/>
      </w:pPr>
      <w:r>
        <w:rPr>
          <w:rStyle w:val="FootnoteReference"/>
        </w:rPr>
        <w:footnoteRef/>
      </w:r>
      <w:r>
        <w:t xml:space="preserve"> </w:t>
      </w:r>
      <w:r>
        <w:rPr>
          <w:i/>
          <w:iCs/>
        </w:rPr>
        <w:t>Wireline Competition Bureau Announces Opening of Robocall Mitigation Database and Provides Filing Instructions and Deadlines</w:t>
      </w:r>
      <w:r>
        <w:t xml:space="preserve">, WC Docket No. 17-97, Public Notice, </w:t>
      </w:r>
      <w:r w:rsidRPr="00AE58C5">
        <w:t>DA 21-454, at 3</w:t>
      </w:r>
      <w:r>
        <w:t>-4</w:t>
      </w:r>
      <w:r w:rsidRPr="00AE58C5">
        <w:t xml:space="preserve"> (WCB Apr. 20, 2021)</w:t>
      </w:r>
      <w:r>
        <w:t xml:space="preserve"> (</w:t>
      </w:r>
      <w:r>
        <w:rPr>
          <w:i/>
          <w:iCs/>
        </w:rPr>
        <w:t>Database Opening Public Notice</w:t>
      </w:r>
      <w:r>
        <w:t>).</w:t>
      </w:r>
    </w:p>
  </w:footnote>
  <w:footnote w:id="11">
    <w:p w:rsidR="00581421" w:rsidP="00581421" w14:paraId="705D06BE" w14:textId="77777777">
      <w:pPr>
        <w:pStyle w:val="FootnoteText"/>
      </w:pPr>
      <w:r>
        <w:rPr>
          <w:rStyle w:val="FootnoteReference"/>
        </w:rPr>
        <w:footnoteRef/>
      </w:r>
      <w:r>
        <w:t xml:space="preserve"> On July 27, 2020, after an application process, the Commission designated the Industry Traceback Group as the registered Traceback Consortium.  </w:t>
      </w:r>
      <w:r w:rsidRPr="00411CDE">
        <w:rPr>
          <w:i/>
          <w:iCs/>
        </w:rPr>
        <w:t>Implementing Section 13(d) of the Pallone-Thune Telephone Robocall Abuse Criminal Enforcement and Deterrence Act (TRACED Act)</w:t>
      </w:r>
      <w:r w:rsidRPr="006F4935">
        <w:t>, EB Docket No. 20-22, Report and Order,</w:t>
      </w:r>
      <w:r>
        <w:t xml:space="preserve"> 35 FCC </w:t>
      </w:r>
      <w:r>
        <w:t>Rcd</w:t>
      </w:r>
      <w:r>
        <w:t xml:space="preserve"> 7886 </w:t>
      </w:r>
      <w:r w:rsidRPr="006F4935">
        <w:t>(</w:t>
      </w:r>
      <w:r>
        <w:t>EB</w:t>
      </w:r>
      <w:r w:rsidRPr="006F4935">
        <w:t xml:space="preserve"> 2020).</w:t>
      </w:r>
    </w:p>
  </w:footnote>
  <w:footnote w:id="12">
    <w:p w:rsidR="00581421" w:rsidRPr="00AE58C5" w:rsidP="00581421" w14:paraId="3BD8A5BA" w14:textId="1B4B86B5">
      <w:pPr>
        <w:pStyle w:val="FootnoteText"/>
      </w:pPr>
      <w:r>
        <w:rPr>
          <w:rStyle w:val="FootnoteReference"/>
        </w:rPr>
        <w:footnoteRef/>
      </w:r>
      <w:r>
        <w:t xml:space="preserve"> The Governance Authority defines policies and procedures for which entities can acquire “certificates” needed to participate in STIR/SHAKEN.  The current Governance Authority is the Secure Telephone Identity Governance Authority (STI-GA).  </w:t>
      </w:r>
      <w:r>
        <w:rPr>
          <w:i/>
          <w:iCs/>
        </w:rPr>
        <w:t>See</w:t>
      </w:r>
      <w:r>
        <w:t xml:space="preserve"> </w:t>
      </w:r>
      <w:r>
        <w:rPr>
          <w:i/>
          <w:iCs/>
        </w:rPr>
        <w:t>Second STIR/SHAKEN Order</w:t>
      </w:r>
      <w:r>
        <w:t>,</w:t>
      </w:r>
      <w:r w:rsidR="00A66194">
        <w:t xml:space="preserve"> 36 FCC </w:t>
      </w:r>
      <w:r w:rsidR="00A66194">
        <w:t>Rcd</w:t>
      </w:r>
      <w:r w:rsidR="00A66194">
        <w:t xml:space="preserve"> at 1864,</w:t>
      </w:r>
      <w:r>
        <w:t xml:space="preserve"> para. 11 &amp; n.37.</w:t>
      </w:r>
    </w:p>
  </w:footnote>
  <w:footnote w:id="13">
    <w:p w:rsidR="00A856B4" w14:paraId="543D0B89" w14:textId="7173056E">
      <w:pPr>
        <w:pStyle w:val="FootnoteText"/>
      </w:pPr>
      <w:r>
        <w:rPr>
          <w:rStyle w:val="FootnoteReference"/>
        </w:rPr>
        <w:footnoteRef/>
      </w:r>
      <w:r>
        <w:t xml:space="preserve"> </w:t>
      </w:r>
      <w:r>
        <w:rPr>
          <w:i/>
          <w:iCs/>
        </w:rPr>
        <w:t xml:space="preserve">Database Protective Order Public Notice </w:t>
      </w:r>
      <w:r>
        <w:t>at 2.</w:t>
      </w:r>
    </w:p>
  </w:footnote>
  <w:footnote w:id="14">
    <w:p w:rsidR="00581421" w:rsidP="00581421" w14:paraId="015AB068" w14:textId="025B659C">
      <w:pPr>
        <w:pStyle w:val="FootnoteText"/>
      </w:pPr>
      <w:r>
        <w:rPr>
          <w:rStyle w:val="FootnoteReference"/>
        </w:rPr>
        <w:footnoteRef/>
      </w:r>
      <w:r>
        <w:t xml:space="preserve"> </w:t>
      </w:r>
      <w:r w:rsidRPr="00E0014A">
        <w:rPr>
          <w:i/>
          <w:iCs/>
        </w:rPr>
        <w:t>Second STIR/SHAKEN Order</w:t>
      </w:r>
      <w:r>
        <w:t>,</w:t>
      </w:r>
      <w:r w:rsidR="00FA18A2">
        <w:t xml:space="preserve"> 36 FCC </w:t>
      </w:r>
      <w:r w:rsidR="00FA18A2">
        <w:t>Rcd</w:t>
      </w:r>
      <w:r w:rsidR="00A66194">
        <w:t xml:space="preserve"> at</w:t>
      </w:r>
      <w:r w:rsidR="00FA18A2">
        <w:t xml:space="preserve"> 1902-03,</w:t>
      </w:r>
      <w:r>
        <w:t xml:space="preserve"> paras. 82-83.</w:t>
      </w:r>
    </w:p>
  </w:footnote>
  <w:footnote w:id="15">
    <w:p w:rsidR="00581421" w:rsidRPr="00BE2B7F" w:rsidP="00581421" w14:paraId="0F2E4579" w14:textId="34D3FDC1">
      <w:pPr>
        <w:pStyle w:val="FootnoteText"/>
      </w:pPr>
      <w:r>
        <w:rPr>
          <w:rStyle w:val="FootnoteReference"/>
        </w:rPr>
        <w:footnoteRef/>
      </w:r>
      <w:r>
        <w:t xml:space="preserve"> </w:t>
      </w:r>
      <w:r w:rsidR="005B6E92">
        <w:rPr>
          <w:i/>
          <w:iCs/>
        </w:rPr>
        <w:t xml:space="preserve">Database Protective Order Public Notice </w:t>
      </w:r>
      <w:r w:rsidR="005B6E92">
        <w:t>at 3</w:t>
      </w:r>
      <w:r w:rsidR="005B0829">
        <w:t>.</w:t>
      </w:r>
    </w:p>
  </w:footnote>
  <w:footnote w:id="16">
    <w:p w:rsidR="00581421" w:rsidRPr="00D16201" w:rsidP="00581421" w14:paraId="7D2BF591" w14:textId="012F7BB0">
      <w:pPr>
        <w:pStyle w:val="FootnoteText"/>
      </w:pPr>
      <w:r>
        <w:rPr>
          <w:rStyle w:val="FootnoteReference"/>
        </w:rPr>
        <w:footnoteRef/>
      </w:r>
      <w:r>
        <w:t xml:space="preserve"> </w:t>
      </w:r>
      <w:r w:rsidRPr="00A77B67" w:rsidR="00DB5C65">
        <w:rPr>
          <w:i/>
          <w:iCs/>
        </w:rPr>
        <w:t xml:space="preserve">Protective Order issued in the matter of Applications for HDC Alpha, LLC; HDC Beta, LLC; HDC Gamma, LLC; HDC Delta, LLC; HDC Epsilon, LLC for </w:t>
      </w:r>
      <w:r w:rsidRPr="00A77B67" w:rsidR="00DB5C65">
        <w:rPr>
          <w:i/>
          <w:iCs/>
        </w:rPr>
        <w:t>iVoip</w:t>
      </w:r>
      <w:r w:rsidRPr="00A77B67" w:rsidR="00DB5C65">
        <w:rPr>
          <w:i/>
          <w:iCs/>
        </w:rPr>
        <w:t xml:space="preserve"> Authorization Pursuant to Section 52.15(g)(3) of the Commission's Rules</w:t>
      </w:r>
      <w:r w:rsidR="00DB5C65">
        <w:t>, WC Docket Nos. 19-313, 19-314, 19-315, 19-316, and 19-317, Protective Order, DA 21-105</w:t>
      </w:r>
      <w:r w:rsidR="007359AF">
        <w:t xml:space="preserve"> </w:t>
      </w:r>
      <w:r w:rsidR="00DB5C65">
        <w:t>(WCB Feb. 1, 2021)</w:t>
      </w:r>
      <w:r w:rsidR="007359AF">
        <w:t xml:space="preserve"> (providing an example of a typical Bureau protective order and relevant provisions)</w:t>
      </w:r>
      <w:r w:rsidR="00DB5C65">
        <w:t xml:space="preserve"> (</w:t>
      </w:r>
      <w:r w:rsidR="00DB5C65">
        <w:rPr>
          <w:i/>
          <w:iCs/>
        </w:rPr>
        <w:t>HDC Protective Order</w:t>
      </w:r>
      <w:r w:rsidR="00DB5C65">
        <w:t xml:space="preserve">); </w:t>
      </w:r>
      <w:r w:rsidRPr="007F0828" w:rsidR="00DB5C65">
        <w:rPr>
          <w:i/>
          <w:iCs/>
        </w:rPr>
        <w:t>Updating the Intercarrier Compensation Regime to Eliminate Access Arbitrage</w:t>
      </w:r>
      <w:r w:rsidR="00DB5C65">
        <w:t>, WC Docket No. 18-155, Protective Order, DA 20-596</w:t>
      </w:r>
      <w:r w:rsidR="006765BB">
        <w:t xml:space="preserve"> </w:t>
      </w:r>
      <w:r w:rsidR="00DB5C65">
        <w:t>(WCB June 5, 2020)</w:t>
      </w:r>
      <w:r w:rsidR="007359AF">
        <w:t xml:space="preserve"> (providing another example of a typical Bureau protective order and relevant provisions) </w:t>
      </w:r>
      <w:r w:rsidR="00DB5C65">
        <w:t>(</w:t>
      </w:r>
      <w:r w:rsidR="00DB5C65">
        <w:rPr>
          <w:i/>
          <w:iCs/>
        </w:rPr>
        <w:t>Access Arbitrage Protective Order</w:t>
      </w:r>
      <w:r w:rsidR="00DB5C65">
        <w:t>).</w:t>
      </w:r>
      <w:r>
        <w:rPr>
          <w:i/>
          <w:iCs/>
        </w:rPr>
        <w:t xml:space="preserve"> </w:t>
      </w:r>
    </w:p>
  </w:footnote>
  <w:footnote w:id="17">
    <w:p w:rsidR="00581421" w:rsidRPr="004D32F2" w:rsidP="00581421" w14:paraId="1A78B360" w14:textId="5B888A7F">
      <w:pPr>
        <w:pStyle w:val="FootnoteText"/>
      </w:pPr>
      <w:r>
        <w:rPr>
          <w:rStyle w:val="FootnoteReference"/>
        </w:rPr>
        <w:footnoteRef/>
      </w:r>
      <w:r>
        <w:t xml:space="preserve"> </w:t>
      </w:r>
      <w:r>
        <w:rPr>
          <w:i/>
          <w:iCs/>
        </w:rPr>
        <w:t xml:space="preserve">HDC Protective Order </w:t>
      </w:r>
      <w:r>
        <w:t xml:space="preserve">at Appendices A and B (providing examples of appendices containing an Acknowledgement of Confidentiality and a list of highly confidential information and documents); </w:t>
      </w:r>
      <w:r>
        <w:rPr>
          <w:i/>
          <w:iCs/>
        </w:rPr>
        <w:t xml:space="preserve">Access Arbitrage Protective Order </w:t>
      </w:r>
      <w:r>
        <w:t>at Appendices A and B (providing examples of appendices containing an Acknowledgement of Confidentiality and a list of highly confidential information and documents)</w:t>
      </w:r>
      <w:r w:rsidR="00D85391">
        <w:t>.</w:t>
      </w:r>
      <w:r w:rsidR="000809E1">
        <w:t xml:space="preserve"> </w:t>
      </w:r>
      <w:r w:rsidR="00D85391">
        <w:t xml:space="preserve"> </w:t>
      </w:r>
      <w:r w:rsidR="00D85391">
        <w:rPr>
          <w:bCs/>
          <w:szCs w:val="22"/>
        </w:rPr>
        <w:t>While we proposed</w:t>
      </w:r>
      <w:r w:rsidR="000809E1">
        <w:rPr>
          <w:bCs/>
          <w:szCs w:val="22"/>
        </w:rPr>
        <w:t xml:space="preserve"> </w:t>
      </w:r>
      <w:r w:rsidR="00D85391">
        <w:rPr>
          <w:bCs/>
          <w:szCs w:val="22"/>
        </w:rPr>
        <w:t>including</w:t>
      </w:r>
      <w:r w:rsidR="000809E1">
        <w:rPr>
          <w:bCs/>
          <w:szCs w:val="22"/>
        </w:rPr>
        <w:t xml:space="preserve"> an appendix detailing highly confidential information</w:t>
      </w:r>
      <w:r w:rsidR="00D85391">
        <w:rPr>
          <w:bCs/>
          <w:szCs w:val="22"/>
        </w:rPr>
        <w:t>, upon further review we find one</w:t>
      </w:r>
      <w:r w:rsidR="000809E1">
        <w:rPr>
          <w:bCs/>
          <w:szCs w:val="22"/>
        </w:rPr>
        <w:t xml:space="preserve"> unnecessary due to the limited number of categories of highly confidential information in this context.  As such, we incorporate these few categories into the definition of “Highly Confidential Information” and did not include a separate appendix</w:t>
      </w:r>
      <w:r w:rsidR="00224AD6">
        <w:rPr>
          <w:bCs/>
          <w:szCs w:val="22"/>
        </w:rPr>
        <w:t xml:space="preserve"> in the Protective Order</w:t>
      </w:r>
      <w:r w:rsidR="000809E1">
        <w:rPr>
          <w:bCs/>
          <w:szCs w:val="22"/>
        </w:rPr>
        <w:t xml:space="preserve"> for highly confidential information. </w:t>
      </w:r>
      <w:r w:rsidRPr="00A5737D" w:rsidR="000809E1">
        <w:rPr>
          <w:bCs/>
          <w:szCs w:val="22"/>
        </w:rPr>
        <w:t xml:space="preserve"> </w:t>
      </w:r>
    </w:p>
  </w:footnote>
  <w:footnote w:id="18">
    <w:p w:rsidR="007F70A6" w:rsidRPr="007F70A6" w14:paraId="4C5534BA" w14:textId="312464CF">
      <w:pPr>
        <w:pStyle w:val="FootnoteText"/>
      </w:pPr>
      <w:r>
        <w:rPr>
          <w:rStyle w:val="FootnoteReference"/>
        </w:rPr>
        <w:footnoteRef/>
      </w:r>
      <w:r>
        <w:t xml:space="preserve"> </w:t>
      </w:r>
      <w:r w:rsidR="00FF6851">
        <w:t>USTelecom</w:t>
      </w:r>
      <w:r w:rsidR="00FF6851">
        <w:t xml:space="preserve"> Reply Comments</w:t>
      </w:r>
      <w:r>
        <w:t xml:space="preserve"> at 1</w:t>
      </w:r>
      <w:r w:rsidR="001B1B32">
        <w:t>, 3-4</w:t>
      </w:r>
      <w:r>
        <w:t>.</w:t>
      </w:r>
    </w:p>
  </w:footnote>
  <w:footnote w:id="19">
    <w:p w:rsidR="00072B4F" w:rsidRPr="00072B4F" w14:paraId="759FDC28" w14:textId="7D982BC9">
      <w:pPr>
        <w:pStyle w:val="FootnoteText"/>
      </w:pPr>
      <w:r>
        <w:rPr>
          <w:rStyle w:val="FootnoteReference"/>
        </w:rPr>
        <w:footnoteRef/>
      </w:r>
      <w:r>
        <w:t xml:space="preserve"> </w:t>
      </w:r>
      <w:r>
        <w:rPr>
          <w:i/>
          <w:iCs/>
        </w:rPr>
        <w:t>See infra</w:t>
      </w:r>
      <w:r>
        <w:t xml:space="preserve"> Appx</w:t>
      </w:r>
      <w:r w:rsidR="00002BEE">
        <w:t>.</w:t>
      </w:r>
      <w:r>
        <w:t xml:space="preserve"> A, para. </w:t>
      </w:r>
      <w:r w:rsidRPr="00635EDB" w:rsidR="00635EDB">
        <w:t>4</w:t>
      </w:r>
      <w:r w:rsidRPr="0029637A">
        <w:t>.</w:t>
      </w:r>
    </w:p>
  </w:footnote>
  <w:footnote w:id="20">
    <w:p w:rsidR="00051A1F" w:rsidP="00051A1F" w14:paraId="3249DDE7" w14:textId="77777777">
      <w:pPr>
        <w:pStyle w:val="FootnoteText"/>
      </w:pPr>
      <w:r>
        <w:rPr>
          <w:rStyle w:val="FootnoteReference"/>
        </w:rPr>
        <w:footnoteRef/>
      </w:r>
      <w:r>
        <w:t xml:space="preserve"> </w:t>
      </w:r>
      <w:r w:rsidRPr="00ED2251">
        <w:rPr>
          <w:i/>
          <w:iCs/>
        </w:rPr>
        <w:t>Call Authentication Trust Anchor</w:t>
      </w:r>
      <w:r w:rsidRPr="00ED2251">
        <w:t xml:space="preserve">, WC Docket No. 17-97, Second Report and Order, </w:t>
      </w:r>
      <w:r>
        <w:t xml:space="preserve">36 FCC </w:t>
      </w:r>
      <w:r>
        <w:t>Rcd</w:t>
      </w:r>
      <w:r>
        <w:t xml:space="preserve"> 1859, 1902-03</w:t>
      </w:r>
      <w:r w:rsidRPr="00ED2251">
        <w:t>, para</w:t>
      </w:r>
      <w:r>
        <w:t>s</w:t>
      </w:r>
      <w:r w:rsidRPr="00ED2251">
        <w:t xml:space="preserve">. </w:t>
      </w:r>
      <w:r>
        <w:t>82-83 (</w:t>
      </w:r>
      <w:r w:rsidRPr="00ED2251">
        <w:t>2020) (</w:t>
      </w:r>
      <w:r w:rsidRPr="00ED2251">
        <w:rPr>
          <w:i/>
          <w:iCs/>
        </w:rPr>
        <w:t>Second STIR/SHAKEN Order</w:t>
      </w:r>
      <w:r w:rsidRPr="00ED2251">
        <w:t>)</w:t>
      </w:r>
      <w:r>
        <w:t>.</w:t>
      </w:r>
    </w:p>
  </w:footnote>
  <w:footnote w:id="21">
    <w:p w:rsidR="00051A1F" w:rsidRPr="001106B2" w:rsidP="00051A1F" w14:paraId="56D2B631" w14:textId="77777777">
      <w:pPr>
        <w:pStyle w:val="FootnoteText"/>
      </w:pPr>
      <w:r w:rsidRPr="001106B2">
        <w:rPr>
          <w:rStyle w:val="FootnoteReference"/>
        </w:rPr>
        <w:footnoteRef/>
      </w:r>
      <w:r w:rsidRPr="001106B2">
        <w:t xml:space="preserve"> 47 U.S.C. § 154(j).</w:t>
      </w:r>
    </w:p>
  </w:footnote>
  <w:footnote w:id="22">
    <w:p w:rsidR="00051A1F" w:rsidRPr="001106B2" w:rsidP="00051A1F" w14:paraId="6CA45662" w14:textId="77777777">
      <w:pPr>
        <w:pStyle w:val="FootnoteText"/>
      </w:pPr>
      <w:r w:rsidRPr="001106B2">
        <w:rPr>
          <w:rStyle w:val="FootnoteReference"/>
        </w:rPr>
        <w:footnoteRef/>
      </w:r>
      <w:r w:rsidRPr="001106B2">
        <w:t xml:space="preserve"> </w:t>
      </w:r>
      <w:r w:rsidRPr="001106B2">
        <w:rPr>
          <w:snapToGrid w:val="0"/>
        </w:rPr>
        <w:t>47 CFR §§ 0.459, 0.461.</w:t>
      </w:r>
    </w:p>
  </w:footnote>
  <w:footnote w:id="23">
    <w:p w:rsidR="00051A1F" w:rsidRPr="001106B2" w:rsidP="00051A1F" w14:paraId="7792CC9C" w14:textId="77777777">
      <w:pPr>
        <w:pStyle w:val="FootnoteText"/>
      </w:pPr>
      <w:r w:rsidRPr="001106B2">
        <w:rPr>
          <w:rStyle w:val="FootnoteReference"/>
        </w:rPr>
        <w:footnoteRef/>
      </w:r>
      <w:r w:rsidRPr="001106B2">
        <w:t xml:space="preserve"> </w:t>
      </w:r>
      <w:r w:rsidRPr="001106B2">
        <w:rPr>
          <w:snapToGrid w:val="0"/>
        </w:rPr>
        <w:t>47 CFR §§ 0.459, 0.461.</w:t>
      </w:r>
    </w:p>
  </w:footnote>
  <w:footnote w:id="24">
    <w:p w:rsidR="00051A1F" w:rsidP="00051A1F" w14:paraId="55C062CC" w14:textId="77777777">
      <w:pPr>
        <w:pStyle w:val="FootnoteText"/>
      </w:pPr>
      <w:r>
        <w:rPr>
          <w:rStyle w:val="FootnoteReference"/>
        </w:rPr>
        <w:footnoteRef/>
      </w:r>
      <w:r>
        <w:t xml:space="preserve"> On July 27, 2020, after an application process, the Commission designated the Industry Traceback Group as the registered Traceback Consortium.  </w:t>
      </w:r>
      <w:r w:rsidRPr="00411CDE">
        <w:rPr>
          <w:i/>
          <w:iCs/>
        </w:rPr>
        <w:t>Implementing Section 13(d) of the Pallone-Thune Telephone Robocall Abuse Criminal Enforcement and Deterrence Act (TRACED Act)</w:t>
      </w:r>
      <w:r w:rsidRPr="006F4935">
        <w:t>, EB Docket No. 20-22, Report and Order,</w:t>
      </w:r>
      <w:r>
        <w:t xml:space="preserve"> 35 FCC </w:t>
      </w:r>
      <w:r>
        <w:t>Rcd</w:t>
      </w:r>
      <w:r>
        <w:t xml:space="preserve"> 7886 </w:t>
      </w:r>
      <w:r w:rsidRPr="006F4935">
        <w:t>(</w:t>
      </w:r>
      <w:r>
        <w:t>EB</w:t>
      </w:r>
      <w:r w:rsidRPr="006F4935">
        <w:t xml:space="preserve"> 2020).</w:t>
      </w:r>
    </w:p>
  </w:footnote>
  <w:footnote w:id="25">
    <w:p w:rsidR="00051A1F" w:rsidRPr="00AE58C5" w:rsidP="00051A1F" w14:paraId="509B1C20" w14:textId="77777777">
      <w:pPr>
        <w:pStyle w:val="FootnoteText"/>
      </w:pPr>
      <w:r>
        <w:rPr>
          <w:rStyle w:val="FootnoteReference"/>
        </w:rPr>
        <w:footnoteRef/>
      </w:r>
      <w:r>
        <w:t xml:space="preserve"> The Governance Authority defines policies and procedures for which entities can acquire “certificates” needed to participate in STIR/SHAKEN.  The current Governance Authority is the Secure Telephone Identity Governance Authority.  </w:t>
      </w:r>
      <w:r>
        <w:rPr>
          <w:i/>
          <w:iCs/>
        </w:rPr>
        <w:t>See</w:t>
      </w:r>
      <w:r>
        <w:t xml:space="preserve"> </w:t>
      </w:r>
      <w:r>
        <w:rPr>
          <w:i/>
          <w:iCs/>
        </w:rPr>
        <w:t>Second STIR/SHAKEN Order</w:t>
      </w:r>
      <w:r>
        <w:t xml:space="preserve"> at 6, para. 11 &amp; n.37.</w:t>
      </w:r>
    </w:p>
  </w:footnote>
  <w:footnote w:id="26">
    <w:p w:rsidR="00051A1F" w:rsidRPr="001106B2" w:rsidP="00051A1F" w14:paraId="3394D0C5"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27">
    <w:p w:rsidR="00051A1F" w:rsidRPr="001106B2" w:rsidP="00051A1F" w14:paraId="6F19D986"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28">
    <w:p w:rsidR="00051A1F" w:rsidRPr="001106B2" w:rsidP="00051A1F" w14:paraId="4DBAE037" w14:textId="77777777">
      <w:pPr>
        <w:pStyle w:val="FootnoteText"/>
      </w:pPr>
      <w:r w:rsidRPr="001106B2">
        <w:rPr>
          <w:rStyle w:val="FootnoteReference"/>
        </w:rPr>
        <w:footnoteRef/>
      </w:r>
      <w:r w:rsidRPr="001106B2">
        <w:t xml:space="preserve"> </w:t>
      </w:r>
      <w:r w:rsidRPr="001106B2">
        <w:rPr>
          <w:i/>
        </w:rPr>
        <w:t>See</w:t>
      </w:r>
      <w:r w:rsidRPr="001106B2">
        <w:t xml:space="preserve"> 47 CFR § 0.459.</w:t>
      </w:r>
    </w:p>
  </w:footnote>
  <w:footnote w:id="29">
    <w:p w:rsidR="00051A1F" w:rsidRPr="001106B2" w:rsidP="00051A1F" w14:paraId="1538859C"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30">
    <w:p w:rsidR="00051A1F" w:rsidRPr="001106B2" w:rsidP="00051A1F" w14:paraId="346A6D2A" w14:textId="77777777">
      <w:pPr>
        <w:pStyle w:val="FootnoteText"/>
      </w:pPr>
      <w:r w:rsidRPr="00C50B7B">
        <w:rPr>
          <w:rStyle w:val="FootnoteReference"/>
        </w:rPr>
        <w:footnoteRef/>
      </w:r>
      <w:r w:rsidRPr="00C50B7B">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31">
    <w:p w:rsidR="00051A1F" w:rsidP="00051A1F" w14:paraId="71EAC6A3" w14:textId="77777777">
      <w:pPr>
        <w:pStyle w:val="FootnoteText"/>
      </w:pPr>
      <w:r>
        <w:rPr>
          <w:rStyle w:val="FootnoteReference"/>
        </w:rPr>
        <w:footnoteRef/>
      </w:r>
      <w:r>
        <w:t xml:space="preserve"> The initial submission of Stamped Confidential Documents and Stamped Highly Confidential Documents is governed by paragraph 5.  This paragraph governs the submission of filings that contain Confidential Information or Highly Confidential Information contained in or derived from those documents. </w:t>
      </w:r>
    </w:p>
  </w:footnote>
  <w:footnote w:id="32">
    <w:p w:rsidR="00051A1F" w:rsidRPr="00693FDE" w:rsidP="00051A1F" w14:paraId="56D34802"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33">
    <w:p w:rsidR="00051A1F" w:rsidP="00051A1F" w14:paraId="0CE2DCF9"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2F9" w14:paraId="569D690B" w14:textId="78F0FE86">
    <w:pPr>
      <w:tabs>
        <w:tab w:val="center" w:pos="4680"/>
        <w:tab w:val="right" w:pos="9360"/>
      </w:tabs>
    </w:pPr>
    <w:r>
      <w:rPr>
        <w:b/>
      </w:rPr>
      <w:tab/>
      <w:t>Federal Communications Commission</w:t>
    </w:r>
    <w:r>
      <w:rPr>
        <w:b/>
      </w:rPr>
      <w:tab/>
    </w:r>
    <w:r w:rsidR="00F16A5E">
      <w:rPr>
        <w:b/>
      </w:rPr>
      <w:t>DA 21-</w:t>
    </w:r>
    <w:r w:rsidR="00EB35CA">
      <w:rPr>
        <w:b/>
      </w:rPr>
      <w:t>1288</w:t>
    </w:r>
  </w:p>
  <w:p w:rsidR="004322F9" w14:paraId="6FD39E64" w14:textId="779DED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322F9" w14:paraId="2470428A" w14:textId="77777777">
    <w:pPr>
      <w:spacing w:before="40"/>
      <w:rPr>
        <w:rFonts w:ascii="Arial" w:hAnsi="Arial" w:cs="Arial"/>
        <w:b/>
        <w:sz w:val="20"/>
      </w:rPr>
    </w:pPr>
  </w:p>
  <w:p w:rsidR="009C2B71" w14:paraId="060BCB2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2F9" w14:paraId="4135648A" w14:textId="157A3E7E">
    <w:pPr>
      <w:pStyle w:val="Header"/>
    </w:pPr>
    <w:r>
      <w:rPr>
        <w:noProof/>
        <w:snapToGrid/>
      </w:rPr>
      <w:drawing>
        <wp:inline distT="0" distB="0" distL="0" distR="0">
          <wp:extent cx="59436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00"/>
    <w:rsid w:val="00002BEE"/>
    <w:rsid w:val="0002124F"/>
    <w:rsid w:val="00025240"/>
    <w:rsid w:val="00030498"/>
    <w:rsid w:val="00032579"/>
    <w:rsid w:val="000514FE"/>
    <w:rsid w:val="00051A1F"/>
    <w:rsid w:val="00062073"/>
    <w:rsid w:val="00066164"/>
    <w:rsid w:val="00066921"/>
    <w:rsid w:val="00072B4F"/>
    <w:rsid w:val="000809E1"/>
    <w:rsid w:val="00082E9A"/>
    <w:rsid w:val="000A3516"/>
    <w:rsid w:val="000A4E4F"/>
    <w:rsid w:val="000B1816"/>
    <w:rsid w:val="000B613B"/>
    <w:rsid w:val="000C1548"/>
    <w:rsid w:val="000C3CB6"/>
    <w:rsid w:val="000D095B"/>
    <w:rsid w:val="000D2D57"/>
    <w:rsid w:val="000E144A"/>
    <w:rsid w:val="000E3E13"/>
    <w:rsid w:val="000F10BF"/>
    <w:rsid w:val="000F3895"/>
    <w:rsid w:val="000F7EBE"/>
    <w:rsid w:val="00103426"/>
    <w:rsid w:val="001036AF"/>
    <w:rsid w:val="00107550"/>
    <w:rsid w:val="001106B2"/>
    <w:rsid w:val="00113F9D"/>
    <w:rsid w:val="001162D4"/>
    <w:rsid w:val="0012308A"/>
    <w:rsid w:val="00123CC7"/>
    <w:rsid w:val="00133E52"/>
    <w:rsid w:val="00140F84"/>
    <w:rsid w:val="001633D1"/>
    <w:rsid w:val="0016777B"/>
    <w:rsid w:val="00170619"/>
    <w:rsid w:val="00173796"/>
    <w:rsid w:val="00176ACF"/>
    <w:rsid w:val="00177BC2"/>
    <w:rsid w:val="00181522"/>
    <w:rsid w:val="00182255"/>
    <w:rsid w:val="00185EFE"/>
    <w:rsid w:val="00194334"/>
    <w:rsid w:val="001A0F3A"/>
    <w:rsid w:val="001A1D75"/>
    <w:rsid w:val="001A25FE"/>
    <w:rsid w:val="001B1B32"/>
    <w:rsid w:val="001B37CC"/>
    <w:rsid w:val="001C7C3F"/>
    <w:rsid w:val="001D0B91"/>
    <w:rsid w:val="001D2E06"/>
    <w:rsid w:val="001E61B6"/>
    <w:rsid w:val="001F3BF3"/>
    <w:rsid w:val="001F7C93"/>
    <w:rsid w:val="0020723F"/>
    <w:rsid w:val="00210F01"/>
    <w:rsid w:val="00211C24"/>
    <w:rsid w:val="00221FF9"/>
    <w:rsid w:val="002224F1"/>
    <w:rsid w:val="00224AD6"/>
    <w:rsid w:val="00231A24"/>
    <w:rsid w:val="00244C2A"/>
    <w:rsid w:val="002545DE"/>
    <w:rsid w:val="0025701B"/>
    <w:rsid w:val="002706B0"/>
    <w:rsid w:val="00270FB5"/>
    <w:rsid w:val="002731A8"/>
    <w:rsid w:val="0027349E"/>
    <w:rsid w:val="00273B92"/>
    <w:rsid w:val="00280CCF"/>
    <w:rsid w:val="00293F29"/>
    <w:rsid w:val="0029637A"/>
    <w:rsid w:val="002A09CE"/>
    <w:rsid w:val="002B180F"/>
    <w:rsid w:val="002B4BB5"/>
    <w:rsid w:val="002C1B39"/>
    <w:rsid w:val="002C2F3D"/>
    <w:rsid w:val="002C34A4"/>
    <w:rsid w:val="002C45D8"/>
    <w:rsid w:val="002C5319"/>
    <w:rsid w:val="002D4131"/>
    <w:rsid w:val="002E6949"/>
    <w:rsid w:val="002F6AEC"/>
    <w:rsid w:val="00304858"/>
    <w:rsid w:val="00305C15"/>
    <w:rsid w:val="003068F2"/>
    <w:rsid w:val="003073F4"/>
    <w:rsid w:val="003079C6"/>
    <w:rsid w:val="00312FC1"/>
    <w:rsid w:val="00314695"/>
    <w:rsid w:val="003270FF"/>
    <w:rsid w:val="00330DA5"/>
    <w:rsid w:val="00335228"/>
    <w:rsid w:val="00342C60"/>
    <w:rsid w:val="00343909"/>
    <w:rsid w:val="003452F2"/>
    <w:rsid w:val="00351A84"/>
    <w:rsid w:val="003551BD"/>
    <w:rsid w:val="00357140"/>
    <w:rsid w:val="00361B58"/>
    <w:rsid w:val="00362C8B"/>
    <w:rsid w:val="00363523"/>
    <w:rsid w:val="00370CB6"/>
    <w:rsid w:val="00370FF0"/>
    <w:rsid w:val="00376C21"/>
    <w:rsid w:val="003776DE"/>
    <w:rsid w:val="00384E38"/>
    <w:rsid w:val="0039304F"/>
    <w:rsid w:val="003A3429"/>
    <w:rsid w:val="003A4804"/>
    <w:rsid w:val="003C3913"/>
    <w:rsid w:val="003D24DA"/>
    <w:rsid w:val="003D2F40"/>
    <w:rsid w:val="003D5F67"/>
    <w:rsid w:val="003D7FFE"/>
    <w:rsid w:val="003E383F"/>
    <w:rsid w:val="003E6690"/>
    <w:rsid w:val="003F37A9"/>
    <w:rsid w:val="0040570E"/>
    <w:rsid w:val="00411CDE"/>
    <w:rsid w:val="00414F0C"/>
    <w:rsid w:val="0042219C"/>
    <w:rsid w:val="00426E6D"/>
    <w:rsid w:val="004322F9"/>
    <w:rsid w:val="00434ED0"/>
    <w:rsid w:val="00435468"/>
    <w:rsid w:val="00436F8F"/>
    <w:rsid w:val="0044075B"/>
    <w:rsid w:val="00445535"/>
    <w:rsid w:val="00447059"/>
    <w:rsid w:val="00453457"/>
    <w:rsid w:val="00461E3D"/>
    <w:rsid w:val="00463761"/>
    <w:rsid w:val="00466768"/>
    <w:rsid w:val="00473548"/>
    <w:rsid w:val="00474976"/>
    <w:rsid w:val="00475FDB"/>
    <w:rsid w:val="00476B95"/>
    <w:rsid w:val="00481BFD"/>
    <w:rsid w:val="00484EBB"/>
    <w:rsid w:val="0048630A"/>
    <w:rsid w:val="00490059"/>
    <w:rsid w:val="00492BD3"/>
    <w:rsid w:val="00494652"/>
    <w:rsid w:val="004B1BC4"/>
    <w:rsid w:val="004B2799"/>
    <w:rsid w:val="004C1847"/>
    <w:rsid w:val="004C5E89"/>
    <w:rsid w:val="004D008B"/>
    <w:rsid w:val="004D09BC"/>
    <w:rsid w:val="004D32F2"/>
    <w:rsid w:val="004D3342"/>
    <w:rsid w:val="004D3BB0"/>
    <w:rsid w:val="004E4126"/>
    <w:rsid w:val="004E4CB1"/>
    <w:rsid w:val="004E5393"/>
    <w:rsid w:val="004F118B"/>
    <w:rsid w:val="004F3953"/>
    <w:rsid w:val="004F76FC"/>
    <w:rsid w:val="00501D8F"/>
    <w:rsid w:val="00510E5A"/>
    <w:rsid w:val="00512E70"/>
    <w:rsid w:val="00515E62"/>
    <w:rsid w:val="00517E8A"/>
    <w:rsid w:val="005375D0"/>
    <w:rsid w:val="00544B47"/>
    <w:rsid w:val="00547F39"/>
    <w:rsid w:val="00557E52"/>
    <w:rsid w:val="005666C5"/>
    <w:rsid w:val="00581421"/>
    <w:rsid w:val="00583DD0"/>
    <w:rsid w:val="00585C3F"/>
    <w:rsid w:val="005A17F1"/>
    <w:rsid w:val="005A2A1D"/>
    <w:rsid w:val="005A3C5F"/>
    <w:rsid w:val="005B0829"/>
    <w:rsid w:val="005B316B"/>
    <w:rsid w:val="005B6E92"/>
    <w:rsid w:val="005C2AA8"/>
    <w:rsid w:val="005C4443"/>
    <w:rsid w:val="005D0252"/>
    <w:rsid w:val="005D2076"/>
    <w:rsid w:val="005E1FAA"/>
    <w:rsid w:val="005E2A6E"/>
    <w:rsid w:val="005E7194"/>
    <w:rsid w:val="005F05FF"/>
    <w:rsid w:val="005F10DC"/>
    <w:rsid w:val="005F43C8"/>
    <w:rsid w:val="005F785F"/>
    <w:rsid w:val="00600549"/>
    <w:rsid w:val="00603B5B"/>
    <w:rsid w:val="00607AFC"/>
    <w:rsid w:val="00615C98"/>
    <w:rsid w:val="006160AA"/>
    <w:rsid w:val="00621EE1"/>
    <w:rsid w:val="00630E13"/>
    <w:rsid w:val="00633E0B"/>
    <w:rsid w:val="00634D8F"/>
    <w:rsid w:val="00635EDB"/>
    <w:rsid w:val="006666B2"/>
    <w:rsid w:val="006765BB"/>
    <w:rsid w:val="00677C49"/>
    <w:rsid w:val="006811B3"/>
    <w:rsid w:val="00693FDE"/>
    <w:rsid w:val="006A20A8"/>
    <w:rsid w:val="006A374D"/>
    <w:rsid w:val="006A5A62"/>
    <w:rsid w:val="006A7664"/>
    <w:rsid w:val="006B3BC4"/>
    <w:rsid w:val="006B6F69"/>
    <w:rsid w:val="006C13D4"/>
    <w:rsid w:val="006C1E8B"/>
    <w:rsid w:val="006C2CFF"/>
    <w:rsid w:val="006C6ADB"/>
    <w:rsid w:val="006D2CFB"/>
    <w:rsid w:val="006D6B16"/>
    <w:rsid w:val="006E019A"/>
    <w:rsid w:val="006E0C3C"/>
    <w:rsid w:val="006E36B5"/>
    <w:rsid w:val="006E5CB2"/>
    <w:rsid w:val="006F01AA"/>
    <w:rsid w:val="006F3F41"/>
    <w:rsid w:val="006F4935"/>
    <w:rsid w:val="006F7310"/>
    <w:rsid w:val="00704100"/>
    <w:rsid w:val="00706380"/>
    <w:rsid w:val="007074B0"/>
    <w:rsid w:val="00710551"/>
    <w:rsid w:val="00710A8C"/>
    <w:rsid w:val="00713B54"/>
    <w:rsid w:val="00713B9C"/>
    <w:rsid w:val="00720A01"/>
    <w:rsid w:val="00720DCB"/>
    <w:rsid w:val="00730B28"/>
    <w:rsid w:val="00735208"/>
    <w:rsid w:val="007359AF"/>
    <w:rsid w:val="00752FD7"/>
    <w:rsid w:val="00753360"/>
    <w:rsid w:val="00754572"/>
    <w:rsid w:val="0075679B"/>
    <w:rsid w:val="00756D5F"/>
    <w:rsid w:val="007634C1"/>
    <w:rsid w:val="00770EDE"/>
    <w:rsid w:val="00771BBA"/>
    <w:rsid w:val="00776825"/>
    <w:rsid w:val="00777B44"/>
    <w:rsid w:val="00783C96"/>
    <w:rsid w:val="0078631C"/>
    <w:rsid w:val="00787404"/>
    <w:rsid w:val="007A20EB"/>
    <w:rsid w:val="007A3AA4"/>
    <w:rsid w:val="007A5DB0"/>
    <w:rsid w:val="007A71F2"/>
    <w:rsid w:val="007C2E23"/>
    <w:rsid w:val="007C3299"/>
    <w:rsid w:val="007F0564"/>
    <w:rsid w:val="007F0828"/>
    <w:rsid w:val="007F2B82"/>
    <w:rsid w:val="007F40E4"/>
    <w:rsid w:val="007F5676"/>
    <w:rsid w:val="007F6342"/>
    <w:rsid w:val="007F70A6"/>
    <w:rsid w:val="00802DED"/>
    <w:rsid w:val="008141F7"/>
    <w:rsid w:val="00814A05"/>
    <w:rsid w:val="00814CE1"/>
    <w:rsid w:val="00821C35"/>
    <w:rsid w:val="00824577"/>
    <w:rsid w:val="0082472D"/>
    <w:rsid w:val="00826621"/>
    <w:rsid w:val="00834753"/>
    <w:rsid w:val="008355AD"/>
    <w:rsid w:val="0084311C"/>
    <w:rsid w:val="00845C86"/>
    <w:rsid w:val="00852BF1"/>
    <w:rsid w:val="008532BE"/>
    <w:rsid w:val="00860293"/>
    <w:rsid w:val="0086768B"/>
    <w:rsid w:val="008708F7"/>
    <w:rsid w:val="00870CE9"/>
    <w:rsid w:val="008714AF"/>
    <w:rsid w:val="00871A5B"/>
    <w:rsid w:val="00872983"/>
    <w:rsid w:val="00872D65"/>
    <w:rsid w:val="008774AB"/>
    <w:rsid w:val="008818FC"/>
    <w:rsid w:val="008833E4"/>
    <w:rsid w:val="00884334"/>
    <w:rsid w:val="00890000"/>
    <w:rsid w:val="00895438"/>
    <w:rsid w:val="00896D23"/>
    <w:rsid w:val="008A01A4"/>
    <w:rsid w:val="008A095D"/>
    <w:rsid w:val="008A2AF9"/>
    <w:rsid w:val="008A47C4"/>
    <w:rsid w:val="008B3ACD"/>
    <w:rsid w:val="008B3DCC"/>
    <w:rsid w:val="008B3DD6"/>
    <w:rsid w:val="008B62C1"/>
    <w:rsid w:val="008B6CA4"/>
    <w:rsid w:val="008C0093"/>
    <w:rsid w:val="008C35F9"/>
    <w:rsid w:val="008E3A72"/>
    <w:rsid w:val="008E7863"/>
    <w:rsid w:val="008F22C9"/>
    <w:rsid w:val="008F3DE5"/>
    <w:rsid w:val="008F3F5A"/>
    <w:rsid w:val="008F4C12"/>
    <w:rsid w:val="008F5421"/>
    <w:rsid w:val="00900040"/>
    <w:rsid w:val="009001FE"/>
    <w:rsid w:val="00905958"/>
    <w:rsid w:val="00907C09"/>
    <w:rsid w:val="009156B9"/>
    <w:rsid w:val="00922142"/>
    <w:rsid w:val="009426F6"/>
    <w:rsid w:val="00943668"/>
    <w:rsid w:val="00952277"/>
    <w:rsid w:val="00954E16"/>
    <w:rsid w:val="0095677D"/>
    <w:rsid w:val="00965FB1"/>
    <w:rsid w:val="00970DCC"/>
    <w:rsid w:val="00971A9B"/>
    <w:rsid w:val="00981A18"/>
    <w:rsid w:val="00981FFB"/>
    <w:rsid w:val="00987877"/>
    <w:rsid w:val="009913D1"/>
    <w:rsid w:val="0099792A"/>
    <w:rsid w:val="009A5322"/>
    <w:rsid w:val="009A5C74"/>
    <w:rsid w:val="009B108C"/>
    <w:rsid w:val="009C0EDB"/>
    <w:rsid w:val="009C2B71"/>
    <w:rsid w:val="009D323E"/>
    <w:rsid w:val="009D4154"/>
    <w:rsid w:val="009E4E91"/>
    <w:rsid w:val="009E5FC2"/>
    <w:rsid w:val="009E66E0"/>
    <w:rsid w:val="009F18A7"/>
    <w:rsid w:val="009F3907"/>
    <w:rsid w:val="00A02661"/>
    <w:rsid w:val="00A02FF6"/>
    <w:rsid w:val="00A10617"/>
    <w:rsid w:val="00A12619"/>
    <w:rsid w:val="00A35BCE"/>
    <w:rsid w:val="00A36E12"/>
    <w:rsid w:val="00A43974"/>
    <w:rsid w:val="00A444CF"/>
    <w:rsid w:val="00A50309"/>
    <w:rsid w:val="00A5404F"/>
    <w:rsid w:val="00A5737D"/>
    <w:rsid w:val="00A610CA"/>
    <w:rsid w:val="00A65D34"/>
    <w:rsid w:val="00A66194"/>
    <w:rsid w:val="00A6651B"/>
    <w:rsid w:val="00A7314F"/>
    <w:rsid w:val="00A73CFC"/>
    <w:rsid w:val="00A77B67"/>
    <w:rsid w:val="00A85025"/>
    <w:rsid w:val="00A856B4"/>
    <w:rsid w:val="00A90E19"/>
    <w:rsid w:val="00A93679"/>
    <w:rsid w:val="00A95CBA"/>
    <w:rsid w:val="00AB42B6"/>
    <w:rsid w:val="00AC0485"/>
    <w:rsid w:val="00AC1467"/>
    <w:rsid w:val="00AC5B5D"/>
    <w:rsid w:val="00AD2163"/>
    <w:rsid w:val="00AD2E30"/>
    <w:rsid w:val="00AE3E23"/>
    <w:rsid w:val="00AE58C5"/>
    <w:rsid w:val="00AF3ECC"/>
    <w:rsid w:val="00AF65B7"/>
    <w:rsid w:val="00AF6EB5"/>
    <w:rsid w:val="00B2178A"/>
    <w:rsid w:val="00B251E8"/>
    <w:rsid w:val="00B268B6"/>
    <w:rsid w:val="00B26F0E"/>
    <w:rsid w:val="00B36D6D"/>
    <w:rsid w:val="00B43869"/>
    <w:rsid w:val="00B4637E"/>
    <w:rsid w:val="00B57B4E"/>
    <w:rsid w:val="00B60065"/>
    <w:rsid w:val="00B658F9"/>
    <w:rsid w:val="00B660A9"/>
    <w:rsid w:val="00B679F7"/>
    <w:rsid w:val="00B71E17"/>
    <w:rsid w:val="00B72CC0"/>
    <w:rsid w:val="00B800A7"/>
    <w:rsid w:val="00B81CE6"/>
    <w:rsid w:val="00B83640"/>
    <w:rsid w:val="00BA0890"/>
    <w:rsid w:val="00BA39FF"/>
    <w:rsid w:val="00BA7027"/>
    <w:rsid w:val="00BB2601"/>
    <w:rsid w:val="00BB3906"/>
    <w:rsid w:val="00BE1954"/>
    <w:rsid w:val="00BE2B7F"/>
    <w:rsid w:val="00BE2E0C"/>
    <w:rsid w:val="00BF2277"/>
    <w:rsid w:val="00BF27AF"/>
    <w:rsid w:val="00BF2CB8"/>
    <w:rsid w:val="00BF4516"/>
    <w:rsid w:val="00BF46E2"/>
    <w:rsid w:val="00BF6CCA"/>
    <w:rsid w:val="00C019EB"/>
    <w:rsid w:val="00C03E71"/>
    <w:rsid w:val="00C05C23"/>
    <w:rsid w:val="00C17E1A"/>
    <w:rsid w:val="00C21B19"/>
    <w:rsid w:val="00C244E3"/>
    <w:rsid w:val="00C275B8"/>
    <w:rsid w:val="00C308F7"/>
    <w:rsid w:val="00C44B2D"/>
    <w:rsid w:val="00C46135"/>
    <w:rsid w:val="00C46C72"/>
    <w:rsid w:val="00C50B7B"/>
    <w:rsid w:val="00C51B1A"/>
    <w:rsid w:val="00C54585"/>
    <w:rsid w:val="00C620BC"/>
    <w:rsid w:val="00C66944"/>
    <w:rsid w:val="00C70FCE"/>
    <w:rsid w:val="00C7238C"/>
    <w:rsid w:val="00C73DE7"/>
    <w:rsid w:val="00C74F61"/>
    <w:rsid w:val="00C7654C"/>
    <w:rsid w:val="00C83252"/>
    <w:rsid w:val="00C943A9"/>
    <w:rsid w:val="00CB306F"/>
    <w:rsid w:val="00CC2394"/>
    <w:rsid w:val="00CC4C59"/>
    <w:rsid w:val="00CC5066"/>
    <w:rsid w:val="00CD19DE"/>
    <w:rsid w:val="00CD254A"/>
    <w:rsid w:val="00CD34B1"/>
    <w:rsid w:val="00CD4768"/>
    <w:rsid w:val="00CF1E72"/>
    <w:rsid w:val="00CF406F"/>
    <w:rsid w:val="00CF441E"/>
    <w:rsid w:val="00D044C4"/>
    <w:rsid w:val="00D04A15"/>
    <w:rsid w:val="00D13146"/>
    <w:rsid w:val="00D14778"/>
    <w:rsid w:val="00D16201"/>
    <w:rsid w:val="00D30F43"/>
    <w:rsid w:val="00D35B9C"/>
    <w:rsid w:val="00D43F9B"/>
    <w:rsid w:val="00D45455"/>
    <w:rsid w:val="00D46BE2"/>
    <w:rsid w:val="00D46D43"/>
    <w:rsid w:val="00D522DE"/>
    <w:rsid w:val="00D5230E"/>
    <w:rsid w:val="00D53696"/>
    <w:rsid w:val="00D65248"/>
    <w:rsid w:val="00D65340"/>
    <w:rsid w:val="00D70607"/>
    <w:rsid w:val="00D732CA"/>
    <w:rsid w:val="00D83F0B"/>
    <w:rsid w:val="00D8417A"/>
    <w:rsid w:val="00D85391"/>
    <w:rsid w:val="00D8587C"/>
    <w:rsid w:val="00D86FF9"/>
    <w:rsid w:val="00D92B5D"/>
    <w:rsid w:val="00DA122A"/>
    <w:rsid w:val="00DB5C65"/>
    <w:rsid w:val="00DB769A"/>
    <w:rsid w:val="00DD7F93"/>
    <w:rsid w:val="00DE3BBC"/>
    <w:rsid w:val="00DE62EE"/>
    <w:rsid w:val="00DF5097"/>
    <w:rsid w:val="00E0014A"/>
    <w:rsid w:val="00E07845"/>
    <w:rsid w:val="00E125AA"/>
    <w:rsid w:val="00E338BB"/>
    <w:rsid w:val="00E406F0"/>
    <w:rsid w:val="00E40D13"/>
    <w:rsid w:val="00E517C3"/>
    <w:rsid w:val="00E525A8"/>
    <w:rsid w:val="00E553E4"/>
    <w:rsid w:val="00E6258A"/>
    <w:rsid w:val="00E65A52"/>
    <w:rsid w:val="00E73595"/>
    <w:rsid w:val="00E76BFC"/>
    <w:rsid w:val="00E772DA"/>
    <w:rsid w:val="00E80748"/>
    <w:rsid w:val="00E846CD"/>
    <w:rsid w:val="00E86466"/>
    <w:rsid w:val="00E920ED"/>
    <w:rsid w:val="00EA0058"/>
    <w:rsid w:val="00EA27F3"/>
    <w:rsid w:val="00EB1AFE"/>
    <w:rsid w:val="00EB35CA"/>
    <w:rsid w:val="00EC2EE3"/>
    <w:rsid w:val="00EC6281"/>
    <w:rsid w:val="00ED0CB1"/>
    <w:rsid w:val="00ED2251"/>
    <w:rsid w:val="00ED3DCA"/>
    <w:rsid w:val="00ED5A67"/>
    <w:rsid w:val="00EE1462"/>
    <w:rsid w:val="00EE2947"/>
    <w:rsid w:val="00EE783A"/>
    <w:rsid w:val="00EF636F"/>
    <w:rsid w:val="00F1632B"/>
    <w:rsid w:val="00F16A5E"/>
    <w:rsid w:val="00F22133"/>
    <w:rsid w:val="00F27FBC"/>
    <w:rsid w:val="00F302CB"/>
    <w:rsid w:val="00F307DA"/>
    <w:rsid w:val="00F318AA"/>
    <w:rsid w:val="00F36718"/>
    <w:rsid w:val="00F4354E"/>
    <w:rsid w:val="00F46B6C"/>
    <w:rsid w:val="00F47BBA"/>
    <w:rsid w:val="00F47F83"/>
    <w:rsid w:val="00F562F5"/>
    <w:rsid w:val="00F623A6"/>
    <w:rsid w:val="00F66C51"/>
    <w:rsid w:val="00F673E5"/>
    <w:rsid w:val="00F74E59"/>
    <w:rsid w:val="00F903AE"/>
    <w:rsid w:val="00F90897"/>
    <w:rsid w:val="00FA18A2"/>
    <w:rsid w:val="00FA6F6C"/>
    <w:rsid w:val="00FB3734"/>
    <w:rsid w:val="00FB3F61"/>
    <w:rsid w:val="00FC4F81"/>
    <w:rsid w:val="00FC5B29"/>
    <w:rsid w:val="00FD1F44"/>
    <w:rsid w:val="00FE535F"/>
    <w:rsid w:val="00FF68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C5E698"/>
  <w15:chartTrackingRefBased/>
  <w15:docId w15:val="{91A4069F-3610-4D4C-AAFE-499962F0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6B3BC4"/>
  </w:style>
  <w:style w:type="character" w:styleId="CommentReference">
    <w:name w:val="annotation reference"/>
    <w:uiPriority w:val="99"/>
    <w:semiHidden/>
    <w:unhideWhenUsed/>
    <w:rsid w:val="00783C96"/>
    <w:rPr>
      <w:sz w:val="16"/>
      <w:szCs w:val="16"/>
    </w:rPr>
  </w:style>
  <w:style w:type="paragraph" w:styleId="CommentText">
    <w:name w:val="annotation text"/>
    <w:basedOn w:val="Normal"/>
    <w:link w:val="CommentTextChar"/>
    <w:uiPriority w:val="99"/>
    <w:semiHidden/>
    <w:unhideWhenUsed/>
    <w:rsid w:val="00783C96"/>
    <w:rPr>
      <w:sz w:val="20"/>
    </w:rPr>
  </w:style>
  <w:style w:type="character" w:customStyle="1" w:styleId="CommentTextChar">
    <w:name w:val="Comment Text Char"/>
    <w:link w:val="CommentText"/>
    <w:uiPriority w:val="99"/>
    <w:semiHidden/>
    <w:rsid w:val="00783C96"/>
    <w:rPr>
      <w:snapToGrid w:val="0"/>
      <w:kern w:val="28"/>
    </w:rPr>
  </w:style>
  <w:style w:type="paragraph" w:styleId="CommentSubject">
    <w:name w:val="annotation subject"/>
    <w:basedOn w:val="CommentText"/>
    <w:next w:val="CommentText"/>
    <w:link w:val="CommentSubjectChar"/>
    <w:uiPriority w:val="99"/>
    <w:semiHidden/>
    <w:unhideWhenUsed/>
    <w:rsid w:val="00783C96"/>
    <w:rPr>
      <w:b/>
      <w:bCs/>
    </w:rPr>
  </w:style>
  <w:style w:type="character" w:customStyle="1" w:styleId="CommentSubjectChar">
    <w:name w:val="Comment Subject Char"/>
    <w:link w:val="CommentSubject"/>
    <w:uiPriority w:val="99"/>
    <w:semiHidden/>
    <w:rsid w:val="00783C96"/>
    <w:rPr>
      <w:b/>
      <w:bCs/>
      <w:snapToGrid w:val="0"/>
      <w:kern w:val="28"/>
    </w:rPr>
  </w:style>
  <w:style w:type="paragraph" w:styleId="BalloonText">
    <w:name w:val="Balloon Text"/>
    <w:basedOn w:val="Normal"/>
    <w:link w:val="BalloonTextChar"/>
    <w:uiPriority w:val="99"/>
    <w:semiHidden/>
    <w:unhideWhenUsed/>
    <w:rsid w:val="00783C96"/>
    <w:rPr>
      <w:rFonts w:ascii="Segoe UI" w:hAnsi="Segoe UI" w:cs="Segoe UI"/>
      <w:sz w:val="18"/>
      <w:szCs w:val="18"/>
    </w:rPr>
  </w:style>
  <w:style w:type="character" w:customStyle="1" w:styleId="BalloonTextChar">
    <w:name w:val="Balloon Text Char"/>
    <w:link w:val="BalloonText"/>
    <w:uiPriority w:val="99"/>
    <w:semiHidden/>
    <w:rsid w:val="00783C96"/>
    <w:rPr>
      <w:rFonts w:ascii="Segoe UI" w:hAnsi="Segoe UI" w:cs="Segoe UI"/>
      <w:snapToGrid w:val="0"/>
      <w:kern w:val="28"/>
      <w:sz w:val="18"/>
      <w:szCs w:val="18"/>
    </w:rPr>
  </w:style>
  <w:style w:type="paragraph" w:styleId="Revision">
    <w:name w:val="Revision"/>
    <w:hidden/>
    <w:uiPriority w:val="99"/>
    <w:semiHidden/>
    <w:rsid w:val="00030498"/>
    <w:rPr>
      <w:snapToGrid w:val="0"/>
      <w:kern w:val="28"/>
      <w:sz w:val="22"/>
    </w:rPr>
  </w:style>
  <w:style w:type="paragraph" w:customStyle="1" w:styleId="ParaNumChar">
    <w:name w:val="ParaNum Char"/>
    <w:basedOn w:val="Normal"/>
    <w:rsid w:val="00051A1F"/>
    <w:pPr>
      <w:numPr>
        <w:numId w:val="8"/>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051A1F"/>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051A1F"/>
    <w:rPr>
      <w:rFonts w:ascii="Calibri" w:hAnsi="Calibri"/>
      <w:kern w:val="28"/>
      <w:sz w:val="22"/>
    </w:rPr>
  </w:style>
  <w:style w:type="paragraph" w:styleId="ListParagraph">
    <w:name w:val="List Paragraph"/>
    <w:basedOn w:val="Normal"/>
    <w:uiPriority w:val="34"/>
    <w:qFormat/>
    <w:rsid w:val="00E8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Nemcik@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