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483B3D" w:rsidP="00483B3D" w14:paraId="55CF70D0" w14:textId="047DA437">
      <w:pPr>
        <w:jc w:val="center"/>
        <w:rPr>
          <w:b/>
        </w:rPr>
      </w:pPr>
      <w:r w:rsidRPr="00483B3D">
        <w:rPr>
          <w:b/>
        </w:rPr>
        <w:t>Before the</w:t>
      </w:r>
    </w:p>
    <w:p w:rsidR="00921803" w:rsidRPr="00483B3D" w:rsidP="00483B3D" w14:paraId="1227C97C" w14:textId="5FDC6C9D">
      <w:pPr>
        <w:pStyle w:val="StyleBoldCentered"/>
        <w:rPr>
          <w:rFonts w:ascii="Times New Roman" w:hAnsi="Times New Roman"/>
        </w:rPr>
      </w:pPr>
      <w:r w:rsidRPr="00483B3D">
        <w:rPr>
          <w:rFonts w:ascii="Times New Roman" w:hAnsi="Times New Roman"/>
        </w:rPr>
        <w:t>F</w:t>
      </w:r>
      <w:r w:rsidRPr="00483B3D">
        <w:rPr>
          <w:rFonts w:ascii="Times New Roman" w:hAnsi="Times New Roman"/>
          <w:caps w:val="0"/>
        </w:rPr>
        <w:t>ederal Communications Commission</w:t>
      </w:r>
    </w:p>
    <w:p w:rsidR="004C2EE3" w:rsidRPr="00483B3D" w:rsidP="00483B3D" w14:paraId="1B695F6F" w14:textId="77777777">
      <w:pPr>
        <w:pStyle w:val="StyleBoldCentered"/>
        <w:rPr>
          <w:rFonts w:ascii="Times New Roman" w:hAnsi="Times New Roman"/>
        </w:rPr>
      </w:pPr>
      <w:r w:rsidRPr="00483B3D">
        <w:rPr>
          <w:rFonts w:ascii="Times New Roman" w:hAnsi="Times New Roman"/>
          <w:caps w:val="0"/>
        </w:rPr>
        <w:t>Washington, D.C. 20554</w:t>
      </w:r>
    </w:p>
    <w:p w:rsidR="004C2EE3" w:rsidRPr="00483B3D" w:rsidP="00483B3D" w14:paraId="347EE072" w14:textId="77777777"/>
    <w:p w:rsidR="004C2EE3" w:rsidRPr="00483B3D" w:rsidP="00483B3D" w14:paraId="027534F5" w14:textId="77777777"/>
    <w:tbl>
      <w:tblPr>
        <w:tblW w:w="0" w:type="auto"/>
        <w:tblLayout w:type="fixed"/>
        <w:tblLook w:val="0000"/>
      </w:tblPr>
      <w:tblGrid>
        <w:gridCol w:w="4698"/>
        <w:gridCol w:w="630"/>
        <w:gridCol w:w="4248"/>
      </w:tblGrid>
      <w:tr w14:paraId="1A8B1C62" w14:textId="77777777">
        <w:tblPrEx>
          <w:tblW w:w="0" w:type="auto"/>
          <w:tblLayout w:type="fixed"/>
          <w:tblLook w:val="0000"/>
        </w:tblPrEx>
        <w:tc>
          <w:tcPr>
            <w:tcW w:w="4698" w:type="dxa"/>
          </w:tcPr>
          <w:p w:rsidR="004C2EE3" w:rsidRPr="00483B3D" w:rsidP="00483B3D" w14:paraId="657D4FAD" w14:textId="69BBCA29">
            <w:pPr>
              <w:tabs>
                <w:tab w:val="center" w:pos="4680"/>
              </w:tabs>
              <w:suppressAutoHyphens/>
              <w:rPr>
                <w:spacing w:val="-2"/>
              </w:rPr>
            </w:pPr>
            <w:r w:rsidRPr="00483B3D">
              <w:rPr>
                <w:spacing w:val="-2"/>
              </w:rPr>
              <w:t>In the Matter of</w:t>
            </w:r>
          </w:p>
          <w:p w:rsidR="004C2EE3" w:rsidRPr="00483B3D" w:rsidP="00483B3D" w14:paraId="1366944B" w14:textId="77777777">
            <w:pPr>
              <w:tabs>
                <w:tab w:val="center" w:pos="4680"/>
              </w:tabs>
              <w:suppressAutoHyphens/>
              <w:rPr>
                <w:spacing w:val="-2"/>
              </w:rPr>
            </w:pPr>
          </w:p>
          <w:p w:rsidR="00AB0782" w:rsidRPr="00483B3D" w:rsidP="00483B3D" w14:paraId="6153AFB3" w14:textId="425FC36A">
            <w:pPr>
              <w:tabs>
                <w:tab w:val="center" w:pos="4680"/>
              </w:tabs>
              <w:suppressAutoHyphens/>
              <w:rPr>
                <w:b/>
                <w:bCs/>
                <w:spacing w:val="-2"/>
              </w:rPr>
            </w:pPr>
            <w:r w:rsidRPr="00483B3D">
              <w:rPr>
                <w:b/>
                <w:bCs/>
                <w:spacing w:val="-2"/>
              </w:rPr>
              <w:t>R</w:t>
            </w:r>
            <w:r w:rsidRPr="00483B3D" w:rsidR="00035C84">
              <w:rPr>
                <w:b/>
                <w:bCs/>
                <w:spacing w:val="-2"/>
              </w:rPr>
              <w:t>OGER</w:t>
            </w:r>
            <w:r w:rsidRPr="00483B3D">
              <w:rPr>
                <w:b/>
                <w:bCs/>
                <w:spacing w:val="-2"/>
              </w:rPr>
              <w:t xml:space="preserve"> W</w:t>
            </w:r>
            <w:r w:rsidRPr="00483B3D" w:rsidR="00035C84">
              <w:rPr>
                <w:b/>
                <w:bCs/>
                <w:spacing w:val="-2"/>
              </w:rPr>
              <w:t>AHL</w:t>
            </w:r>
          </w:p>
          <w:p w:rsidR="00AB0782" w:rsidRPr="00483B3D" w:rsidP="00483B3D" w14:paraId="6288578B" w14:textId="77777777">
            <w:pPr>
              <w:tabs>
                <w:tab w:val="center" w:pos="4680"/>
              </w:tabs>
              <w:suppressAutoHyphens/>
              <w:rPr>
                <w:spacing w:val="-2"/>
              </w:rPr>
            </w:pPr>
          </w:p>
          <w:p w:rsidR="004C2EE3" w:rsidRPr="00483B3D" w:rsidP="00483B3D" w14:paraId="65824DA0" w14:textId="77777777">
            <w:pPr>
              <w:tabs>
                <w:tab w:val="center" w:pos="4680"/>
              </w:tabs>
              <w:suppressAutoHyphens/>
              <w:rPr>
                <w:spacing w:val="-2"/>
              </w:rPr>
            </w:pPr>
            <w:r w:rsidRPr="00483B3D">
              <w:rPr>
                <w:spacing w:val="-2"/>
              </w:rPr>
              <w:t>WQZS(FM), Meyersdale, PA</w:t>
            </w:r>
          </w:p>
          <w:p w:rsidR="00AB0782" w:rsidRPr="00483B3D" w:rsidP="00483B3D" w14:paraId="52E8EB02" w14:textId="77777777">
            <w:pPr>
              <w:tabs>
                <w:tab w:val="center" w:pos="4680"/>
              </w:tabs>
              <w:suppressAutoHyphens/>
              <w:rPr>
                <w:spacing w:val="-2"/>
              </w:rPr>
            </w:pPr>
          </w:p>
        </w:tc>
        <w:tc>
          <w:tcPr>
            <w:tcW w:w="630" w:type="dxa"/>
          </w:tcPr>
          <w:p w:rsidR="004C2EE3" w:rsidRPr="00483B3D" w:rsidP="00483B3D" w14:paraId="4C8C9D8B" w14:textId="77777777">
            <w:pPr>
              <w:tabs>
                <w:tab w:val="center" w:pos="4680"/>
              </w:tabs>
              <w:suppressAutoHyphens/>
              <w:rPr>
                <w:b/>
                <w:spacing w:val="-2"/>
              </w:rPr>
            </w:pPr>
            <w:r w:rsidRPr="00483B3D">
              <w:rPr>
                <w:b/>
                <w:spacing w:val="-2"/>
              </w:rPr>
              <w:t>)</w:t>
            </w:r>
          </w:p>
          <w:p w:rsidR="004C2EE3" w:rsidRPr="00483B3D" w:rsidP="00483B3D" w14:paraId="4984B3F7" w14:textId="77777777">
            <w:pPr>
              <w:tabs>
                <w:tab w:val="center" w:pos="4680"/>
              </w:tabs>
              <w:suppressAutoHyphens/>
              <w:rPr>
                <w:b/>
                <w:spacing w:val="-2"/>
              </w:rPr>
            </w:pPr>
            <w:r w:rsidRPr="00483B3D">
              <w:rPr>
                <w:b/>
                <w:spacing w:val="-2"/>
              </w:rPr>
              <w:t>)</w:t>
            </w:r>
          </w:p>
          <w:p w:rsidR="004C2EE3" w:rsidRPr="00483B3D" w:rsidP="00483B3D" w14:paraId="02F8D5BD" w14:textId="77777777">
            <w:pPr>
              <w:tabs>
                <w:tab w:val="center" w:pos="4680"/>
              </w:tabs>
              <w:suppressAutoHyphens/>
              <w:rPr>
                <w:b/>
                <w:spacing w:val="-2"/>
              </w:rPr>
            </w:pPr>
            <w:r w:rsidRPr="00483B3D">
              <w:rPr>
                <w:b/>
                <w:spacing w:val="-2"/>
              </w:rPr>
              <w:t>)</w:t>
            </w:r>
          </w:p>
          <w:p w:rsidR="004C2EE3" w:rsidRPr="00483B3D" w:rsidP="00483B3D" w14:paraId="1F2C6052" w14:textId="77777777">
            <w:pPr>
              <w:tabs>
                <w:tab w:val="center" w:pos="4680"/>
              </w:tabs>
              <w:suppressAutoHyphens/>
              <w:rPr>
                <w:b/>
                <w:spacing w:val="-2"/>
              </w:rPr>
            </w:pPr>
            <w:r w:rsidRPr="00483B3D">
              <w:rPr>
                <w:b/>
                <w:spacing w:val="-2"/>
              </w:rPr>
              <w:t>)</w:t>
            </w:r>
          </w:p>
          <w:p w:rsidR="004C2EE3" w:rsidRPr="00483B3D" w:rsidP="00483B3D" w14:paraId="0477E729" w14:textId="77777777">
            <w:pPr>
              <w:tabs>
                <w:tab w:val="center" w:pos="4680"/>
              </w:tabs>
              <w:suppressAutoHyphens/>
              <w:rPr>
                <w:b/>
                <w:spacing w:val="-2"/>
              </w:rPr>
            </w:pPr>
            <w:r w:rsidRPr="00483B3D">
              <w:rPr>
                <w:b/>
                <w:spacing w:val="-2"/>
              </w:rPr>
              <w:t>)</w:t>
            </w:r>
          </w:p>
          <w:p w:rsidR="004C2EE3" w:rsidRPr="00483B3D" w:rsidP="00483B3D" w14:paraId="0A298A2C" w14:textId="72A364B1">
            <w:pPr>
              <w:tabs>
                <w:tab w:val="center" w:pos="4680"/>
              </w:tabs>
              <w:suppressAutoHyphens/>
              <w:rPr>
                <w:spacing w:val="-2"/>
              </w:rPr>
            </w:pPr>
            <w:r w:rsidRPr="00483B3D">
              <w:rPr>
                <w:b/>
                <w:spacing w:val="-2"/>
              </w:rPr>
              <w:t>)</w:t>
            </w:r>
          </w:p>
        </w:tc>
        <w:tc>
          <w:tcPr>
            <w:tcW w:w="4248" w:type="dxa"/>
          </w:tcPr>
          <w:p w:rsidR="004C2EE3" w:rsidRPr="00483B3D" w:rsidP="00483B3D" w14:paraId="76A682E3" w14:textId="77777777">
            <w:pPr>
              <w:tabs>
                <w:tab w:val="center" w:pos="4680"/>
              </w:tabs>
              <w:suppressAutoHyphens/>
              <w:rPr>
                <w:spacing w:val="-2"/>
              </w:rPr>
            </w:pPr>
          </w:p>
          <w:p w:rsidR="004C2EE3" w:rsidRPr="00483B3D" w:rsidP="00483B3D" w14:paraId="6CF8348D" w14:textId="574C50A5">
            <w:pPr>
              <w:pStyle w:val="TOAHeading"/>
              <w:tabs>
                <w:tab w:val="center" w:pos="4680"/>
                <w:tab w:val="clear" w:pos="9360"/>
              </w:tabs>
              <w:rPr>
                <w:spacing w:val="-2"/>
              </w:rPr>
            </w:pPr>
          </w:p>
          <w:p w:rsidR="00AB0782" w:rsidRPr="00483B3D" w:rsidP="00483B3D" w14:paraId="0904E941" w14:textId="54A17F9A">
            <w:r w:rsidRPr="00483B3D">
              <w:t>MB Docket No. 21-</w:t>
            </w:r>
            <w:r w:rsidR="00D04938">
              <w:t>401</w:t>
            </w:r>
          </w:p>
          <w:p w:rsidR="004C2EE3" w:rsidRPr="00483B3D" w:rsidP="00483B3D" w14:paraId="1C7528F9" w14:textId="3B744A07">
            <w:pPr>
              <w:tabs>
                <w:tab w:val="center" w:pos="4680"/>
              </w:tabs>
              <w:suppressAutoHyphens/>
              <w:rPr>
                <w:spacing w:val="-2"/>
              </w:rPr>
            </w:pPr>
          </w:p>
          <w:p w:rsidR="00AB0782" w:rsidRPr="00483B3D" w:rsidP="00483B3D" w14:paraId="55B1A170" w14:textId="77777777">
            <w:pPr>
              <w:tabs>
                <w:tab w:val="center" w:pos="4680"/>
              </w:tabs>
              <w:suppressAutoHyphens/>
              <w:rPr>
                <w:spacing w:val="-2"/>
              </w:rPr>
            </w:pPr>
            <w:r w:rsidRPr="00483B3D">
              <w:rPr>
                <w:spacing w:val="-2"/>
              </w:rPr>
              <w:t>Facility ID No. 57424</w:t>
            </w:r>
          </w:p>
        </w:tc>
      </w:tr>
    </w:tbl>
    <w:p w:rsidR="004C2EE3" w:rsidRPr="00483B3D" w:rsidP="00483B3D" w14:paraId="65CC9525" w14:textId="77777777"/>
    <w:p w:rsidR="00841AB1" w:rsidRPr="00483B3D" w:rsidP="00483B3D" w14:paraId="74829976" w14:textId="21957A0E">
      <w:pPr>
        <w:pStyle w:val="StyleBoldCentered"/>
        <w:rPr>
          <w:rFonts w:ascii="Times New Roman" w:hAnsi="Times New Roman"/>
        </w:rPr>
      </w:pPr>
      <w:r w:rsidRPr="00483B3D">
        <w:rPr>
          <w:rFonts w:ascii="Times New Roman" w:hAnsi="Times New Roman"/>
        </w:rPr>
        <w:t>hEARING dESIGNATION oRDER</w:t>
      </w:r>
      <w:r w:rsidRPr="00483B3D" w:rsidR="00590E2D">
        <w:rPr>
          <w:rFonts w:ascii="Times New Roman" w:hAnsi="Times New Roman"/>
        </w:rPr>
        <w:t>, ORDER TO SHOW CAUSE</w:t>
      </w:r>
      <w:r w:rsidRPr="00483B3D" w:rsidR="006211E9">
        <w:rPr>
          <w:rFonts w:ascii="Times New Roman" w:hAnsi="Times New Roman"/>
        </w:rPr>
        <w:t>,</w:t>
      </w:r>
      <w:r w:rsidRPr="00483B3D" w:rsidR="00590E2D">
        <w:rPr>
          <w:rFonts w:ascii="Times New Roman" w:hAnsi="Times New Roman"/>
        </w:rPr>
        <w:t xml:space="preserve"> AND NOTICE OF OPPORTUNITY FOR HEARING</w:t>
      </w:r>
    </w:p>
    <w:p w:rsidR="004C2EE3" w:rsidRPr="00483B3D" w:rsidP="00483B3D" w14:paraId="514628B8" w14:textId="77777777">
      <w:pPr>
        <w:tabs>
          <w:tab w:val="left" w:pos="-720"/>
        </w:tabs>
        <w:suppressAutoHyphens/>
        <w:rPr>
          <w:spacing w:val="-2"/>
        </w:rPr>
      </w:pPr>
    </w:p>
    <w:p w:rsidR="004C2EE3" w:rsidRPr="00483B3D" w:rsidP="00483B3D" w14:paraId="0B950791" w14:textId="5B857130">
      <w:pPr>
        <w:tabs>
          <w:tab w:val="left" w:pos="720"/>
          <w:tab w:val="right" w:pos="9360"/>
        </w:tabs>
        <w:suppressAutoHyphens/>
        <w:rPr>
          <w:spacing w:val="-2"/>
        </w:rPr>
      </w:pPr>
      <w:r w:rsidRPr="00483B3D">
        <w:rPr>
          <w:b/>
          <w:spacing w:val="-2"/>
        </w:rPr>
        <w:t xml:space="preserve">Adopted:  </w:t>
      </w:r>
      <w:r w:rsidR="00D04938">
        <w:rPr>
          <w:b/>
          <w:spacing w:val="-2"/>
        </w:rPr>
        <w:t>October 19</w:t>
      </w:r>
      <w:r w:rsidRPr="00483B3D" w:rsidR="008C756C">
        <w:rPr>
          <w:b/>
          <w:spacing w:val="-2"/>
        </w:rPr>
        <w:t>, 2021</w:t>
      </w:r>
      <w:r w:rsidRPr="00483B3D">
        <w:rPr>
          <w:b/>
          <w:spacing w:val="-2"/>
        </w:rPr>
        <w:tab/>
      </w:r>
      <w:r w:rsidRPr="00483B3D" w:rsidR="00822CE0">
        <w:rPr>
          <w:b/>
          <w:spacing w:val="-2"/>
        </w:rPr>
        <w:t>Released</w:t>
      </w:r>
      <w:r w:rsidRPr="00483B3D">
        <w:rPr>
          <w:b/>
          <w:spacing w:val="-2"/>
        </w:rPr>
        <w:t>:</w:t>
      </w:r>
      <w:r w:rsidRPr="00483B3D" w:rsidR="00822CE0">
        <w:rPr>
          <w:b/>
          <w:spacing w:val="-2"/>
        </w:rPr>
        <w:t xml:space="preserve"> </w:t>
      </w:r>
      <w:r w:rsidRPr="00483B3D">
        <w:rPr>
          <w:b/>
          <w:spacing w:val="-2"/>
        </w:rPr>
        <w:t xml:space="preserve"> </w:t>
      </w:r>
      <w:r w:rsidR="00D04938">
        <w:rPr>
          <w:b/>
          <w:spacing w:val="-2"/>
        </w:rPr>
        <w:t>October 19</w:t>
      </w:r>
      <w:r w:rsidRPr="00483B3D" w:rsidR="007D7C5B">
        <w:rPr>
          <w:b/>
          <w:spacing w:val="-2"/>
        </w:rPr>
        <w:t>, 2021</w:t>
      </w:r>
    </w:p>
    <w:p w:rsidR="00822CE0" w:rsidRPr="00483B3D" w:rsidP="00483B3D" w14:paraId="6F500EA7" w14:textId="77777777"/>
    <w:p w:rsidR="00822CE0" w:rsidRPr="00483B3D" w:rsidP="00E10631" w14:paraId="0E9AAE32" w14:textId="06A2E80F">
      <w:pPr>
        <w:spacing w:after="240"/>
        <w:rPr>
          <w:spacing w:val="-2"/>
        </w:rPr>
      </w:pPr>
      <w:r w:rsidRPr="00483B3D">
        <w:t xml:space="preserve">By </w:t>
      </w:r>
      <w:r w:rsidRPr="00483B3D" w:rsidR="00D965D7">
        <w:t xml:space="preserve">the </w:t>
      </w:r>
      <w:r w:rsidRPr="00483B3D" w:rsidR="00361C99">
        <w:t xml:space="preserve">Chief, </w:t>
      </w:r>
      <w:r w:rsidRPr="00483B3D" w:rsidR="00D965D7">
        <w:t>Media Bureau:</w:t>
      </w:r>
    </w:p>
    <w:p w:rsidR="00412FC5" w:rsidRPr="00483B3D" w:rsidP="00C127F0" w14:paraId="5F195B80" w14:textId="77777777">
      <w:pPr>
        <w:pStyle w:val="Heading1"/>
        <w:rPr>
          <w:rFonts w:ascii="Times New Roman" w:hAnsi="Times New Roman"/>
        </w:rPr>
      </w:pPr>
      <w:r w:rsidRPr="00483B3D">
        <w:rPr>
          <w:rFonts w:ascii="Times New Roman" w:hAnsi="Times New Roman"/>
        </w:rPr>
        <w:t>introduction</w:t>
      </w:r>
    </w:p>
    <w:p w:rsidR="00D965D7" w:rsidRPr="00483B3D" w:rsidP="00E10631" w14:paraId="6AD82533" w14:textId="6EEFB1B3">
      <w:pPr>
        <w:pStyle w:val="ParaNum"/>
      </w:pPr>
      <w:r w:rsidRPr="00483B3D">
        <w:t>This</w:t>
      </w:r>
      <w:r w:rsidRPr="00483B3D" w:rsidR="00E72303">
        <w:t xml:space="preserve"> </w:t>
      </w:r>
      <w:r w:rsidRPr="00483B3D">
        <w:rPr>
          <w:i/>
          <w:iCs/>
        </w:rPr>
        <w:t>Hearing Designation Order</w:t>
      </w:r>
      <w:r w:rsidRPr="00483B3D" w:rsidR="000046D9">
        <w:rPr>
          <w:i/>
          <w:iCs/>
        </w:rPr>
        <w:t>, Order to Show Cause</w:t>
      </w:r>
      <w:r w:rsidRPr="00483B3D" w:rsidR="008012CB">
        <w:rPr>
          <w:i/>
          <w:iCs/>
        </w:rPr>
        <w:t>,</w:t>
      </w:r>
      <w:r w:rsidRPr="00483B3D" w:rsidR="000046D9">
        <w:rPr>
          <w:i/>
          <w:iCs/>
        </w:rPr>
        <w:t xml:space="preserve"> and Notice of Opportunity for Hearing</w:t>
      </w:r>
      <w:r w:rsidRPr="00483B3D" w:rsidR="00E57907">
        <w:rPr>
          <w:i/>
          <w:iCs/>
        </w:rPr>
        <w:t xml:space="preserve"> </w:t>
      </w:r>
      <w:r w:rsidRPr="00483B3D">
        <w:t>commences a hearing proceeding to determine whether Roger Wahl (</w:t>
      </w:r>
      <w:r w:rsidRPr="00483B3D" w:rsidR="006211E9">
        <w:t>Wahl</w:t>
      </w:r>
      <w:r w:rsidRPr="00483B3D">
        <w:t xml:space="preserve">), </w:t>
      </w:r>
      <w:r w:rsidRPr="00483B3D" w:rsidR="00464D67">
        <w:t>licensee of Station WQZS(FM), Meyersdale, Pennsylvania (Station), is</w:t>
      </w:r>
      <w:r w:rsidRPr="00483B3D" w:rsidR="004A123B">
        <w:t xml:space="preserve"> qualified to be and to remain a </w:t>
      </w:r>
      <w:r w:rsidRPr="00483B3D" w:rsidR="00206882">
        <w:t xml:space="preserve">holder of </w:t>
      </w:r>
      <w:r w:rsidRPr="00483B3D" w:rsidR="00E74DC1">
        <w:t xml:space="preserve">Federal Communications </w:t>
      </w:r>
      <w:r w:rsidRPr="00483B3D" w:rsidR="004A123B">
        <w:t>Commission</w:t>
      </w:r>
      <w:r w:rsidRPr="00483B3D" w:rsidR="00E74DC1">
        <w:t xml:space="preserve"> (FCC or Commission)</w:t>
      </w:r>
      <w:r w:rsidRPr="00483B3D" w:rsidR="004A123B">
        <w:t xml:space="preserve"> </w:t>
      </w:r>
      <w:r w:rsidRPr="00483B3D" w:rsidR="00206882">
        <w:t>authorizations</w:t>
      </w:r>
      <w:r w:rsidRPr="00483B3D" w:rsidR="004A123B">
        <w:t xml:space="preserve">, </w:t>
      </w:r>
      <w:r w:rsidRPr="00483B3D" w:rsidR="002D0E90">
        <w:t>and as a consequence</w:t>
      </w:r>
      <w:r w:rsidRPr="00483B3D" w:rsidR="00A463DF">
        <w:t xml:space="preserve"> thereof,</w:t>
      </w:r>
      <w:r w:rsidRPr="00483B3D" w:rsidR="002D0E90">
        <w:t xml:space="preserve"> </w:t>
      </w:r>
      <w:r w:rsidRPr="00483B3D" w:rsidR="004A123B">
        <w:t>whether his license for the Station should be revoked.</w:t>
      </w:r>
      <w:r>
        <w:rPr>
          <w:rStyle w:val="FootnoteReference"/>
          <w:sz w:val="22"/>
        </w:rPr>
        <w:footnoteReference w:id="3"/>
      </w:r>
      <w:r w:rsidRPr="00483B3D" w:rsidR="004A123B">
        <w:t xml:space="preserve">  </w:t>
      </w:r>
    </w:p>
    <w:p w:rsidR="003F3463" w:rsidP="00E10631" w14:paraId="0FD98C53" w14:textId="77777777">
      <w:pPr>
        <w:pStyle w:val="ParaNum"/>
      </w:pPr>
      <w:r w:rsidRPr="00483B3D">
        <w:t xml:space="preserve">As discussed more fully below, </w:t>
      </w:r>
      <w:r w:rsidRPr="00483B3D" w:rsidR="006211E9">
        <w:t>Wahl</w:t>
      </w:r>
      <w:r w:rsidRPr="00483B3D" w:rsidR="008A2B85">
        <w:t xml:space="preserve"> </w:t>
      </w:r>
      <w:r w:rsidRPr="00483B3D" w:rsidR="005E3E07">
        <w:t xml:space="preserve">was recently convicted of a felony and multiple misdemeanors </w:t>
      </w:r>
      <w:r w:rsidRPr="00483B3D" w:rsidR="00F32DA1">
        <w:t xml:space="preserve">under </w:t>
      </w:r>
      <w:r w:rsidRPr="00483B3D" w:rsidR="00D80CBF">
        <w:t xml:space="preserve">the </w:t>
      </w:r>
      <w:r w:rsidRPr="00483B3D" w:rsidR="002946BA">
        <w:t>Pennsylvania</w:t>
      </w:r>
      <w:r w:rsidRPr="00483B3D" w:rsidR="00D80CBF">
        <w:t xml:space="preserve"> Crimes </w:t>
      </w:r>
      <w:r w:rsidRPr="00483B3D" w:rsidR="002946BA">
        <w:t>Code</w:t>
      </w:r>
      <w:r w:rsidRPr="00483B3D" w:rsidR="008633A8">
        <w:t>.</w:t>
      </w:r>
      <w:r>
        <w:rPr>
          <w:rStyle w:val="FootnoteReference"/>
          <w:sz w:val="22"/>
        </w:rPr>
        <w:footnoteReference w:id="4"/>
      </w:r>
      <w:r w:rsidRPr="00483B3D" w:rsidR="008633A8">
        <w:t xml:space="preserve"> </w:t>
      </w:r>
      <w:r w:rsidRPr="00483B3D" w:rsidR="002409C0">
        <w:t xml:space="preserve"> </w:t>
      </w:r>
      <w:r w:rsidRPr="00FD6EAA" w:rsidR="00BA66C1">
        <w:t xml:space="preserve">Those convictions raise the question under the Commission’s </w:t>
      </w:r>
      <w:r w:rsidRPr="00FD6EAA" w:rsidR="00BA66C1">
        <w:rPr>
          <w:i/>
          <w:iCs/>
        </w:rPr>
        <w:t xml:space="preserve">Character Qualifications Policy Statement </w:t>
      </w:r>
      <w:r w:rsidRPr="00FD6EAA" w:rsidR="00BA66C1">
        <w:t>whether he possesses the requisite character qualifications to remain a Commission licensee</w:t>
      </w:r>
      <w:r w:rsidRPr="00FD6EAA" w:rsidR="005A634C">
        <w:t>.</w:t>
      </w:r>
      <w:r w:rsidRPr="00483B3D" w:rsidR="005A634C">
        <w:t xml:space="preserve"> </w:t>
      </w:r>
      <w:r w:rsidRPr="00483B3D" w:rsidR="002B3258">
        <w:t xml:space="preserve"> Accordingly, we are designating the case to be tried as a written proceeding under the Commission’s rules for hearing proceedings</w:t>
      </w:r>
      <w:r w:rsidRPr="00483B3D" w:rsidR="007E630F">
        <w:t xml:space="preserve">, with the </w:t>
      </w:r>
      <w:bookmarkStart w:id="0" w:name="_Hlk84503983"/>
      <w:r w:rsidRPr="00483B3D" w:rsidR="007E630F">
        <w:t xml:space="preserve">Administrative Law Judge </w:t>
      </w:r>
      <w:r w:rsidRPr="00483B3D" w:rsidR="006309DA">
        <w:t xml:space="preserve">serving as the </w:t>
      </w:r>
      <w:r w:rsidRPr="00483B3D" w:rsidR="007E630F">
        <w:t xml:space="preserve">presiding </w:t>
      </w:r>
      <w:r w:rsidRPr="00483B3D" w:rsidR="006309DA">
        <w:t xml:space="preserve">officer </w:t>
      </w:r>
      <w:bookmarkEnd w:id="0"/>
      <w:r w:rsidRPr="00483B3D" w:rsidR="006309DA">
        <w:t>in</w:t>
      </w:r>
      <w:r w:rsidRPr="00483B3D" w:rsidR="007E630F">
        <w:t xml:space="preserve"> the case</w:t>
      </w:r>
      <w:r w:rsidRPr="00483B3D" w:rsidR="002B3258">
        <w:t>.</w:t>
      </w:r>
      <w:r>
        <w:rPr>
          <w:rStyle w:val="FootnoteReference"/>
          <w:sz w:val="22"/>
        </w:rPr>
        <w:footnoteReference w:id="5"/>
      </w:r>
    </w:p>
    <w:p w:rsidR="003F3463" w:rsidP="003F3463" w14:paraId="43EDFE94" w14:textId="77777777">
      <w:pPr>
        <w:pStyle w:val="ParaNum"/>
        <w:numPr>
          <w:ilvl w:val="0"/>
          <w:numId w:val="0"/>
        </w:numPr>
        <w:ind w:left="720"/>
      </w:pPr>
    </w:p>
    <w:p w:rsidR="003F3463" w:rsidP="003F3463" w14:paraId="33A3A381" w14:textId="77777777">
      <w:pPr>
        <w:pStyle w:val="ParaNum"/>
        <w:numPr>
          <w:ilvl w:val="0"/>
          <w:numId w:val="0"/>
        </w:numPr>
        <w:ind w:left="720"/>
      </w:pPr>
    </w:p>
    <w:p w:rsidR="006211E9" w:rsidRPr="00483B3D" w:rsidP="003F3463" w14:paraId="47A2E0AE" w14:textId="1C4C3BED">
      <w:pPr>
        <w:pStyle w:val="ParaNum"/>
        <w:numPr>
          <w:ilvl w:val="0"/>
          <w:numId w:val="0"/>
        </w:numPr>
        <w:ind w:left="720"/>
      </w:pPr>
      <w:r w:rsidRPr="00483B3D">
        <w:t xml:space="preserve"> </w:t>
      </w:r>
    </w:p>
    <w:p w:rsidR="008C4DB3" w:rsidRPr="00483B3D" w:rsidP="00E10631" w14:paraId="0117FE5B" w14:textId="063B0183">
      <w:pPr>
        <w:pStyle w:val="Heading1"/>
        <w:ind w:left="0" w:firstLine="720"/>
        <w:rPr>
          <w:rFonts w:ascii="Times New Roman" w:hAnsi="Times New Roman"/>
        </w:rPr>
      </w:pPr>
      <w:r w:rsidRPr="00483B3D">
        <w:rPr>
          <w:rFonts w:ascii="Times New Roman" w:hAnsi="Times New Roman"/>
        </w:rPr>
        <w:t>background</w:t>
      </w:r>
      <w:r w:rsidRPr="00483B3D" w:rsidR="00E671EE">
        <w:rPr>
          <w:rFonts w:ascii="Times New Roman" w:hAnsi="Times New Roman"/>
        </w:rPr>
        <w:t xml:space="preserve"> </w:t>
      </w:r>
    </w:p>
    <w:p w:rsidR="00E208E9" w:rsidP="00E10631" w14:paraId="232A2154" w14:textId="77777777">
      <w:pPr>
        <w:pStyle w:val="ParaNum"/>
      </w:pPr>
      <w:r w:rsidRPr="00483B3D">
        <w:t xml:space="preserve">On July </w:t>
      </w:r>
      <w:r w:rsidRPr="00483B3D" w:rsidR="00DF3631">
        <w:t xml:space="preserve">8, 2020, </w:t>
      </w:r>
      <w:r w:rsidRPr="00483B3D" w:rsidR="006115FB">
        <w:t>Wahl</w:t>
      </w:r>
      <w:r w:rsidRPr="00483B3D" w:rsidR="00DF3631">
        <w:t xml:space="preserve"> plead</w:t>
      </w:r>
      <w:r w:rsidRPr="00483B3D" w:rsidR="00CC7A85">
        <w:t>ed</w:t>
      </w:r>
      <w:r w:rsidRPr="00483B3D" w:rsidR="00DF3631">
        <w:t xml:space="preserve"> guilty to </w:t>
      </w:r>
      <w:r w:rsidRPr="00483B3D" w:rsidR="008D7177">
        <w:t>criminal use of a communication facility</w:t>
      </w:r>
      <w:r w:rsidRPr="00483B3D" w:rsidR="00DB374A">
        <w:t xml:space="preserve">, </w:t>
      </w:r>
      <w:r w:rsidRPr="00483B3D" w:rsidR="002211D7">
        <w:t>which is a</w:t>
      </w:r>
      <w:r w:rsidRPr="00483B3D" w:rsidR="008D7177">
        <w:t xml:space="preserve"> third</w:t>
      </w:r>
      <w:r w:rsidRPr="00483B3D" w:rsidR="00B578CB">
        <w:t>-</w:t>
      </w:r>
      <w:r w:rsidRPr="00483B3D" w:rsidR="008D7177">
        <w:t>degree felony,</w:t>
      </w:r>
      <w:r>
        <w:rPr>
          <w:rStyle w:val="FootnoteReference"/>
          <w:sz w:val="22"/>
        </w:rPr>
        <w:footnoteReference w:id="6"/>
      </w:r>
      <w:r w:rsidRPr="00483B3D" w:rsidR="008D7177">
        <w:t xml:space="preserve"> and four related </w:t>
      </w:r>
      <w:r w:rsidRPr="00483B3D" w:rsidR="00DF3631">
        <w:t>misdemeanors</w:t>
      </w:r>
      <w:r w:rsidRPr="00483B3D" w:rsidR="008D7177">
        <w:t>.</w:t>
      </w:r>
      <w:r>
        <w:rPr>
          <w:rStyle w:val="FootnoteReference"/>
          <w:sz w:val="22"/>
        </w:rPr>
        <w:footnoteReference w:id="7"/>
      </w:r>
      <w:r w:rsidRPr="00483B3D" w:rsidR="00BE1E6B">
        <w:t xml:space="preserve"> </w:t>
      </w:r>
      <w:r w:rsidRPr="00483B3D" w:rsidR="00215877">
        <w:t xml:space="preserve"> </w:t>
      </w:r>
      <w:r w:rsidRPr="00483B3D" w:rsidR="000A284C">
        <w:t>Specifically, Wahl pleaded guilty to second-degree misdemeanors of recklessly endangering another person, unlawful dissemination of an intimate image, and tampering with evidence.</w:t>
      </w:r>
      <w:r>
        <w:rPr>
          <w:rStyle w:val="FootnoteReference"/>
          <w:sz w:val="22"/>
        </w:rPr>
        <w:footnoteReference w:id="8"/>
      </w:r>
      <w:r w:rsidRPr="00483B3D" w:rsidR="000A284C">
        <w:t xml:space="preserve">  He also initially pleaded guilty to invasion of privacy.</w:t>
      </w:r>
      <w:r>
        <w:rPr>
          <w:rStyle w:val="FootnoteReference"/>
          <w:sz w:val="22"/>
        </w:rPr>
        <w:footnoteReference w:id="9"/>
      </w:r>
      <w:r w:rsidRPr="00483B3D" w:rsidR="00656438">
        <w:t xml:space="preserve">  </w:t>
      </w:r>
    </w:p>
    <w:p w:rsidR="00A43B35" w:rsidP="00E10631" w14:paraId="3FA22009" w14:textId="474631C2">
      <w:pPr>
        <w:pStyle w:val="ParaNum"/>
      </w:pPr>
      <w:r>
        <w:t>T</w:t>
      </w:r>
      <w:r w:rsidR="00474274">
        <w:t xml:space="preserve">he facts supporting </w:t>
      </w:r>
      <w:r w:rsidR="00117F02">
        <w:t>Wahl</w:t>
      </w:r>
      <w:r w:rsidR="00474274">
        <w:t xml:space="preserve">’s guilty plea were </w:t>
      </w:r>
      <w:r w:rsidR="00D0535C">
        <w:t>recited</w:t>
      </w:r>
      <w:r w:rsidR="00474274">
        <w:t xml:space="preserve"> for the cour</w:t>
      </w:r>
      <w:r w:rsidR="00574F54">
        <w:t xml:space="preserve">t </w:t>
      </w:r>
      <w:r>
        <w:t>at the time his plea was entered</w:t>
      </w:r>
      <w:r w:rsidR="00574F54">
        <w:t xml:space="preserve">, and Wahl himself confirmed that the </w:t>
      </w:r>
      <w:r w:rsidR="00E30676">
        <w:t>recitation was accurate</w:t>
      </w:r>
      <w:r w:rsidR="00474274">
        <w:t>.</w:t>
      </w:r>
      <w:r>
        <w:rPr>
          <w:rStyle w:val="FootnoteReference"/>
        </w:rPr>
        <w:footnoteReference w:id="10"/>
      </w:r>
      <w:r w:rsidR="00474274">
        <w:t xml:space="preserve">  </w:t>
      </w:r>
      <w:r w:rsidR="00077E41">
        <w:t>Wahl</w:t>
      </w:r>
      <w:r w:rsidR="00426ACD">
        <w:t xml:space="preserve"> had</w:t>
      </w:r>
      <w:r w:rsidR="00117F02">
        <w:t xml:space="preserve"> </w:t>
      </w:r>
      <w:r w:rsidRPr="00483B3D">
        <w:t xml:space="preserve">secretly </w:t>
      </w:r>
      <w:r w:rsidR="00426ACD">
        <w:t>taken</w:t>
      </w:r>
      <w:r w:rsidRPr="00483B3D">
        <w:t xml:space="preserve"> nude photos of a </w:t>
      </w:r>
      <w:r w:rsidR="00BA08DE">
        <w:t>woman</w:t>
      </w:r>
      <w:r w:rsidRPr="00483B3D">
        <w:t xml:space="preserve"> inside her home using a concealed camera installed in her bathroom; (b) impersonated </w:t>
      </w:r>
      <w:r w:rsidR="002B4F3B">
        <w:t xml:space="preserve">the </w:t>
      </w:r>
      <w:r w:rsidR="00BA08DE">
        <w:t>woman</w:t>
      </w:r>
      <w:r w:rsidRPr="00483B3D">
        <w:t xml:space="preserve"> </w:t>
      </w:r>
      <w:r w:rsidR="00BD70CC">
        <w:t>o</w:t>
      </w:r>
      <w:r w:rsidRPr="00483B3D">
        <w:t>n an online dating site; (c) sent the nude photos</w:t>
      </w:r>
      <w:r w:rsidR="002B4F3B">
        <w:t xml:space="preserve"> of the </w:t>
      </w:r>
      <w:r w:rsidR="00BA08DE">
        <w:t xml:space="preserve">woman </w:t>
      </w:r>
      <w:r w:rsidRPr="00483B3D">
        <w:t xml:space="preserve">to at least one man whom he connected with through that site; and (d) solicited that man to </w:t>
      </w:r>
      <w:r w:rsidR="00E715A2">
        <w:t>have sexual relationships with</w:t>
      </w:r>
      <w:r w:rsidRPr="00483B3D">
        <w:t xml:space="preserve"> </w:t>
      </w:r>
      <w:r w:rsidR="002B4F3B">
        <w:t xml:space="preserve">the </w:t>
      </w:r>
      <w:r w:rsidR="00BA08DE">
        <w:t>woman</w:t>
      </w:r>
      <w:r w:rsidR="00E715A2">
        <w:t xml:space="preserve"> without her consent</w:t>
      </w:r>
      <w:r w:rsidRPr="00483B3D">
        <w:t>.</w:t>
      </w:r>
      <w:r>
        <w:rPr>
          <w:rStyle w:val="FootnoteReference"/>
          <w:sz w:val="22"/>
        </w:rPr>
        <w:footnoteReference w:id="11"/>
      </w:r>
      <w:r w:rsidR="00E42FD5">
        <w:t xml:space="preserve">  In addition, Wahl deleted </w:t>
      </w:r>
      <w:r w:rsidR="00EE3E2F">
        <w:t>the nude photos</w:t>
      </w:r>
      <w:r w:rsidR="002B4F3B">
        <w:t xml:space="preserve"> of the </w:t>
      </w:r>
      <w:r w:rsidR="00BA08DE">
        <w:t>woman</w:t>
      </w:r>
      <w:r w:rsidR="00EE3E2F">
        <w:t xml:space="preserve"> from his mobile phone, and deleted</w:t>
      </w:r>
      <w:r w:rsidR="00113A11">
        <w:t xml:space="preserve"> the communications </w:t>
      </w:r>
      <w:r w:rsidR="002B4F3B">
        <w:t xml:space="preserve">he made </w:t>
      </w:r>
      <w:r w:rsidR="00113A11">
        <w:t xml:space="preserve">via the online dating </w:t>
      </w:r>
      <w:r w:rsidR="00A37911">
        <w:t>site</w:t>
      </w:r>
      <w:r w:rsidR="00113A11">
        <w:t xml:space="preserve"> upon learning </w:t>
      </w:r>
      <w:r w:rsidR="00A13EF0">
        <w:t>of</w:t>
      </w:r>
      <w:r w:rsidR="00113A11">
        <w:t xml:space="preserve"> the Pennsylvania State Police </w:t>
      </w:r>
      <w:r w:rsidR="00A13EF0">
        <w:t>investigation.</w:t>
      </w:r>
      <w:r>
        <w:rPr>
          <w:rStyle w:val="FootnoteReference"/>
        </w:rPr>
        <w:footnoteReference w:id="12"/>
      </w:r>
      <w:r w:rsidR="00A13EF0">
        <w:t xml:space="preserve">  </w:t>
      </w:r>
    </w:p>
    <w:p w:rsidR="000201E1" w:rsidRPr="00483B3D" w:rsidP="00E10631" w14:paraId="37BFFD4F" w14:textId="59F96B84">
      <w:pPr>
        <w:pStyle w:val="ParaNum"/>
      </w:pPr>
      <w:r>
        <w:t>Subsequently</w:t>
      </w:r>
      <w:r w:rsidR="0032244A">
        <w:t xml:space="preserve">, </w:t>
      </w:r>
      <w:r w:rsidR="00664E96">
        <w:t>according to the</w:t>
      </w:r>
      <w:r w:rsidR="00CC2199">
        <w:t xml:space="preserve"> </w:t>
      </w:r>
      <w:r w:rsidR="00D753C2">
        <w:t>record in the criminal proceeding</w:t>
      </w:r>
      <w:r w:rsidR="00664E96">
        <w:t xml:space="preserve">, </w:t>
      </w:r>
      <w:r w:rsidRPr="00483B3D" w:rsidR="000A284C">
        <w:t xml:space="preserve">Wahl learned that </w:t>
      </w:r>
      <w:r w:rsidRPr="00483B3D" w:rsidR="00656438">
        <w:t xml:space="preserve">a </w:t>
      </w:r>
      <w:r w:rsidRPr="00483B3D" w:rsidR="000A284C">
        <w:t>conviction on the invasion of privacy charge would require registration and notification as a sex offender</w:t>
      </w:r>
      <w:r w:rsidR="0032244A">
        <w:t>.</w:t>
      </w:r>
      <w:r>
        <w:rPr>
          <w:rStyle w:val="FootnoteReference"/>
        </w:rPr>
        <w:footnoteReference w:id="13"/>
      </w:r>
      <w:r w:rsidRPr="00483B3D" w:rsidR="000A284C">
        <w:t xml:space="preserve"> </w:t>
      </w:r>
      <w:r w:rsidR="0032244A">
        <w:t xml:space="preserve"> Thus, he</w:t>
      </w:r>
      <w:r w:rsidRPr="00483B3D" w:rsidR="0032244A">
        <w:t xml:space="preserve"> </w:t>
      </w:r>
      <w:r w:rsidRPr="00483B3D" w:rsidR="000A284C">
        <w:t xml:space="preserve">withdrew </w:t>
      </w:r>
      <w:r w:rsidR="003A211A">
        <w:t>his</w:t>
      </w:r>
      <w:r w:rsidRPr="00483B3D" w:rsidR="003A211A">
        <w:t xml:space="preserve"> </w:t>
      </w:r>
      <w:r w:rsidRPr="00483B3D" w:rsidR="000A284C">
        <w:t>plea</w:t>
      </w:r>
      <w:r w:rsidR="003A211A">
        <w:t xml:space="preserve"> of guilty with respect to </w:t>
      </w:r>
      <w:r w:rsidR="00D87ADB">
        <w:t>that charge</w:t>
      </w:r>
      <w:r w:rsidRPr="00483B3D" w:rsidR="000A284C">
        <w:t>, and on November 16, 2020</w:t>
      </w:r>
      <w:r w:rsidRPr="00483B3D" w:rsidR="00656438">
        <w:t xml:space="preserve">, instead </w:t>
      </w:r>
      <w:r w:rsidRPr="00483B3D" w:rsidR="000A284C">
        <w:t>pleaded guilty to identity theft, a first-degree misdemeanor.</w:t>
      </w:r>
      <w:r>
        <w:rPr>
          <w:rStyle w:val="FootnoteReference"/>
          <w:sz w:val="22"/>
        </w:rPr>
        <w:footnoteReference w:id="14"/>
      </w:r>
      <w:r w:rsidRPr="00483B3D" w:rsidR="00656438">
        <w:t xml:space="preserve">  </w:t>
      </w:r>
      <w:r>
        <w:t xml:space="preserve">At that time, </w:t>
      </w:r>
      <w:r w:rsidRPr="00483B3D" w:rsidR="006115FB">
        <w:t xml:space="preserve">Wahl was </w:t>
      </w:r>
      <w:r w:rsidRPr="00483B3D" w:rsidR="000F6C7F">
        <w:t>sentenced</w:t>
      </w:r>
      <w:r w:rsidRPr="00483B3D" w:rsidR="00CF1109">
        <w:t xml:space="preserve"> </w:t>
      </w:r>
      <w:r w:rsidRPr="00483B3D" w:rsidR="004640AE">
        <w:t xml:space="preserve">to </w:t>
      </w:r>
      <w:r w:rsidRPr="00483B3D" w:rsidR="00606218">
        <w:t xml:space="preserve">concurrent sentences that effectively </w:t>
      </w:r>
      <w:r w:rsidRPr="00483B3D" w:rsidR="005500CB">
        <w:t xml:space="preserve">placed </w:t>
      </w:r>
      <w:r w:rsidRPr="00483B3D" w:rsidR="00CF1109">
        <w:t>him</w:t>
      </w:r>
      <w:r w:rsidRPr="00483B3D" w:rsidR="005500CB">
        <w:t xml:space="preserve"> on </w:t>
      </w:r>
      <w:r w:rsidRPr="00483B3D" w:rsidR="000613CB">
        <w:t>probation for three years</w:t>
      </w:r>
      <w:r w:rsidRPr="00483B3D" w:rsidR="00213AD0">
        <w:t>,</w:t>
      </w:r>
      <w:r w:rsidRPr="00483B3D" w:rsidR="004640AE">
        <w:t xml:space="preserve"> with four months of electronic monitoring</w:t>
      </w:r>
      <w:r w:rsidRPr="00483B3D" w:rsidR="00213AD0">
        <w:t>,</w:t>
      </w:r>
      <w:r w:rsidRPr="00483B3D" w:rsidR="00970533">
        <w:t xml:space="preserve"> and</w:t>
      </w:r>
      <w:r w:rsidRPr="00483B3D" w:rsidR="004640AE">
        <w:t xml:space="preserve"> required </w:t>
      </w:r>
      <w:r w:rsidRPr="00483B3D" w:rsidR="00CF1109">
        <w:t>him</w:t>
      </w:r>
      <w:r w:rsidRPr="00483B3D" w:rsidR="00676839">
        <w:t xml:space="preserve"> to pay </w:t>
      </w:r>
      <w:r w:rsidRPr="00483B3D" w:rsidR="00213AD0">
        <w:t xml:space="preserve">$600 in fines and </w:t>
      </w:r>
      <w:r w:rsidRPr="00483B3D" w:rsidR="00676839">
        <w:t>the costs of his prosecution</w:t>
      </w:r>
      <w:r w:rsidRPr="00483B3D" w:rsidR="000A284C">
        <w:t xml:space="preserve"> </w:t>
      </w:r>
      <w:r w:rsidRPr="00483B3D" w:rsidR="00213AD0">
        <w:t>and supervision</w:t>
      </w:r>
      <w:r w:rsidRPr="00483B3D" w:rsidR="00970533">
        <w:t>.</w:t>
      </w:r>
      <w:r>
        <w:rPr>
          <w:rStyle w:val="FootnoteReference"/>
          <w:sz w:val="22"/>
        </w:rPr>
        <w:footnoteReference w:id="15"/>
      </w:r>
    </w:p>
    <w:p w:rsidR="008766C3" w:rsidRPr="00483B3D" w:rsidP="00E10631" w14:paraId="2EA89A85" w14:textId="7F555A33">
      <w:pPr>
        <w:pStyle w:val="ParaNum"/>
      </w:pPr>
      <w:r w:rsidRPr="00483B3D">
        <w:rPr>
          <w:b/>
          <w:bCs/>
        </w:rPr>
        <w:t xml:space="preserve">Legal </w:t>
      </w:r>
      <w:r w:rsidRPr="00483B3D" w:rsidR="00864258">
        <w:rPr>
          <w:b/>
          <w:bCs/>
        </w:rPr>
        <w:t>Standards</w:t>
      </w:r>
      <w:r w:rsidRPr="00483B3D">
        <w:rPr>
          <w:b/>
          <w:bCs/>
        </w:rPr>
        <w:t>.</w:t>
      </w:r>
      <w:r w:rsidRPr="00483B3D">
        <w:t xml:space="preserve"> </w:t>
      </w:r>
      <w:r w:rsidRPr="00483B3D" w:rsidR="00864258">
        <w:t xml:space="preserve"> </w:t>
      </w:r>
      <w:r w:rsidRPr="00483B3D" w:rsidR="00325D72">
        <w:t>Section 312(a)(2) of the Act provides that the Commission may revoke any license if “conditions com[e] to the attention of the Commission which would warrant it in refusing to grant a license or permit on the original application.”</w:t>
      </w:r>
      <w:r>
        <w:rPr>
          <w:rStyle w:val="FootnoteReference"/>
          <w:sz w:val="22"/>
        </w:rPr>
        <w:footnoteReference w:id="16"/>
      </w:r>
      <w:r w:rsidRPr="00483B3D" w:rsidR="00325D72">
        <w:t xml:space="preserve">  </w:t>
      </w:r>
      <w:r w:rsidRPr="00483B3D" w:rsidR="00D20A67">
        <w:t xml:space="preserve">The character of an applicant is among </w:t>
      </w:r>
      <w:r w:rsidRPr="00483B3D" w:rsidR="00D20A67">
        <w:t>those factors that the Commission considers in determining whether an  applicant has the requisite qualifications to be a Commission licensee.</w:t>
      </w:r>
      <w:r>
        <w:rPr>
          <w:rStyle w:val="FootnoteReference"/>
          <w:sz w:val="22"/>
        </w:rPr>
        <w:footnoteReference w:id="17"/>
      </w:r>
      <w:r w:rsidRPr="00483B3D" w:rsidR="00D20A67">
        <w:t xml:space="preserve">  </w:t>
      </w:r>
      <w:r w:rsidRPr="00483B3D">
        <w:t>A</w:t>
      </w:r>
      <w:r w:rsidRPr="00483B3D" w:rsidR="00325D72">
        <w:t xml:space="preserve"> character defect that would warrant the Commission’s refusal to grant a license in the original application </w:t>
      </w:r>
      <w:r w:rsidRPr="00483B3D" w:rsidR="00051875">
        <w:t xml:space="preserve">therefore </w:t>
      </w:r>
      <w:r w:rsidRPr="00483B3D" w:rsidR="00325D72">
        <w:t>would likewise support a Commission determination to revoke a license.</w:t>
      </w:r>
    </w:p>
    <w:p w:rsidR="00D916B6" w:rsidRPr="00483B3D" w:rsidP="00E10631" w14:paraId="717F7DAE" w14:textId="32C4B618">
      <w:pPr>
        <w:pStyle w:val="ParaNum"/>
      </w:pPr>
      <w:r w:rsidRPr="00483B3D">
        <w:t xml:space="preserve">Under the Commission’s </w:t>
      </w:r>
      <w:r w:rsidRPr="00483B3D">
        <w:rPr>
          <w:i/>
          <w:iCs/>
        </w:rPr>
        <w:t>Character Qualifications Policy Statement</w:t>
      </w:r>
      <w:r w:rsidRPr="00483B3D">
        <w:t xml:space="preserve">, non-FCC misconduct </w:t>
      </w:r>
      <w:r w:rsidRPr="00FD6EAA">
        <w:t xml:space="preserve">may </w:t>
      </w:r>
      <w:r w:rsidRPr="00FD6EAA" w:rsidR="00BA66C1">
        <w:t xml:space="preserve">call into question </w:t>
      </w:r>
      <w:r w:rsidRPr="00FD6EAA">
        <w:t>a licensee’s character.</w:t>
      </w:r>
      <w:r>
        <w:rPr>
          <w:rStyle w:val="FootnoteReference"/>
          <w:sz w:val="22"/>
        </w:rPr>
        <w:footnoteReference w:id="18"/>
      </w:r>
      <w:r w:rsidRPr="00483B3D">
        <w:t xml:space="preserve"> </w:t>
      </w:r>
      <w:r w:rsidRPr="00483B3D" w:rsidR="00F2272F">
        <w:t xml:space="preserve"> </w:t>
      </w:r>
      <w:r w:rsidRPr="00483B3D">
        <w:t xml:space="preserve">In assessing character qualifications </w:t>
      </w:r>
      <w:r w:rsidRPr="00483B3D" w:rsidR="00B45D0C">
        <w:t>in</w:t>
      </w:r>
      <w:r w:rsidRPr="00483B3D" w:rsidR="00C12E2E">
        <w:t xml:space="preserve"> </w:t>
      </w:r>
      <w:r w:rsidRPr="00483B3D">
        <w:t xml:space="preserve">broadcasting </w:t>
      </w:r>
      <w:r w:rsidRPr="00483B3D" w:rsidR="00B45D0C">
        <w:t>matters</w:t>
      </w:r>
      <w:r w:rsidRPr="00483B3D">
        <w:t xml:space="preserve">, the Commission considers, as relevant, </w:t>
      </w:r>
      <w:r w:rsidRPr="00483B3D" w:rsidR="00F2272F">
        <w:t>“e</w:t>
      </w:r>
      <w:r w:rsidRPr="00483B3D">
        <w:t xml:space="preserve">vidence of any conviction for misconduct </w:t>
      </w:r>
      <w:r w:rsidRPr="00483B3D" w:rsidR="00590E2D">
        <w:t>constituting</w:t>
      </w:r>
      <w:r w:rsidRPr="00483B3D" w:rsidR="006F5AA2">
        <w:t xml:space="preserve"> </w:t>
      </w:r>
      <w:r w:rsidRPr="00483B3D">
        <w:t>a felony.”</w:t>
      </w:r>
      <w:r>
        <w:rPr>
          <w:rStyle w:val="FootnoteReference"/>
          <w:sz w:val="22"/>
        </w:rPr>
        <w:footnoteReference w:id="19"/>
      </w:r>
      <w:r w:rsidRPr="00483B3D" w:rsidR="00F2272F">
        <w:t xml:space="preserve"> </w:t>
      </w:r>
      <w:r w:rsidRPr="00483B3D">
        <w:t xml:space="preserve"> In particular, we have found that “[b]ecause all felonies are serious crimes, any conviction provides an indication of an applicant’s or licensee’s propensity to obey the law” and conform to provisions of both the Act and the </w:t>
      </w:r>
      <w:r w:rsidRPr="00483B3D" w:rsidR="006538C9">
        <w:t>Commission</w:t>
      </w:r>
      <w:r w:rsidRPr="00483B3D">
        <w:t xml:space="preserve">’s </w:t>
      </w:r>
      <w:r w:rsidRPr="00483B3D" w:rsidR="00215877">
        <w:t>R</w:t>
      </w:r>
      <w:r w:rsidRPr="00483B3D">
        <w:t>ules and policies.</w:t>
      </w:r>
      <w:r>
        <w:rPr>
          <w:rStyle w:val="FootnoteReference"/>
          <w:sz w:val="22"/>
        </w:rPr>
        <w:footnoteReference w:id="20"/>
      </w:r>
      <w:r w:rsidRPr="00483B3D" w:rsidR="009704E7">
        <w:t xml:space="preserve"> </w:t>
      </w:r>
      <w:r w:rsidRPr="00483B3D">
        <w:t xml:space="preserve"> </w:t>
      </w:r>
      <w:r w:rsidR="00EB0351">
        <w:t>The Commission retains discretion to consider other types of non-FCC misconduct that may be relevant, including certain types of misdemeanors.</w:t>
      </w:r>
      <w:r>
        <w:rPr>
          <w:rStyle w:val="FootnoteReference"/>
          <w:sz w:val="22"/>
        </w:rPr>
        <w:footnoteReference w:id="21"/>
      </w:r>
      <w:r w:rsidRPr="00483B3D" w:rsidR="00EB0351">
        <w:t xml:space="preserve"> </w:t>
      </w:r>
      <w:r w:rsidR="00EB0351">
        <w:t xml:space="preserve">  </w:t>
      </w:r>
      <w:r w:rsidRPr="00483B3D" w:rsidR="00716B54">
        <w:t xml:space="preserve">The </w:t>
      </w:r>
      <w:r w:rsidRPr="00483B3D" w:rsidR="00F91AC9">
        <w:t>question of whether misconduct is disqualifying turns on the facts of each case, including a consideration of any mitigating circumstances.</w:t>
      </w:r>
      <w:r>
        <w:rPr>
          <w:rStyle w:val="FootnoteReference"/>
          <w:sz w:val="22"/>
        </w:rPr>
        <w:footnoteReference w:id="22"/>
      </w:r>
    </w:p>
    <w:p w:rsidR="00BD22B7" w:rsidRPr="00483B3D" w:rsidP="00E10631" w14:paraId="0BE917A8" w14:textId="77777777">
      <w:pPr>
        <w:pStyle w:val="Heading1"/>
        <w:ind w:left="0" w:firstLine="720"/>
        <w:rPr>
          <w:rFonts w:ascii="Times New Roman" w:hAnsi="Times New Roman"/>
        </w:rPr>
      </w:pPr>
      <w:r w:rsidRPr="00483B3D">
        <w:rPr>
          <w:rFonts w:ascii="Times New Roman" w:hAnsi="Times New Roman"/>
        </w:rPr>
        <w:t>Discussion</w:t>
      </w:r>
    </w:p>
    <w:p w:rsidR="00DF372A" w:rsidRPr="00483B3D" w:rsidP="00E10631" w14:paraId="13150291" w14:textId="6309E4E0">
      <w:pPr>
        <w:pStyle w:val="ParaNum"/>
      </w:pPr>
      <w:r w:rsidRPr="00483B3D">
        <w:t xml:space="preserve">Wahl’s </w:t>
      </w:r>
      <w:r w:rsidRPr="00483B3D" w:rsidR="00F6331E">
        <w:t>guilty plea to</w:t>
      </w:r>
      <w:r w:rsidRPr="00483B3D" w:rsidR="00E23ECF">
        <w:t xml:space="preserve"> </w:t>
      </w:r>
      <w:r w:rsidRPr="00483B3D" w:rsidR="00655AA3">
        <w:t>criminal use of a communication</w:t>
      </w:r>
      <w:r w:rsidRPr="00483B3D" w:rsidR="002144C8">
        <w:t xml:space="preserve"> </w:t>
      </w:r>
      <w:r w:rsidRPr="00483B3D" w:rsidR="003506B1">
        <w:t>facility</w:t>
      </w:r>
      <w:r w:rsidRPr="00483B3D" w:rsidR="00D14C56">
        <w:t xml:space="preserve">, a </w:t>
      </w:r>
      <w:r w:rsidRPr="00483B3D" w:rsidR="00B578CB">
        <w:t>third-degree</w:t>
      </w:r>
      <w:r w:rsidRPr="00483B3D" w:rsidR="002144C8">
        <w:t xml:space="preserve"> </w:t>
      </w:r>
      <w:r w:rsidRPr="00483B3D" w:rsidR="00D14C56">
        <w:t>felony, by itself</w:t>
      </w:r>
      <w:r w:rsidR="006C1B98">
        <w:t>,</w:t>
      </w:r>
      <w:r w:rsidRPr="00483B3D" w:rsidR="00655AA3">
        <w:t xml:space="preserve"> raises </w:t>
      </w:r>
      <w:r w:rsidR="00022A40">
        <w:t xml:space="preserve">the question under the Commission’s </w:t>
      </w:r>
      <w:r w:rsidR="00022A40">
        <w:rPr>
          <w:i/>
          <w:iCs/>
        </w:rPr>
        <w:t xml:space="preserve">Character Qualifications Policy Statement </w:t>
      </w:r>
      <w:r w:rsidRPr="00483B3D" w:rsidR="00655AA3">
        <w:t xml:space="preserve">whether he possesses the requisite character qualifications to </w:t>
      </w:r>
      <w:r w:rsidRPr="00483B3D" w:rsidR="00B42268">
        <w:t>remain a</w:t>
      </w:r>
      <w:r w:rsidRPr="00483B3D" w:rsidR="00655AA3">
        <w:t xml:space="preserve"> Commission </w:t>
      </w:r>
      <w:r w:rsidRPr="00483B3D" w:rsidR="00B42268">
        <w:t>l</w:t>
      </w:r>
      <w:r w:rsidRPr="00483B3D" w:rsidR="00655AA3">
        <w:t>icensee</w:t>
      </w:r>
      <w:r w:rsidRPr="00483B3D" w:rsidR="006C293E">
        <w:t xml:space="preserve">. </w:t>
      </w:r>
      <w:r w:rsidRPr="00483B3D" w:rsidR="00491310">
        <w:t xml:space="preserve"> </w:t>
      </w:r>
      <w:r w:rsidRPr="00483B3D" w:rsidR="006C293E">
        <w:t>Reliability is a key element of character necessary to operate a broadcast station in the public interest.</w:t>
      </w:r>
      <w:r>
        <w:rPr>
          <w:rStyle w:val="FootnoteReference"/>
          <w:sz w:val="22"/>
        </w:rPr>
        <w:footnoteReference w:id="23"/>
      </w:r>
      <w:r w:rsidRPr="00483B3D" w:rsidR="006C293E">
        <w:t xml:space="preserve"> </w:t>
      </w:r>
      <w:r w:rsidRPr="00483B3D" w:rsidR="00491310">
        <w:t xml:space="preserve"> </w:t>
      </w:r>
      <w:r w:rsidRPr="00483B3D" w:rsidR="006C293E">
        <w:t>The propensity to comply with the law generally is relevant to character qualifications, and an applicant or licensee’s willingness to violate other laws, and, in particular, to commit felonies, is indicative of whether the applicant or licensee will conform to the Commission’s rules or policies.</w:t>
      </w:r>
      <w:r>
        <w:rPr>
          <w:rStyle w:val="FootnoteReference"/>
          <w:sz w:val="22"/>
        </w:rPr>
        <w:footnoteReference w:id="24"/>
      </w:r>
      <w:r w:rsidRPr="00483B3D" w:rsidR="00491310">
        <w:t xml:space="preserve"> </w:t>
      </w:r>
      <w:r w:rsidRPr="00483B3D" w:rsidR="006C293E">
        <w:t xml:space="preserve"> Evidence of any felony conviction is relevant to an applicant’s or licensee’s character.</w:t>
      </w:r>
      <w:r>
        <w:rPr>
          <w:rStyle w:val="FootnoteReference"/>
          <w:sz w:val="22"/>
        </w:rPr>
        <w:footnoteReference w:id="25"/>
      </w:r>
      <w:r w:rsidRPr="00483B3D" w:rsidR="006C293E">
        <w:t xml:space="preserve"> </w:t>
      </w:r>
      <w:r w:rsidRPr="00483B3D" w:rsidR="00491310">
        <w:t xml:space="preserve"> </w:t>
      </w:r>
    </w:p>
    <w:p w:rsidR="003777D8" w:rsidRPr="00483B3D" w:rsidP="00E10631" w14:paraId="2DD1A346" w14:textId="30B2E7C7">
      <w:pPr>
        <w:pStyle w:val="ParaNum"/>
      </w:pPr>
      <w:r>
        <w:t xml:space="preserve">We also find that </w:t>
      </w:r>
      <w:r w:rsidR="00BA08DE">
        <w:t>Wahl’s</w:t>
      </w:r>
      <w:r>
        <w:t xml:space="preserve"> multiple misdemeanor convictions support our decision to designate this matter for hearing.  W</w:t>
      </w:r>
      <w:r w:rsidRPr="00483B3D" w:rsidR="002766F9">
        <w:t xml:space="preserve">hile </w:t>
      </w:r>
      <w:r w:rsidRPr="00483B3D" w:rsidR="00B8625B">
        <w:t xml:space="preserve">felony </w:t>
      </w:r>
      <w:r w:rsidRPr="00483B3D" w:rsidR="002766F9">
        <w:t>convictions</w:t>
      </w:r>
      <w:r w:rsidRPr="00483B3D" w:rsidR="00A7350D">
        <w:t>, among all criminal convictions,</w:t>
      </w:r>
      <w:r w:rsidRPr="00483B3D" w:rsidR="002766F9">
        <w:t xml:space="preserve"> are most relevant to our evaluation of an applicant’s character, </w:t>
      </w:r>
      <w:r>
        <w:t xml:space="preserve">the Commission has </w:t>
      </w:r>
      <w:r w:rsidRPr="00483B3D" w:rsidR="002766F9">
        <w:t>the discretion to consider serious misdeme</w:t>
      </w:r>
      <w:r w:rsidRPr="00483B3D" w:rsidR="00301792">
        <w:t>anor conviction</w:t>
      </w:r>
      <w:r w:rsidRPr="00483B3D" w:rsidR="00841E95">
        <w:t>s</w:t>
      </w:r>
      <w:r w:rsidRPr="00483B3D" w:rsidR="00301792">
        <w:t xml:space="preserve"> </w:t>
      </w:r>
      <w:r w:rsidRPr="00483B3D" w:rsidR="00944F8A">
        <w:t>in</w:t>
      </w:r>
      <w:r w:rsidRPr="00483B3D" w:rsidR="00301792">
        <w:t xml:space="preserve"> appropriate</w:t>
      </w:r>
      <w:r w:rsidRPr="00483B3D" w:rsidR="00944F8A">
        <w:t xml:space="preserve"> cases</w:t>
      </w:r>
      <w:r w:rsidRPr="00483B3D" w:rsidR="00301792">
        <w:t>.</w:t>
      </w:r>
      <w:r>
        <w:rPr>
          <w:rStyle w:val="FootnoteReference"/>
          <w:sz w:val="22"/>
        </w:rPr>
        <w:footnoteReference w:id="26"/>
      </w:r>
      <w:r w:rsidRPr="00483B3D" w:rsidR="00301792">
        <w:t xml:space="preserve">  </w:t>
      </w:r>
      <w:r w:rsidR="00BA447B">
        <w:t>We find that this is such a case.  Although Wahl does not have a record of multiple criminal convictions over time,</w:t>
      </w:r>
      <w:r w:rsidR="00582AF8">
        <w:t xml:space="preserve"> he pleaded guilty </w:t>
      </w:r>
      <w:r w:rsidR="00660002">
        <w:t xml:space="preserve">not only to a felony, </w:t>
      </w:r>
      <w:r w:rsidR="00660002">
        <w:t xml:space="preserve">but also </w:t>
      </w:r>
      <w:r w:rsidR="00582AF8">
        <w:t xml:space="preserve">to an array of </w:t>
      </w:r>
      <w:r w:rsidR="00660002">
        <w:t xml:space="preserve">misdemeanor </w:t>
      </w:r>
      <w:r w:rsidR="00582AF8">
        <w:t>criminal offenses</w:t>
      </w:r>
      <w:r w:rsidRPr="00660002" w:rsidR="00660002">
        <w:t xml:space="preserve"> </w:t>
      </w:r>
      <w:r w:rsidR="00660002">
        <w:t>(</w:t>
      </w:r>
      <w:r w:rsidRPr="00483B3D" w:rsidR="00660002">
        <w:t>identity theft, unlawful dissemination of an intimate image, recklessly endangering another person</w:t>
      </w:r>
      <w:r w:rsidR="00BC0097">
        <w:t>, and tampering with evidence)</w:t>
      </w:r>
      <w:r w:rsidR="00582AF8">
        <w:t xml:space="preserve"> based on </w:t>
      </w:r>
      <w:r w:rsidRPr="00483B3D" w:rsidR="00BA447B">
        <w:t>misconduct involv</w:t>
      </w:r>
      <w:r w:rsidR="00582AF8">
        <w:t>ing</w:t>
      </w:r>
      <w:r w:rsidRPr="00483B3D" w:rsidR="00BA447B">
        <w:t xml:space="preserve"> multiple actions over a period of time designed to harm his victim seriously</w:t>
      </w:r>
      <w:r w:rsidR="0094325B">
        <w:t xml:space="preserve"> and then evade responsibility for those actions</w:t>
      </w:r>
      <w:r w:rsidR="00582AF8">
        <w:t>.</w:t>
      </w:r>
      <w:r>
        <w:rPr>
          <w:rStyle w:val="FootnoteReference"/>
        </w:rPr>
        <w:footnoteReference w:id="27"/>
      </w:r>
      <w:r w:rsidR="00582AF8">
        <w:t xml:space="preserve"> </w:t>
      </w:r>
      <w:r w:rsidRPr="00BA447B" w:rsidR="00BA447B">
        <w:t xml:space="preserve"> </w:t>
      </w:r>
      <w:r w:rsidRPr="00BC0097" w:rsidR="00BC0097">
        <w:t>Even though Wahl’s attempt to inflict physical harm on the victim failed, he did inflict substantial emotional harm</w:t>
      </w:r>
      <w:r w:rsidRPr="00483B3D" w:rsidR="00BC0097">
        <w:t>.</w:t>
      </w:r>
      <w:r>
        <w:rPr>
          <w:rStyle w:val="FootnoteReference"/>
          <w:sz w:val="22"/>
        </w:rPr>
        <w:footnoteReference w:id="28"/>
      </w:r>
      <w:r w:rsidR="00BC0097">
        <w:t xml:space="preserve">  </w:t>
      </w:r>
      <w:r w:rsidRPr="00483B3D" w:rsidR="004921DC">
        <w:t>Furthermore,</w:t>
      </w:r>
      <w:r w:rsidR="0052506C">
        <w:t xml:space="preserve"> the fundamental purpose of the Commission’s character inquiry is to make predictive judgments about an applicant’s</w:t>
      </w:r>
      <w:r w:rsidR="00CB1230">
        <w:t xml:space="preserve"> </w:t>
      </w:r>
      <w:r w:rsidRPr="00483B3D" w:rsidR="004921DC">
        <w:t xml:space="preserve">truthfulness </w:t>
      </w:r>
      <w:r w:rsidR="00CB1230">
        <w:t xml:space="preserve">and propensity to comply with the Act and </w:t>
      </w:r>
      <w:r w:rsidR="00853E11">
        <w:t xml:space="preserve">the </w:t>
      </w:r>
      <w:r w:rsidR="00BA08DE">
        <w:t>R</w:t>
      </w:r>
      <w:r w:rsidR="00CB1230">
        <w:t>ules</w:t>
      </w:r>
      <w:r w:rsidR="0052506C">
        <w:t>.</w:t>
      </w:r>
      <w:r w:rsidR="00CB1230">
        <w:t xml:space="preserve"> </w:t>
      </w:r>
      <w:r>
        <w:rPr>
          <w:rStyle w:val="FootnoteReference"/>
          <w:sz w:val="22"/>
        </w:rPr>
        <w:footnoteReference w:id="29"/>
      </w:r>
      <w:r w:rsidRPr="00483B3D" w:rsidR="004921DC">
        <w:t xml:space="preserve">   </w:t>
      </w:r>
      <w:r w:rsidRPr="00483B3D" w:rsidR="00D11368">
        <w:t>For th</w:t>
      </w:r>
      <w:r w:rsidRPr="00483B3D" w:rsidR="00841E95">
        <w:t>is</w:t>
      </w:r>
      <w:r w:rsidRPr="00483B3D" w:rsidR="00D11368">
        <w:t xml:space="preserve"> reason, we </w:t>
      </w:r>
      <w:r w:rsidRPr="00483B3D" w:rsidR="00DB01AC">
        <w:t>find</w:t>
      </w:r>
      <w:r w:rsidR="00DB4800">
        <w:t xml:space="preserve"> that</w:t>
      </w:r>
      <w:r w:rsidRPr="00483B3D">
        <w:t xml:space="preserve"> </w:t>
      </w:r>
      <w:r w:rsidRPr="00483B3D" w:rsidR="008D67B2">
        <w:t xml:space="preserve">Wahl’s </w:t>
      </w:r>
      <w:r>
        <w:t xml:space="preserve">misdemeanor </w:t>
      </w:r>
      <w:r w:rsidRPr="00483B3D" w:rsidR="001E4C4A">
        <w:t>conviction</w:t>
      </w:r>
      <w:r>
        <w:t>s</w:t>
      </w:r>
      <w:r w:rsidRPr="00483B3D" w:rsidR="001E4C4A">
        <w:t xml:space="preserve"> </w:t>
      </w:r>
      <w:r w:rsidR="0094325B">
        <w:t>directly implicate his character qualifications</w:t>
      </w:r>
      <w:r w:rsidRPr="00483B3D" w:rsidR="00B8625B">
        <w:t>.</w:t>
      </w:r>
    </w:p>
    <w:p w:rsidR="00202D58" w:rsidRPr="00483B3D" w:rsidP="00E10631" w14:paraId="166CC487" w14:textId="41BC138D">
      <w:pPr>
        <w:pStyle w:val="ParaNum"/>
      </w:pPr>
      <w:r>
        <w:t>W</w:t>
      </w:r>
      <w:r w:rsidRPr="00380A19">
        <w:t xml:space="preserve">e are unable to conclude on the record before us that </w:t>
      </w:r>
      <w:r w:rsidR="00BA08DE">
        <w:t>Wahl’s</w:t>
      </w:r>
      <w:r w:rsidRPr="00380A19">
        <w:t xml:space="preserve"> </w:t>
      </w:r>
      <w:r>
        <w:t xml:space="preserve">criminal convictions are </w:t>
      </w:r>
      <w:r w:rsidRPr="00380A19">
        <w:t>not disqualifying.</w:t>
      </w:r>
      <w:r>
        <w:t xml:space="preserve">  </w:t>
      </w:r>
      <w:r w:rsidRPr="00FD6EAA" w:rsidR="0069610B">
        <w:t>B</w:t>
      </w:r>
      <w:r w:rsidRPr="00FD6EAA" w:rsidR="006C1B98">
        <w:t>ecause</w:t>
      </w:r>
      <w:r w:rsidRPr="00FD6EAA" w:rsidR="00BA66C1">
        <w:t xml:space="preserve"> those convictions raise the question under the Commission’s </w:t>
      </w:r>
      <w:r w:rsidRPr="00FD6EAA" w:rsidR="00BA66C1">
        <w:rPr>
          <w:i/>
          <w:iCs/>
        </w:rPr>
        <w:t xml:space="preserve">Character Qualifications Policy Statement </w:t>
      </w:r>
      <w:r w:rsidRPr="00FD6EAA" w:rsidR="00BA66C1">
        <w:t>whether he possesses the requisite character qualifications to remain a Commission licensee</w:t>
      </w:r>
      <w:r w:rsidRPr="00FD6EAA">
        <w:t>,</w:t>
      </w:r>
      <w:r>
        <w:t xml:space="preserve"> </w:t>
      </w:r>
      <w:r w:rsidR="006C1B98">
        <w:t xml:space="preserve">we </w:t>
      </w:r>
      <w:r w:rsidRPr="00483B3D" w:rsidR="00F50B62">
        <w:t xml:space="preserve">designate for hearing </w:t>
      </w:r>
      <w:r w:rsidR="006C1B98">
        <w:t xml:space="preserve">his </w:t>
      </w:r>
      <w:r w:rsidRPr="00483B3D" w:rsidR="00F50B62">
        <w:t>character qualifications to be a Commission license</w:t>
      </w:r>
      <w:r w:rsidRPr="00483B3D" w:rsidR="00333E55">
        <w:t>e</w:t>
      </w:r>
      <w:r w:rsidRPr="00483B3D" w:rsidR="002F364E">
        <w:t xml:space="preserve"> and whether his license should be revoked</w:t>
      </w:r>
      <w:r w:rsidRPr="00483B3D" w:rsidR="00F50B62">
        <w:t>.</w:t>
      </w:r>
      <w:r w:rsidRPr="00483B3D" w:rsidR="00C07085">
        <w:t xml:space="preserve"> </w:t>
      </w:r>
      <w:r w:rsidRPr="00483B3D">
        <w:t xml:space="preserve">   </w:t>
      </w:r>
    </w:p>
    <w:p w:rsidR="00D81B99" w:rsidRPr="00483B3D" w:rsidP="00E10631" w14:paraId="6664518B" w14:textId="3EF2B3A8">
      <w:pPr>
        <w:pStyle w:val="Heading1"/>
        <w:ind w:left="0" w:firstLine="720"/>
        <w:rPr>
          <w:rFonts w:ascii="Times New Roman" w:hAnsi="Times New Roman"/>
        </w:rPr>
      </w:pPr>
      <w:bookmarkStart w:id="2" w:name="_Toc54885240"/>
      <w:bookmarkStart w:id="3" w:name="_Toc54885304"/>
      <w:bookmarkStart w:id="4" w:name="_Toc54885434"/>
      <w:bookmarkStart w:id="5" w:name="_Toc54885474"/>
      <w:bookmarkStart w:id="6" w:name="_Toc54888014"/>
      <w:bookmarkStart w:id="7" w:name="_Toc54888155"/>
      <w:bookmarkStart w:id="8" w:name="_Toc54888246"/>
      <w:bookmarkStart w:id="9" w:name="_Toc54966081"/>
      <w:bookmarkStart w:id="10" w:name="_Toc55791816"/>
      <w:bookmarkStart w:id="11" w:name="_Toc55792276"/>
      <w:bookmarkStart w:id="12" w:name="_Toc55792732"/>
      <w:bookmarkStart w:id="13" w:name="_Toc55793032"/>
      <w:bookmarkStart w:id="14" w:name="_Toc55793127"/>
      <w:bookmarkStart w:id="15" w:name="_Toc55793411"/>
      <w:bookmarkStart w:id="16" w:name="_Toc55793551"/>
      <w:bookmarkStart w:id="17" w:name="_Toc55793648"/>
      <w:bookmarkStart w:id="18" w:name="_Toc55886342"/>
      <w:bookmarkStart w:id="19" w:name="_Toc55886459"/>
      <w:bookmarkStart w:id="20" w:name="_Toc56063423"/>
      <w:bookmarkStart w:id="21" w:name="_Toc56063534"/>
      <w:bookmarkStart w:id="22" w:name="_Toc56063798"/>
      <w:bookmarkStart w:id="23" w:name="_Toc56065795"/>
      <w:bookmarkStart w:id="24" w:name="_Toc56066055"/>
      <w:r w:rsidRPr="00483B3D">
        <w:rPr>
          <w:rFonts w:ascii="Times New Roman" w:hAnsi="Times New Roman"/>
        </w:rPr>
        <w:t>Procedures for Hearing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82645" w:rsidRPr="00483B3D" w:rsidP="00E10631" w14:paraId="23C8F5D4" w14:textId="4AF9D1D3">
      <w:pPr>
        <w:pStyle w:val="ParaNum"/>
      </w:pPr>
      <w:r w:rsidRPr="00483B3D">
        <w:rPr>
          <w:i/>
          <w:iCs/>
        </w:rPr>
        <w:t xml:space="preserve">Written Hearings Report and Order.  </w:t>
      </w:r>
      <w:r w:rsidRPr="00483B3D">
        <w:t xml:space="preserve">The Commission recently supplemented its formal hearing processes </w:t>
      </w:r>
      <w:r w:rsidR="00972BC2">
        <w:t xml:space="preserve">applicable to the revocation of Title III licenses </w:t>
      </w:r>
      <w:r w:rsidRPr="00483B3D">
        <w:t xml:space="preserve">by adopting </w:t>
      </w:r>
      <w:r w:rsidRPr="00483B3D" w:rsidR="00335C2F">
        <w:t>R</w:t>
      </w:r>
      <w:r w:rsidRPr="00483B3D">
        <w:t xml:space="preserve">ules that, </w:t>
      </w:r>
      <w:r w:rsidRPr="00483B3D">
        <w:rPr>
          <w:i/>
        </w:rPr>
        <w:t>inter alia</w:t>
      </w:r>
      <w:r w:rsidRPr="00483B3D">
        <w:t>, expand the use of a hearing procedure that relies in appropriate cases on written submissions and documentary evidence.</w:t>
      </w:r>
      <w:r>
        <w:rPr>
          <w:vertAlign w:val="superscript"/>
        </w:rPr>
        <w:footnoteReference w:id="30"/>
      </w:r>
      <w:r w:rsidRPr="00483B3D">
        <w:t xml:space="preserve">  These hearing proceedings shall be resolved on a written record consisting of affirmative case, responsive case, and reply case submissions, along with all associated evidence in the record, including stipulations and agreements of the parties and official notice of material facts.  Based on that record, the presiding officer will issue an Initial Decision pursuant to section </w:t>
      </w:r>
      <w:r w:rsidRPr="00483B3D" w:rsidR="008D2369">
        <w:t>409</w:t>
      </w:r>
      <w:r w:rsidRPr="00483B3D">
        <w:t>(a) of the Act and sections 1.267 and 1.274(c) of the Rules.</w:t>
      </w:r>
      <w:r>
        <w:rPr>
          <w:vertAlign w:val="superscript"/>
        </w:rPr>
        <w:footnoteReference w:id="31"/>
      </w:r>
      <w:r w:rsidRPr="00483B3D">
        <w:t xml:space="preserve">  The Bureau finds that this is an appropriate case for use of those procedures</w:t>
      </w:r>
      <w:r w:rsidR="002674FB">
        <w:t xml:space="preserve"> because the criminal proceeding is a final adjudication and the court record from the proceeding contains an explanation of the factual underpinnings for Wahl’s guilty pleas</w:t>
      </w:r>
      <w:r w:rsidRPr="00483B3D">
        <w:t>.</w:t>
      </w:r>
      <w:r>
        <w:rPr>
          <w:rStyle w:val="FootnoteReference"/>
        </w:rPr>
        <w:footnoteReference w:id="32"/>
      </w:r>
    </w:p>
    <w:p w:rsidR="00782645" w:rsidRPr="00483B3D" w:rsidP="00E10631" w14:paraId="491FB14A" w14:textId="578A76E0">
      <w:pPr>
        <w:pStyle w:val="ParaNum"/>
      </w:pPr>
      <w:r w:rsidRPr="00483B3D">
        <w:rPr>
          <w:i/>
        </w:rPr>
        <w:t>Notice of Appearance</w:t>
      </w:r>
      <w:r w:rsidRPr="00483B3D">
        <w:rPr>
          <w:iCs/>
        </w:rPr>
        <w:t>.  Should Wahl wish to avail himself of the opportunity to be heard, he (or his attorney) must file a written appearance pursuant to section 1.91(c) of the Rules.</w:t>
      </w:r>
      <w:r>
        <w:rPr>
          <w:rStyle w:val="FootnoteReference"/>
          <w:iCs/>
          <w:sz w:val="22"/>
        </w:rPr>
        <w:footnoteReference w:id="33"/>
      </w:r>
      <w:r w:rsidRPr="00483B3D">
        <w:rPr>
          <w:iCs/>
        </w:rPr>
        <w:t xml:space="preserve">  The written appearance must be filed within 20 days of the mailing of this </w:t>
      </w:r>
      <w:r w:rsidRPr="00483B3D">
        <w:rPr>
          <w:i/>
        </w:rPr>
        <w:t>Hearing Designation Order, Order to Show Cause, and Notice of Opportunity for Hearing</w:t>
      </w:r>
      <w:r w:rsidRPr="00483B3D">
        <w:rPr>
          <w:iCs/>
        </w:rPr>
        <w:t xml:space="preserve">, and must state, among other things, that Wahl will </w:t>
      </w:r>
      <w:r w:rsidRPr="00483B3D">
        <w:rPr>
          <w:iCs/>
        </w:rPr>
        <w:t xml:space="preserve">present evidence on the matters specified in this order.  </w:t>
      </w:r>
    </w:p>
    <w:p w:rsidR="00D81B99" w:rsidRPr="00483B3D" w:rsidP="00E10631" w14:paraId="5E2CD0B3" w14:textId="12F7109A">
      <w:pPr>
        <w:pStyle w:val="ParaNum"/>
      </w:pPr>
      <w:r w:rsidRPr="00483B3D">
        <w:rPr>
          <w:i/>
        </w:rPr>
        <w:t>Initial Case Order</w:t>
      </w:r>
      <w:r w:rsidRPr="00483B3D">
        <w:t xml:space="preserve">.  After release of this </w:t>
      </w:r>
      <w:r w:rsidRPr="00483B3D">
        <w:rPr>
          <w:i/>
          <w:iCs/>
        </w:rPr>
        <w:t>Hearing Designation Order, Order to Show Cause and Notice of Opportunity for Hearing</w:t>
      </w:r>
      <w:r w:rsidRPr="00483B3D">
        <w:t xml:space="preserve">, the presiding officer shall promptly release an Initial Case Order.  The Initial Case Order shall put all parties on notice that they are expected to be fully cognizant of Part I of the </w:t>
      </w:r>
      <w:r w:rsidRPr="00483B3D" w:rsidR="00D32EC7">
        <w:t>R</w:t>
      </w:r>
      <w:r w:rsidRPr="00483B3D">
        <w:t xml:space="preserve">ules concerning Practice and Procedure, 47 CFR Part 1, Subparts A and B.  The Initial Case Order shall also set a date for the initial status conference and a date by which each party should file a pre-conference submission that would include (a) </w:t>
      </w:r>
      <w:r w:rsidR="0094325B">
        <w:t>whether discovery is expected in this case</w:t>
      </w:r>
      <w:r w:rsidRPr="00483B3D">
        <w:t>, and</w:t>
      </w:r>
      <w:r w:rsidR="0094325B">
        <w:t xml:space="preserve"> if so,</w:t>
      </w:r>
      <w:r w:rsidRPr="00483B3D">
        <w:t xml:space="preserve"> a proposed discovery schedule; (b) any preliminary motions they are intending to file; and (c) a proposed case schedule.  The parties’ pre-conference submission</w:t>
      </w:r>
      <w:r w:rsidRPr="00483B3D" w:rsidR="005E7774">
        <w:t>s</w:t>
      </w:r>
      <w:r w:rsidRPr="00483B3D">
        <w:t xml:space="preserve"> should also indicate whether they request that a Protective Order be entered in this case.  </w:t>
      </w:r>
    </w:p>
    <w:p w:rsidR="00D81B99" w:rsidRPr="00483B3D" w:rsidP="00E10631" w14:paraId="15740494" w14:textId="14FA7D5C">
      <w:pPr>
        <w:pStyle w:val="ParaNum"/>
      </w:pPr>
      <w:r w:rsidRPr="00483B3D">
        <w:rPr>
          <w:i/>
        </w:rPr>
        <w:t>Initial Status Conference and Initial Status Conference Order</w:t>
      </w:r>
      <w:r w:rsidRPr="00483B3D">
        <w:t xml:space="preserve">.  </w:t>
      </w:r>
      <w:r w:rsidRPr="00483B3D" w:rsidR="008D2369">
        <w:t>T</w:t>
      </w:r>
      <w:r w:rsidRPr="00483B3D">
        <w:t>he presiding officer shall set the case schedule, including any deadlines by which the parties should submit the motions they identified in their pre-conference submissions.</w:t>
      </w:r>
      <w:r>
        <w:rPr>
          <w:vertAlign w:val="superscript"/>
        </w:rPr>
        <w:footnoteReference w:id="34"/>
      </w:r>
      <w:r w:rsidRPr="00483B3D">
        <w:t xml:space="preserve">  The presiding officer shall also set the deadlines for the parties’ affirmative case, responsive case, and reply case submissions in accordance with sections 1.371-1.37</w:t>
      </w:r>
      <w:r w:rsidRPr="00483B3D" w:rsidR="00335C2F">
        <w:t>5</w:t>
      </w:r>
      <w:r w:rsidRPr="00483B3D">
        <w:t xml:space="preserve"> of the </w:t>
      </w:r>
      <w:r w:rsidRPr="00483B3D" w:rsidR="00D32EC7">
        <w:t>R</w:t>
      </w:r>
      <w:r w:rsidRPr="00483B3D">
        <w:t>ules.</w:t>
      </w:r>
      <w:r>
        <w:rPr>
          <w:vertAlign w:val="superscript"/>
        </w:rPr>
        <w:footnoteReference w:id="35"/>
      </w:r>
      <w:r w:rsidRPr="00483B3D">
        <w:t xml:space="preserve">  If the parties have requested the entrance of a Protective Order, the presiding officer shall also set a deadline by which a joint proposed Protective Order shall be submitted for consideration.  In accordance with section 1.248(b) of the </w:t>
      </w:r>
      <w:r w:rsidRPr="00483B3D" w:rsidR="00D32EC7">
        <w:t>R</w:t>
      </w:r>
      <w:r w:rsidRPr="00483B3D">
        <w:t>ules,</w:t>
      </w:r>
      <w:r>
        <w:rPr>
          <w:rStyle w:val="FootnoteReference"/>
          <w:sz w:val="22"/>
        </w:rPr>
        <w:footnoteReference w:id="36"/>
      </w:r>
      <w:r w:rsidRPr="00483B3D">
        <w:t xml:space="preserve"> the presiding officer may </w:t>
      </w:r>
      <w:r w:rsidRPr="00483B3D" w:rsidR="0064507A">
        <w:t xml:space="preserve">adopt </w:t>
      </w:r>
      <w:r w:rsidRPr="00483B3D" w:rsidR="008D2369">
        <w:t xml:space="preserve">the case </w:t>
      </w:r>
      <w:r w:rsidRPr="00483B3D" w:rsidR="0064507A">
        <w:t xml:space="preserve">schedule </w:t>
      </w:r>
      <w:r w:rsidRPr="00483B3D">
        <w:t xml:space="preserve">during the status conference or in an order following the conference.  </w:t>
      </w:r>
    </w:p>
    <w:p w:rsidR="00D81B99" w:rsidRPr="00483B3D" w:rsidP="00E10631" w14:paraId="1EE06009" w14:textId="57C50A71">
      <w:pPr>
        <w:pStyle w:val="ParaNum"/>
      </w:pPr>
      <w:r w:rsidRPr="00483B3D">
        <w:t xml:space="preserve">Additional status conferences may be scheduled throughout the course of the proceeding at the request of the parties and/or at the discretion of the presiding officer.  Any request by a party for a status conference must be made in writing to the presiding officer and shall be copied on all other parties.    </w:t>
      </w:r>
    </w:p>
    <w:p w:rsidR="00D81B99" w:rsidRPr="00483B3D" w:rsidP="00E10631" w14:paraId="20D0EA93" w14:textId="60621FB6">
      <w:pPr>
        <w:pStyle w:val="ParaNum"/>
        <w:rPr>
          <w:color w:val="000000"/>
        </w:rPr>
      </w:pPr>
      <w:r w:rsidRPr="00483B3D">
        <w:rPr>
          <w:i/>
          <w:iCs/>
          <w:color w:val="000000"/>
        </w:rPr>
        <w:t>Transcripts.</w:t>
      </w:r>
      <w:r w:rsidRPr="00483B3D">
        <w:rPr>
          <w:color w:val="000000"/>
        </w:rPr>
        <w:t xml:space="preserve">  </w:t>
      </w:r>
      <w:r w:rsidRPr="00483B3D">
        <w:t xml:space="preserve">In accordance with section 1.248 of the </w:t>
      </w:r>
      <w:r w:rsidRPr="00483B3D" w:rsidR="00D32EC7">
        <w:t>R</w:t>
      </w:r>
      <w:r w:rsidRPr="00483B3D">
        <w:t>ules, an official transcript of all case conferences shall be made, unless the parties and the presiding officer agree to forego a transcript.</w:t>
      </w:r>
      <w:r>
        <w:rPr>
          <w:vertAlign w:val="superscript"/>
        </w:rPr>
        <w:footnoteReference w:id="37"/>
      </w:r>
      <w:r w:rsidRPr="00483B3D">
        <w:t xml:space="preserve">  Transcripts shall be made available to the public as part of the official record in the Commission’s Electronic Comment Filing System (ECFS) in MB Docket No. 21-</w:t>
      </w:r>
      <w:r w:rsidR="00D04938">
        <w:t>401</w:t>
      </w:r>
      <w:r w:rsidRPr="00483B3D">
        <w:t xml:space="preserve">. </w:t>
      </w:r>
    </w:p>
    <w:p w:rsidR="002211D7" w:rsidRPr="00483B3D" w:rsidP="00E10631" w14:paraId="7DE7802C" w14:textId="77777777">
      <w:pPr>
        <w:pStyle w:val="ParaNum"/>
      </w:pPr>
      <w:r w:rsidRPr="00483B3D">
        <w:rPr>
          <w:i/>
        </w:rPr>
        <w:t>Requests for Admissions</w:t>
      </w:r>
      <w:r w:rsidRPr="00483B3D">
        <w:t>.  In accordance with section 1.246 of the Rules, any party may serve upon any other party written requests for the admission of the genuineness of any relevant documents or of the truth of any relevant matters of fact.</w:t>
      </w:r>
      <w:r>
        <w:rPr>
          <w:vertAlign w:val="superscript"/>
        </w:rPr>
        <w:footnoteReference w:id="38"/>
      </w:r>
      <w:r w:rsidRPr="00483B3D">
        <w:t xml:space="preserve">  Such requests shall be served within twenty (20) days after the deadline for filing a notice of appearance unless the presiding officer sets a different time frame.</w:t>
      </w:r>
      <w:r>
        <w:rPr>
          <w:vertAlign w:val="superscript"/>
        </w:rPr>
        <w:footnoteReference w:id="39"/>
      </w:r>
    </w:p>
    <w:p w:rsidR="002211D7" w:rsidRPr="00483B3D" w:rsidP="00E10631" w14:paraId="783B9821" w14:textId="5011EE33">
      <w:pPr>
        <w:pStyle w:val="ParaNum"/>
      </w:pPr>
      <w:r w:rsidRPr="00483B3D">
        <w:rPr>
          <w:i/>
          <w:iCs/>
        </w:rPr>
        <w:t>Available Discovery</w:t>
      </w:r>
      <w:r w:rsidRPr="00483B3D" w:rsidR="00277E33">
        <w:rPr>
          <w:i/>
          <w:iCs/>
        </w:rPr>
        <w:t xml:space="preserve"> Methods</w:t>
      </w:r>
      <w:r w:rsidRPr="00483B3D">
        <w:t xml:space="preserve">.  </w:t>
      </w:r>
      <w:r w:rsidRPr="00483B3D" w:rsidR="00277E33">
        <w:t>Sections 1.311 through 1.325 of the Rules set forth procedures that may be used for the discovery of relevant facts and/or for the production and preservation of evidence for use in the hearing proceeding.</w:t>
      </w:r>
      <w:r>
        <w:rPr>
          <w:rStyle w:val="FootnoteReference"/>
          <w:sz w:val="22"/>
        </w:rPr>
        <w:footnoteReference w:id="40"/>
      </w:r>
      <w:r w:rsidRPr="00483B3D" w:rsidR="00277E33">
        <w:t xml:space="preserve">  These sections of the Rules provide, </w:t>
      </w:r>
      <w:r w:rsidRPr="00483B3D" w:rsidR="00277E33">
        <w:rPr>
          <w:i/>
          <w:iCs/>
        </w:rPr>
        <w:t>inter alia</w:t>
      </w:r>
      <w:r w:rsidRPr="00483B3D" w:rsidR="00277E33">
        <w:t xml:space="preserve">, for the </w:t>
      </w:r>
      <w:r w:rsidRPr="00483B3D" w:rsidR="00277E33">
        <w:t>taking of depositions, for interrogatories, and for the production of documents and things.</w:t>
      </w:r>
      <w:r>
        <w:rPr>
          <w:rStyle w:val="FootnoteReference"/>
          <w:sz w:val="22"/>
        </w:rPr>
        <w:footnoteReference w:id="41"/>
      </w:r>
      <w:r w:rsidRPr="00483B3D" w:rsidR="00277E33">
        <w:t xml:space="preserve">  </w:t>
      </w:r>
    </w:p>
    <w:p w:rsidR="00D81B99" w:rsidRPr="00483B3D" w:rsidP="00E10631" w14:paraId="09C3D0D0" w14:textId="06AB6483">
      <w:pPr>
        <w:pStyle w:val="ParaNum"/>
      </w:pPr>
      <w:r w:rsidRPr="00483B3D">
        <w:rPr>
          <w:i/>
        </w:rPr>
        <w:t>Evidentiary Rules</w:t>
      </w:r>
      <w:r w:rsidRPr="00483B3D">
        <w:t xml:space="preserve">.  In the </w:t>
      </w:r>
      <w:r w:rsidRPr="00483B3D">
        <w:rPr>
          <w:i/>
          <w:iCs/>
        </w:rPr>
        <w:t>Written Hearings</w:t>
      </w:r>
      <w:r w:rsidRPr="00483B3D">
        <w:rPr>
          <w:i/>
        </w:rPr>
        <w:t xml:space="preserve"> </w:t>
      </w:r>
      <w:r w:rsidRPr="00483B3D">
        <w:rPr>
          <w:i/>
          <w:iCs/>
        </w:rPr>
        <w:t>Report and Order</w:t>
      </w:r>
      <w:r w:rsidRPr="00483B3D">
        <w:t xml:space="preserve">, the Commission amended section 1.351 of the </w:t>
      </w:r>
      <w:r w:rsidRPr="00483B3D" w:rsidR="00D32EC7">
        <w:t>R</w:t>
      </w:r>
      <w:r w:rsidRPr="00483B3D">
        <w:t xml:space="preserve">ules to adopt the evidentiary standard set forth in the formal APA hearing requirements.  In relevant part, section 1.351 of the </w:t>
      </w:r>
      <w:r w:rsidRPr="00483B3D" w:rsidR="00D32EC7">
        <w:t>R</w:t>
      </w:r>
      <w:r w:rsidRPr="00483B3D">
        <w:t>ules now states, “any oral or documentary evidence may be adduced, but the presiding officer shall exclude irrelevant, immaterial, or unduly repetitious evidence.”</w:t>
      </w:r>
      <w:r>
        <w:rPr>
          <w:vertAlign w:val="superscript"/>
        </w:rPr>
        <w:footnoteReference w:id="42"/>
      </w:r>
      <w:r w:rsidRPr="00483B3D">
        <w:rPr>
          <w:shd w:val="clear" w:color="auto" w:fill="FFFFFF"/>
        </w:rPr>
        <w:t xml:space="preserve">  The </w:t>
      </w:r>
      <w:r w:rsidRPr="00483B3D">
        <w:t>parties remain free to make evidentiary arguments based on the Federal Rules of Evidence.</w:t>
      </w:r>
    </w:p>
    <w:p w:rsidR="00D81B99" w:rsidRPr="00483B3D" w:rsidP="00E10631" w14:paraId="382E7303" w14:textId="413899C1">
      <w:pPr>
        <w:pStyle w:val="ParaNum"/>
      </w:pPr>
      <w:r w:rsidRPr="00483B3D">
        <w:rPr>
          <w:i/>
        </w:rPr>
        <w:t>Petitions to Intervene</w:t>
      </w:r>
      <w:r w:rsidRPr="00483B3D">
        <w:t xml:space="preserve">.  Any person or entity seeking status as a party in interest in this proceeding must file a petition to intervene in accordance with section 1.223(a) of the </w:t>
      </w:r>
      <w:r w:rsidRPr="00483B3D" w:rsidR="00D32EC7">
        <w:t>R</w:t>
      </w:r>
      <w:r w:rsidRPr="00483B3D">
        <w:t>ules.</w:t>
      </w:r>
      <w:r>
        <w:rPr>
          <w:vertAlign w:val="superscript"/>
        </w:rPr>
        <w:footnoteReference w:id="43"/>
      </w:r>
      <w:r w:rsidRPr="00483B3D">
        <w:t xml:space="preserve">  Any person or entity seeking to participate in this proceeding as a party may file a petition for leave to intervene in accordance with section 1.223(b) of the </w:t>
      </w:r>
      <w:r w:rsidRPr="00483B3D" w:rsidR="00D32EC7">
        <w:t>R</w:t>
      </w:r>
      <w:r w:rsidRPr="00483B3D">
        <w:t>ules.</w:t>
      </w:r>
      <w:r>
        <w:rPr>
          <w:vertAlign w:val="superscript"/>
        </w:rPr>
        <w:footnoteReference w:id="44"/>
      </w:r>
      <w:r w:rsidRPr="00483B3D">
        <w:t xml:space="preserve">  </w:t>
      </w:r>
    </w:p>
    <w:p w:rsidR="00D81B99" w:rsidRPr="00483B3D" w:rsidP="00E10631" w14:paraId="68FEFD73" w14:textId="75ED8EC8">
      <w:pPr>
        <w:pStyle w:val="ParaNum"/>
      </w:pPr>
      <w:r w:rsidRPr="00483B3D">
        <w:rPr>
          <w:i/>
        </w:rPr>
        <w:t>Motions to Enlarge, Change or Delete Issues.</w:t>
      </w:r>
      <w:r w:rsidRPr="00483B3D">
        <w:t xml:space="preserve">  Motions to enlarge, change, or delete issues to be considered in this proceeding shall be allowed, consistent with section 1.229 of the </w:t>
      </w:r>
      <w:r w:rsidRPr="00483B3D" w:rsidR="00D32EC7">
        <w:t>R</w:t>
      </w:r>
      <w:r w:rsidRPr="00483B3D">
        <w:t>ules.</w:t>
      </w:r>
      <w:r>
        <w:rPr>
          <w:vertAlign w:val="superscript"/>
        </w:rPr>
        <w:footnoteReference w:id="45"/>
      </w:r>
    </w:p>
    <w:p w:rsidR="00D81B99" w:rsidRPr="00483B3D" w:rsidP="00E10631" w14:paraId="194E09EF" w14:textId="2C3A385D">
      <w:pPr>
        <w:pStyle w:val="ParaNum"/>
      </w:pPr>
      <w:r w:rsidRPr="00483B3D">
        <w:rPr>
          <w:i/>
        </w:rPr>
        <w:t>Restricted Proceeding.</w:t>
      </w:r>
      <w:r w:rsidRPr="00483B3D">
        <w:t xml:space="preserve">  This hearing proceeding is a “restricted” proceeding pursuant to section 1.1208 of the </w:t>
      </w:r>
      <w:r w:rsidRPr="00483B3D" w:rsidR="00D32EC7">
        <w:t>R</w:t>
      </w:r>
      <w:r w:rsidRPr="00483B3D">
        <w:t xml:space="preserve">ules and thus </w:t>
      </w:r>
      <w:r w:rsidRPr="00483B3D">
        <w:rPr>
          <w:i/>
        </w:rPr>
        <w:t>ex parte</w:t>
      </w:r>
      <w:r w:rsidRPr="00483B3D">
        <w:t xml:space="preserve"> presentations to or from Commission decision-making personnel, including the presiding officer and her staff and staff of the Commission’s Media Bureau, are prohibited, except as otherwise provided in the </w:t>
      </w:r>
      <w:r w:rsidRPr="00483B3D" w:rsidR="00D32EC7">
        <w:t>R</w:t>
      </w:r>
      <w:r w:rsidRPr="00483B3D">
        <w:t>ules.</w:t>
      </w:r>
      <w:r>
        <w:rPr>
          <w:vertAlign w:val="superscript"/>
        </w:rPr>
        <w:footnoteReference w:id="46"/>
      </w:r>
      <w:r w:rsidRPr="00483B3D">
        <w:t xml:space="preserve">  </w:t>
      </w:r>
    </w:p>
    <w:p w:rsidR="00D81B99" w:rsidRPr="00483B3D" w:rsidP="00E10631" w14:paraId="61DFD18A" w14:textId="45490D85">
      <w:pPr>
        <w:pStyle w:val="ParaNum"/>
      </w:pPr>
      <w:bookmarkStart w:id="26" w:name="_Hlk73701755"/>
      <w:r w:rsidRPr="00483B3D">
        <w:rPr>
          <w:i/>
          <w:iCs/>
        </w:rPr>
        <w:t xml:space="preserve">Electronic Filing of Documents.  </w:t>
      </w:r>
      <w:r w:rsidRPr="00483B3D">
        <w:rPr>
          <w:iCs/>
        </w:rPr>
        <w:t>All</w:t>
      </w:r>
      <w:r w:rsidRPr="00483B3D">
        <w:t xml:space="preserve"> pleadings in this proceeding, </w:t>
      </w:r>
      <w:r w:rsidRPr="00483B3D" w:rsidR="001943BA">
        <w:t>including</w:t>
      </w:r>
      <w:r w:rsidRPr="00483B3D">
        <w:t xml:space="preserve"> written submissions </w:t>
      </w:r>
      <w:r w:rsidRPr="00483B3D" w:rsidR="001943BA">
        <w:t xml:space="preserve">such as letters, </w:t>
      </w:r>
      <w:r w:rsidRPr="00483B3D">
        <w:t xml:space="preserve">discovery requests and objections and </w:t>
      </w:r>
      <w:r w:rsidRPr="00483B3D" w:rsidR="00C46E6F">
        <w:t xml:space="preserve">written </w:t>
      </w:r>
      <w:r w:rsidRPr="00483B3D">
        <w:t>responses thereto, excluding confidential and/or other protected material, must be filed in MB Docket No. 21-</w:t>
      </w:r>
      <w:r w:rsidR="00D04938">
        <w:t>401</w:t>
      </w:r>
      <w:r w:rsidRPr="00483B3D">
        <w:t xml:space="preserve"> using ECFS.</w:t>
      </w:r>
      <w:r>
        <w:rPr>
          <w:vertAlign w:val="superscript"/>
        </w:rPr>
        <w:footnoteReference w:id="47"/>
      </w:r>
      <w:r w:rsidRPr="00483B3D">
        <w:t xml:space="preserve">  ECFS shall also act as the repository for records of actions taken in this proceeding, excluding confidential and/or other protected material, by the presiding officer and the Commission.</w:t>
      </w:r>
      <w:r w:rsidRPr="00483B3D" w:rsidR="001943BA">
        <w:t xml:space="preserve">  Documents responsive to any party’s requests for production of documents should not be filed on ECFS.  Such responsive documents shall be served directly on counsel for the party requesting the documents and produced either in hard copy or in electronic form (</w:t>
      </w:r>
      <w:r w:rsidRPr="00483B3D" w:rsidR="001943BA">
        <w:rPr>
          <w:i/>
          <w:iCs/>
        </w:rPr>
        <w:t>e.g</w:t>
      </w:r>
      <w:r w:rsidRPr="00483B3D" w:rsidR="001943BA">
        <w:t>., hard drive, thumb drive) with files named in such a way as it is clear how the documents are organized.</w:t>
      </w:r>
    </w:p>
    <w:bookmarkEnd w:id="26"/>
    <w:p w:rsidR="00D81B99" w:rsidRPr="00483B3D" w:rsidP="00E10631" w14:paraId="6276926B" w14:textId="77777777">
      <w:pPr>
        <w:pStyle w:val="ParaNum"/>
      </w:pPr>
      <w:r w:rsidRPr="00483B3D">
        <w:rPr>
          <w:i/>
          <w:iCs/>
        </w:rPr>
        <w:t>Case Caption</w:t>
      </w:r>
      <w:r w:rsidRPr="00483B3D">
        <w:t>.  The caption of any pleading filed in this proceeding, as well as all letters, documents, or other written submissions including discovery requests and objections and responses thereto, shall indicate whether it is to be acted upon by the Commission or the presiding officer.</w:t>
      </w:r>
      <w:r>
        <w:rPr>
          <w:vertAlign w:val="superscript"/>
        </w:rPr>
        <w:footnoteReference w:id="48"/>
      </w:r>
      <w:r w:rsidRPr="00483B3D">
        <w:t xml:space="preserve">  The presiding officer shall be identified by name.  </w:t>
      </w:r>
    </w:p>
    <w:p w:rsidR="00D81B99" w:rsidRPr="00483B3D" w:rsidP="00E10631" w14:paraId="79DBF34D" w14:textId="0387C068">
      <w:pPr>
        <w:pStyle w:val="ParaNum"/>
      </w:pPr>
      <w:r w:rsidRPr="00483B3D">
        <w:rPr>
          <w:i/>
          <w:iCs/>
        </w:rPr>
        <w:t>Service.</w:t>
      </w:r>
      <w:r w:rsidRPr="00483B3D">
        <w:t xml:space="preserve">  </w:t>
      </w:r>
      <w:r w:rsidRPr="00483B3D" w:rsidR="001943BA">
        <w:t>Electronic s</w:t>
      </w:r>
      <w:r w:rsidRPr="00483B3D">
        <w:t xml:space="preserve">ervice on the Enforcement Bureau shall be made using the following email address:  </w:t>
      </w:r>
      <w:hyperlink r:id="rId5" w:history="1">
        <w:r w:rsidRPr="00483B3D">
          <w:rPr>
            <w:color w:val="0000FF"/>
            <w:u w:val="single"/>
          </w:rPr>
          <w:t>EBHearings@fcc.gov</w:t>
        </w:r>
      </w:hyperlink>
      <w:r w:rsidRPr="00483B3D">
        <w:t xml:space="preserve">.  </w:t>
      </w:r>
    </w:p>
    <w:p w:rsidR="00D81B99" w:rsidRPr="00483B3D" w:rsidP="00E10631" w14:paraId="0611C86A" w14:textId="2A662696">
      <w:pPr>
        <w:pStyle w:val="ParaNum"/>
      </w:pPr>
      <w:r w:rsidRPr="00483B3D">
        <w:rPr>
          <w:i/>
        </w:rPr>
        <w:t>Confidential and/or Otherwise Protected Materials.</w:t>
      </w:r>
      <w:r w:rsidRPr="00483B3D">
        <w:t xml:space="preserve">  To the extent any party to this proceeding wishes to submit materials or information that it would like withheld from the public record, it </w:t>
      </w:r>
      <w:r w:rsidRPr="00483B3D">
        <w:t xml:space="preserve">may do so in accordance with the procedures set forth in section 1.314 of the </w:t>
      </w:r>
      <w:r w:rsidRPr="00483B3D" w:rsidR="00D32EC7">
        <w:t>R</w:t>
      </w:r>
      <w:r w:rsidRPr="00483B3D">
        <w:t>ules.</w:t>
      </w:r>
      <w:r>
        <w:rPr>
          <w:vertAlign w:val="superscript"/>
        </w:rPr>
        <w:footnoteReference w:id="49"/>
      </w:r>
      <w:r w:rsidRPr="00483B3D">
        <w:t xml:space="preserve">  The parties may also enter into a Protective Order.  As stated above, requests for a Protective Order should be made in the parties’ pre-conference submission in accordance with the schedule set forth in the Initial Case Order.</w:t>
      </w:r>
    </w:p>
    <w:p w:rsidR="00D81B99" w:rsidRPr="00483B3D" w:rsidP="00E10631" w14:paraId="19C3AAF6" w14:textId="22A2CD74">
      <w:pPr>
        <w:pStyle w:val="ParaNum"/>
      </w:pPr>
      <w:r w:rsidRPr="00483B3D">
        <w:rPr>
          <w:i/>
        </w:rPr>
        <w:t>Initial Decision.</w:t>
      </w:r>
      <w:r w:rsidRPr="00483B3D">
        <w:t xml:space="preserve">  The presiding officer shall issue an Initial Decision on the issues set forth herein, as well as any other issues designated for hearing in the course of the proceeding.  This Initial Decision shall contain</w:t>
      </w:r>
      <w:r w:rsidRPr="00483B3D">
        <w:rPr>
          <w:kern w:val="22"/>
        </w:rPr>
        <w:t>, at a minimum, findings of fact and conclusions of law, as well as the reasons or basis therefor, and the appropriate rule or order or policy and the sanction, relief or denial thereof, as appropriate.</w:t>
      </w:r>
      <w:r>
        <w:rPr>
          <w:kern w:val="22"/>
          <w:vertAlign w:val="superscript"/>
        </w:rPr>
        <w:footnoteReference w:id="50"/>
      </w:r>
      <w:r w:rsidRPr="00483B3D">
        <w:rPr>
          <w:kern w:val="22"/>
        </w:rPr>
        <w:t xml:space="preserve">  </w:t>
      </w:r>
    </w:p>
    <w:p w:rsidR="00376EB5" w:rsidRPr="00483B3D" w:rsidP="00E10631" w14:paraId="06215D42" w14:textId="200689C5">
      <w:pPr>
        <w:pStyle w:val="Heading1"/>
        <w:ind w:left="0" w:firstLine="720"/>
        <w:rPr>
          <w:rFonts w:ascii="Times New Roman" w:hAnsi="Times New Roman"/>
        </w:rPr>
      </w:pPr>
      <w:r w:rsidRPr="00483B3D">
        <w:rPr>
          <w:rFonts w:ascii="Times New Roman" w:hAnsi="Times New Roman"/>
        </w:rPr>
        <w:t>ordering clauses</w:t>
      </w:r>
    </w:p>
    <w:p w:rsidR="00376EB5" w:rsidRPr="00483B3D" w:rsidP="00E10631" w14:paraId="1EC5D50A" w14:textId="7A29CF54">
      <w:pPr>
        <w:pStyle w:val="ParaNum"/>
      </w:pPr>
      <w:r w:rsidRPr="00483B3D">
        <w:t>ACCORDINGLY</w:t>
      </w:r>
      <w:r w:rsidRPr="00483B3D" w:rsidR="006951F9">
        <w:t>, IT IS ORDERED that</w:t>
      </w:r>
      <w:r w:rsidRPr="00483B3D" w:rsidR="00CA218D">
        <w:t xml:space="preserve">, pursuant to </w:t>
      </w:r>
      <w:r w:rsidRPr="00483B3D" w:rsidR="0041770C">
        <w:t xml:space="preserve">sections </w:t>
      </w:r>
      <w:r w:rsidRPr="00483B3D" w:rsidR="00CA218D">
        <w:t>312(a)(2) and 312(c) of the Communications Act of 1934, as amended</w:t>
      </w:r>
      <w:r w:rsidRPr="00483B3D" w:rsidR="00295654">
        <w:t>,</w:t>
      </w:r>
      <w:r>
        <w:rPr>
          <w:rStyle w:val="FootnoteReference"/>
          <w:sz w:val="22"/>
        </w:rPr>
        <w:footnoteReference w:id="51"/>
      </w:r>
      <w:r w:rsidRPr="00483B3D" w:rsidR="00295654">
        <w:t xml:space="preserve"> </w:t>
      </w:r>
      <w:r w:rsidRPr="00483B3D" w:rsidR="007B0C06">
        <w:t>and section 1.91(a) of the Commission’s Rules,</w:t>
      </w:r>
      <w:r>
        <w:rPr>
          <w:rStyle w:val="FootnoteReference"/>
          <w:sz w:val="22"/>
        </w:rPr>
        <w:footnoteReference w:id="52"/>
      </w:r>
      <w:r w:rsidRPr="00483B3D" w:rsidR="007B0C06">
        <w:t xml:space="preserve"> </w:t>
      </w:r>
      <w:r w:rsidRPr="00483B3D" w:rsidR="00A506A4">
        <w:t>and pursuant to authority delegated under section 0.283 of the Commission’s Rules</w:t>
      </w:r>
      <w:r w:rsidRPr="00483B3D" w:rsidR="00A506A4">
        <w:rPr>
          <w:rStyle w:val="FootnoteReference"/>
          <w:sz w:val="22"/>
        </w:rPr>
        <w:t xml:space="preserve"> </w:t>
      </w:r>
      <w:r w:rsidRPr="00483B3D" w:rsidR="00A506A4">
        <w:t>,</w:t>
      </w:r>
      <w:r>
        <w:rPr>
          <w:rStyle w:val="FootnoteReference"/>
          <w:sz w:val="22"/>
        </w:rPr>
        <w:footnoteReference w:id="53"/>
      </w:r>
      <w:r w:rsidRPr="00483B3D" w:rsidR="008236F9">
        <w:t xml:space="preserve"> the </w:t>
      </w:r>
      <w:r w:rsidRPr="00483B3D" w:rsidR="0064507A">
        <w:t xml:space="preserve">captioned </w:t>
      </w:r>
      <w:r w:rsidRPr="00483B3D" w:rsidR="0041770C">
        <w:t>authorization</w:t>
      </w:r>
      <w:r w:rsidR="000E02CB">
        <w:t xml:space="preserve"> IS</w:t>
      </w:r>
      <w:r w:rsidRPr="00483B3D" w:rsidR="00295654">
        <w:t xml:space="preserve"> DESIGNATED FOR HEARING</w:t>
      </w:r>
      <w:r w:rsidRPr="00483B3D" w:rsidR="00CB0EEB">
        <w:t xml:space="preserve"> in a </w:t>
      </w:r>
      <w:r w:rsidRPr="00483B3D" w:rsidR="00C2747E">
        <w:t xml:space="preserve">consolidated </w:t>
      </w:r>
      <w:r w:rsidRPr="00483B3D" w:rsidR="00CB0EEB">
        <w:t xml:space="preserve">proceeding before </w:t>
      </w:r>
      <w:r w:rsidRPr="00483B3D" w:rsidR="0064507A">
        <w:t>the</w:t>
      </w:r>
      <w:r w:rsidRPr="00483B3D" w:rsidR="00CB0EEB">
        <w:t xml:space="preserve"> FCC Administrative Law </w:t>
      </w:r>
      <w:r w:rsidRPr="00483B3D" w:rsidR="0064507A">
        <w:t>J</w:t>
      </w:r>
      <w:r w:rsidRPr="00483B3D" w:rsidR="00CB0EEB">
        <w:t xml:space="preserve">udge, at a time and place to be specified in a subsequent </w:t>
      </w:r>
      <w:r w:rsidRPr="00483B3D" w:rsidR="00706364">
        <w:t>o</w:t>
      </w:r>
      <w:r w:rsidRPr="00483B3D" w:rsidR="00CB0EEB">
        <w:t>rder, upon the following issues</w:t>
      </w:r>
      <w:r w:rsidRPr="00483B3D" w:rsidR="007E6F14">
        <w:t>:</w:t>
      </w:r>
    </w:p>
    <w:p w:rsidR="00E4468E" w:rsidRPr="00483B3D" w:rsidP="00E10631" w14:paraId="2C1A9DD5" w14:textId="2ED974AB">
      <w:pPr>
        <w:pStyle w:val="ParaNum"/>
        <w:numPr>
          <w:ilvl w:val="0"/>
          <w:numId w:val="0"/>
        </w:numPr>
        <w:tabs>
          <w:tab w:val="left" w:pos="720"/>
        </w:tabs>
        <w:ind w:firstLine="720"/>
      </w:pPr>
      <w:r w:rsidRPr="00483B3D">
        <w:t>(a) To determine the effects, if any, of Roger W</w:t>
      </w:r>
      <w:r w:rsidRPr="00483B3D" w:rsidR="00F44DC8">
        <w:t>ahl</w:t>
      </w:r>
      <w:r w:rsidRPr="00483B3D">
        <w:t>’s felony conviction</w:t>
      </w:r>
      <w:r w:rsidRPr="00483B3D" w:rsidR="00837851">
        <w:t xml:space="preserve"> and</w:t>
      </w:r>
      <w:r w:rsidRPr="00483B3D" w:rsidR="00CE4EF6">
        <w:t xml:space="preserve"> </w:t>
      </w:r>
      <w:r w:rsidRPr="00483B3D" w:rsidR="00E46E21">
        <w:t xml:space="preserve">related misdemeanor </w:t>
      </w:r>
      <w:r w:rsidRPr="00483B3D" w:rsidR="00D876A4">
        <w:t>convictions</w:t>
      </w:r>
      <w:r w:rsidRPr="00483B3D">
        <w:t xml:space="preserve"> on his qualifications to be a Commission licensee</w:t>
      </w:r>
      <w:r w:rsidRPr="00483B3D" w:rsidR="00134218">
        <w:t>.</w:t>
      </w:r>
    </w:p>
    <w:p w:rsidR="000B3AC3" w:rsidRPr="00483B3D" w:rsidP="00E10631" w14:paraId="04304627" w14:textId="1E974068">
      <w:pPr>
        <w:pStyle w:val="ParaNum"/>
        <w:numPr>
          <w:ilvl w:val="0"/>
          <w:numId w:val="0"/>
        </w:numPr>
        <w:tabs>
          <w:tab w:val="left" w:pos="720"/>
        </w:tabs>
        <w:ind w:firstLine="720"/>
      </w:pPr>
      <w:r w:rsidRPr="00483B3D">
        <w:t>(</w:t>
      </w:r>
      <w:r w:rsidRPr="00483B3D" w:rsidR="00F90C71">
        <w:t>b</w:t>
      </w:r>
      <w:r w:rsidRPr="00483B3D">
        <w:t xml:space="preserve">) </w:t>
      </w:r>
      <w:r w:rsidRPr="00483B3D">
        <w:t>To determine whether Roger Wahl has the qualifications to be a Commission licensee.</w:t>
      </w:r>
    </w:p>
    <w:p w:rsidR="00C25E5F" w:rsidRPr="00483B3D" w:rsidP="00E10631" w14:paraId="5778981A" w14:textId="77777777">
      <w:pPr>
        <w:pStyle w:val="ParaNum"/>
        <w:numPr>
          <w:ilvl w:val="0"/>
          <w:numId w:val="0"/>
        </w:numPr>
        <w:ind w:firstLine="720"/>
      </w:pPr>
      <w:r w:rsidRPr="00483B3D">
        <w:t>(</w:t>
      </w:r>
      <w:r w:rsidRPr="00483B3D" w:rsidR="00F90C71">
        <w:t>c</w:t>
      </w:r>
      <w:r w:rsidRPr="00483B3D">
        <w:t xml:space="preserve">) </w:t>
      </w:r>
      <w:r w:rsidRPr="00483B3D" w:rsidR="000B3AC3">
        <w:t>To determine whether Roger Wahl’s license for Station WQZS(FM) should be revoked</w:t>
      </w:r>
      <w:r w:rsidRPr="00483B3D" w:rsidR="00F62E3A">
        <w:t>.</w:t>
      </w:r>
      <w:bookmarkStart w:id="28" w:name="_Hlk67046752"/>
    </w:p>
    <w:p w:rsidR="007E6F14" w:rsidRPr="00483B3D" w:rsidP="00E10631" w14:paraId="76B6C0F1" w14:textId="17521433">
      <w:pPr>
        <w:pStyle w:val="ParaNum"/>
      </w:pPr>
      <w:r w:rsidRPr="00483B3D">
        <w:t>IT IS FURTHER ORDERED that</w:t>
      </w:r>
      <w:r w:rsidRPr="00483B3D" w:rsidR="00AD03C2">
        <w:t>, pursuant to</w:t>
      </w:r>
      <w:r w:rsidRPr="00483B3D" w:rsidR="00CB7E20">
        <w:t xml:space="preserve"> section</w:t>
      </w:r>
      <w:r w:rsidRPr="00483B3D" w:rsidR="00B53FAF">
        <w:t xml:space="preserve"> </w:t>
      </w:r>
      <w:r w:rsidRPr="00483B3D" w:rsidR="00CB7E20">
        <w:t>312(c) of the Communications Act of 1934, as amended</w:t>
      </w:r>
      <w:r w:rsidRPr="00483B3D" w:rsidR="009909FC">
        <w:t>,</w:t>
      </w:r>
      <w:r w:rsidRPr="00483B3D" w:rsidR="00CB7E20">
        <w:t xml:space="preserve"> and</w:t>
      </w:r>
      <w:r w:rsidRPr="00483B3D">
        <w:t xml:space="preserve"> </w:t>
      </w:r>
      <w:r w:rsidRPr="00483B3D" w:rsidR="009909FC">
        <w:t>section 1.91(c) of the Commission’s Rules</w:t>
      </w:r>
      <w:r w:rsidRPr="00483B3D" w:rsidR="00CB622C">
        <w:t>,</w:t>
      </w:r>
      <w:r>
        <w:rPr>
          <w:rStyle w:val="FootnoteReference"/>
          <w:sz w:val="22"/>
        </w:rPr>
        <w:footnoteReference w:id="54"/>
      </w:r>
      <w:r w:rsidRPr="00483B3D" w:rsidR="00CB622C">
        <w:t xml:space="preserve"> in order to </w:t>
      </w:r>
      <w:r w:rsidRPr="00483B3D">
        <w:t>avail himself of the opportunity to be heard</w:t>
      </w:r>
      <w:r w:rsidRPr="00483B3D" w:rsidR="00AA0902">
        <w:t xml:space="preserve"> and the right to present evidence at a hearing in these proceedings, Roger Wahl</w:t>
      </w:r>
      <w:r w:rsidRPr="00483B3D" w:rsidR="00EB4C03">
        <w:t>, in person or by h</w:t>
      </w:r>
      <w:r w:rsidRPr="00483B3D" w:rsidR="00592BF2">
        <w:t>is</w:t>
      </w:r>
      <w:r w:rsidRPr="00483B3D" w:rsidR="00EB4C03">
        <w:t xml:space="preserve"> attorneys,</w:t>
      </w:r>
      <w:r w:rsidRPr="00483B3D" w:rsidR="008431B9">
        <w:t xml:space="preserve"> SHALL FILE within</w:t>
      </w:r>
      <w:r w:rsidRPr="00483B3D" w:rsidR="00A676B5">
        <w:t xml:space="preserve"> 20 days of the </w:t>
      </w:r>
      <w:r w:rsidRPr="00483B3D" w:rsidR="00B752B3">
        <w:t>mailing</w:t>
      </w:r>
      <w:r w:rsidRPr="00483B3D" w:rsidR="00881FF8">
        <w:t xml:space="preserve"> of this </w:t>
      </w:r>
      <w:r w:rsidRPr="00483B3D" w:rsidR="00CB622C">
        <w:rPr>
          <w:i/>
          <w:iCs/>
        </w:rPr>
        <w:t xml:space="preserve">Hearing Designation </w:t>
      </w:r>
      <w:r w:rsidRPr="00483B3D" w:rsidR="00881FF8">
        <w:rPr>
          <w:i/>
          <w:iCs/>
        </w:rPr>
        <w:t>Order</w:t>
      </w:r>
      <w:r w:rsidRPr="00483B3D" w:rsidR="00706364">
        <w:rPr>
          <w:i/>
          <w:iCs/>
        </w:rPr>
        <w:t>, Order to Show Cause and Notice of Opportunity for Hearing</w:t>
      </w:r>
      <w:r w:rsidRPr="00483B3D" w:rsidR="00A676B5">
        <w:t xml:space="preserve">, </w:t>
      </w:r>
      <w:r w:rsidRPr="00483B3D" w:rsidR="00706AEF">
        <w:t xml:space="preserve">a </w:t>
      </w:r>
      <w:r w:rsidRPr="00483B3D" w:rsidR="00A676B5">
        <w:t>written appearance</w:t>
      </w:r>
      <w:r w:rsidRPr="00483B3D" w:rsidR="00C62230">
        <w:t xml:space="preserve"> stating</w:t>
      </w:r>
      <w:r w:rsidRPr="00483B3D" w:rsidR="00A676B5">
        <w:t xml:space="preserve"> </w:t>
      </w:r>
      <w:r w:rsidRPr="00483B3D" w:rsidR="00933F16">
        <w:t xml:space="preserve">his intention to appear </w:t>
      </w:r>
      <w:r w:rsidRPr="00483B3D" w:rsidR="00706AEF">
        <w:t>at the hearing and present evidence on the issues specified above.</w:t>
      </w:r>
      <w:bookmarkEnd w:id="28"/>
    </w:p>
    <w:p w:rsidR="007B0C06" w:rsidRPr="00483B3D" w:rsidP="00E10631" w14:paraId="63C33675" w14:textId="2677E4AF">
      <w:pPr>
        <w:pStyle w:val="ParaNum"/>
      </w:pPr>
      <w:bookmarkStart w:id="29" w:name="_Hlk67047491"/>
      <w:r w:rsidRPr="00483B3D">
        <w:t>IT IS FURTHER ORDERED, pursuant to section</w:t>
      </w:r>
      <w:r w:rsidRPr="00483B3D" w:rsidR="00E474A3">
        <w:t>s 1.91</w:t>
      </w:r>
      <w:r w:rsidR="000E02CB">
        <w:t xml:space="preserve"> and</w:t>
      </w:r>
      <w:r w:rsidRPr="00483B3D" w:rsidR="00053D0E">
        <w:t xml:space="preserve"> 1.92</w:t>
      </w:r>
      <w:r w:rsidRPr="00483B3D">
        <w:t xml:space="preserve"> of the Commission’s </w:t>
      </w:r>
      <w:r w:rsidRPr="00483B3D" w:rsidR="00053D0E">
        <w:t>R</w:t>
      </w:r>
      <w:r w:rsidRPr="00483B3D">
        <w:t>ules,</w:t>
      </w:r>
      <w:r>
        <w:rPr>
          <w:rStyle w:val="FootnoteReference"/>
          <w:sz w:val="22"/>
        </w:rPr>
        <w:footnoteReference w:id="55"/>
      </w:r>
      <w:r w:rsidRPr="00483B3D">
        <w:t xml:space="preserve"> </w:t>
      </w:r>
      <w:r w:rsidRPr="00483B3D" w:rsidR="000B05C0">
        <w:t xml:space="preserve">that if Roger Wahl fails to file a written appearance within the time specified above, or has not filed prior to the expiration of that time </w:t>
      </w:r>
      <w:r w:rsidRPr="00483B3D" w:rsidR="00A15852">
        <w:t xml:space="preserve">a petition to accept, for good cause shown, such written </w:t>
      </w:r>
      <w:r w:rsidRPr="00483B3D" w:rsidR="00310AD4">
        <w:t>appearance beyond expiration of said 20 days</w:t>
      </w:r>
      <w:r w:rsidRPr="00483B3D" w:rsidR="00F950BD">
        <w:t xml:space="preserve">, </w:t>
      </w:r>
      <w:r w:rsidRPr="00483B3D" w:rsidR="006F5AA2">
        <w:t>the right to a hearing shall be deemed waived.</w:t>
      </w:r>
      <w:r w:rsidR="000E02CB">
        <w:t xml:space="preserve">  Where a hearing is waived, the Administrative Law Judge shall issue an order terminating the hearing proceeding and certifying the case to the Commission.</w:t>
      </w:r>
    </w:p>
    <w:bookmarkEnd w:id="29"/>
    <w:p w:rsidR="00BF7B09" w:rsidRPr="00483B3D" w:rsidP="00E10631" w14:paraId="06D5215B" w14:textId="69441303">
      <w:pPr>
        <w:pStyle w:val="ParaNum"/>
      </w:pPr>
      <w:r w:rsidRPr="00483B3D">
        <w:t>IT IS FURTHER ORDERED that the Chief, Enforcement Bureau, IS MADE A PARTY to this proceeding without the need to file a written appearance.</w:t>
      </w:r>
    </w:p>
    <w:p w:rsidR="00C37E42" w:rsidRPr="00483B3D" w:rsidP="00E10631" w14:paraId="0D92C376" w14:textId="788C0FC8">
      <w:pPr>
        <w:pStyle w:val="ParaNum"/>
      </w:pPr>
      <w:r w:rsidRPr="00483B3D">
        <w:t xml:space="preserve">IT IS FURTHER ORDERED, that, in accordance with section 312(d) of the </w:t>
      </w:r>
      <w:r w:rsidRPr="00483B3D">
        <w:t xml:space="preserve">Communications Act of 1934, as amended, </w:t>
      </w:r>
      <w:r w:rsidRPr="00483B3D" w:rsidR="00682FFC">
        <w:t xml:space="preserve">and section </w:t>
      </w:r>
      <w:r w:rsidRPr="00483B3D" w:rsidR="00AB19B6">
        <w:t>1.91(d) of the Commission’s Rules,</w:t>
      </w:r>
      <w:r>
        <w:rPr>
          <w:rStyle w:val="FootnoteReference"/>
          <w:sz w:val="22"/>
        </w:rPr>
        <w:footnoteReference w:id="56"/>
      </w:r>
      <w:r w:rsidRPr="00483B3D" w:rsidR="00682FFC">
        <w:t xml:space="preserve"> </w:t>
      </w:r>
      <w:r w:rsidRPr="00483B3D">
        <w:t>the burden</w:t>
      </w:r>
      <w:r w:rsidRPr="00483B3D" w:rsidR="00CE72CC">
        <w:t xml:space="preserve"> </w:t>
      </w:r>
      <w:r w:rsidRPr="00483B3D">
        <w:t xml:space="preserve">of proceeding with the introduction of </w:t>
      </w:r>
      <w:r w:rsidRPr="00483B3D" w:rsidR="00AB19B6">
        <w:t>e</w:t>
      </w:r>
      <w:r w:rsidRPr="00483B3D">
        <w:t xml:space="preserve">vidence and </w:t>
      </w:r>
      <w:r w:rsidRPr="00483B3D">
        <w:t xml:space="preserve">the burden </w:t>
      </w:r>
      <w:r w:rsidRPr="00483B3D">
        <w:t xml:space="preserve">of proof with respect </w:t>
      </w:r>
      <w:r w:rsidRPr="00483B3D" w:rsidR="00CE72CC">
        <w:t xml:space="preserve">to the issues at </w:t>
      </w:r>
      <w:r w:rsidRPr="00767A4A" w:rsidR="003A6F89">
        <w:t xml:space="preserve">paragraph </w:t>
      </w:r>
      <w:r w:rsidRPr="00767A4A" w:rsidR="00C25E5F">
        <w:t>28</w:t>
      </w:r>
      <w:r w:rsidRPr="00483B3D">
        <w:t xml:space="preserve"> SHALL BE </w:t>
      </w:r>
      <w:r w:rsidRPr="00483B3D" w:rsidR="007155C2">
        <w:t xml:space="preserve">upon the </w:t>
      </w:r>
      <w:r w:rsidRPr="00483B3D">
        <w:t xml:space="preserve">Commission’s </w:t>
      </w:r>
      <w:r w:rsidRPr="00483B3D" w:rsidR="007155C2">
        <w:t>Enforcement Bureau</w:t>
      </w:r>
      <w:r w:rsidRPr="00483B3D">
        <w:t>.</w:t>
      </w:r>
      <w:r w:rsidRPr="00483B3D" w:rsidR="007155C2">
        <w:t xml:space="preserve"> </w:t>
      </w:r>
    </w:p>
    <w:p w:rsidR="00461141" w:rsidRPr="00483B3D" w:rsidP="00E10631" w14:paraId="23660B92" w14:textId="2874D84D">
      <w:pPr>
        <w:pStyle w:val="ParaNum"/>
      </w:pPr>
      <w:r w:rsidRPr="00483B3D">
        <w:t xml:space="preserve">IT IS FURTHER ORDERED that a copy of each document filed in this proceeding subsequent to the date of adoption of this </w:t>
      </w:r>
      <w:r w:rsidRPr="00483B3D">
        <w:rPr>
          <w:i/>
          <w:iCs/>
        </w:rPr>
        <w:t>Hearing Designation Order</w:t>
      </w:r>
      <w:r w:rsidRPr="00483B3D" w:rsidR="00EA2A68">
        <w:rPr>
          <w:i/>
          <w:iCs/>
        </w:rPr>
        <w:t>, Order to Show Cause and Notice of Opportunity for Hearing</w:t>
      </w:r>
      <w:r w:rsidRPr="00483B3D">
        <w:t xml:space="preserve"> SHALL BE SERVED on the counsel of record appearing on behalf of the Chief, Enforcement Bureau.  Parties may inquire as to the identity of such counsel by calling the Investigations &amp; Hearings Division of the Enforcement Bureau at (202) 418-1420.  Such service copy SHALL BE ADDRESSED to the named counsel of record, Investigations &amp; Hearings Division, Enforcement Bureau, Federal Communications Commission, 45 </w:t>
      </w:r>
      <w:r w:rsidRPr="00483B3D" w:rsidR="00EA2A68">
        <w:t>L</w:t>
      </w:r>
      <w:r w:rsidRPr="00483B3D">
        <w:t xml:space="preserve"> Street, </w:t>
      </w:r>
      <w:r w:rsidRPr="00483B3D" w:rsidR="00EA2A68">
        <w:t>N</w:t>
      </w:r>
      <w:r w:rsidRPr="00483B3D" w:rsidR="00C97B46">
        <w:t>E</w:t>
      </w:r>
      <w:r w:rsidRPr="00483B3D">
        <w:t>, Washington, DC 20554.</w:t>
      </w:r>
    </w:p>
    <w:p w:rsidR="009F3E3B" w:rsidRPr="00483B3D" w:rsidP="00E10631" w14:paraId="364D3621" w14:textId="2B9A50A4">
      <w:pPr>
        <w:pStyle w:val="ParaNum"/>
      </w:pPr>
      <w:r w:rsidRPr="00483B3D">
        <w:t xml:space="preserve">IT IS FURTHER ORDERED that </w:t>
      </w:r>
      <w:r w:rsidRPr="00483B3D" w:rsidR="00A2487D">
        <w:t>a copy</w:t>
      </w:r>
      <w:r w:rsidRPr="00483B3D">
        <w:t xml:space="preserve"> of this </w:t>
      </w:r>
      <w:r w:rsidRPr="00483B3D" w:rsidR="00350466">
        <w:rPr>
          <w:i/>
          <w:iCs/>
        </w:rPr>
        <w:t>Hearing Designation Order, Order to Show Cause and Notice of Opportunity for Hearing</w:t>
      </w:r>
      <w:r w:rsidRPr="00483B3D" w:rsidR="00350466">
        <w:t xml:space="preserve"> </w:t>
      </w:r>
      <w:r w:rsidRPr="00483B3D" w:rsidR="002055CF">
        <w:t>shall be sent</w:t>
      </w:r>
      <w:r w:rsidRPr="00483B3D" w:rsidR="00DA10A4">
        <w:t xml:space="preserve"> </w:t>
      </w:r>
      <w:r w:rsidRPr="00483B3D" w:rsidR="00631BDF">
        <w:t>via</w:t>
      </w:r>
      <w:r w:rsidRPr="00483B3D" w:rsidR="00DA10A4">
        <w:t xml:space="preserve"> Certified Ma</w:t>
      </w:r>
      <w:r w:rsidRPr="00483B3D" w:rsidR="001B4AF6">
        <w:t>il</w:t>
      </w:r>
      <w:r w:rsidRPr="00483B3D" w:rsidR="00DA10A4">
        <w:t>, Return Receipt Requested</w:t>
      </w:r>
      <w:r w:rsidRPr="00483B3D" w:rsidR="002055CF">
        <w:t>, and by regular first</w:t>
      </w:r>
      <w:r w:rsidRPr="00483B3D" w:rsidR="00B1162A">
        <w:t>-</w:t>
      </w:r>
      <w:r w:rsidRPr="00483B3D" w:rsidR="002055CF">
        <w:t xml:space="preserve">class mail to </w:t>
      </w:r>
      <w:r w:rsidRPr="00483B3D" w:rsidR="00197768">
        <w:t>Roger Wahl,</w:t>
      </w:r>
      <w:r w:rsidRPr="00483B3D" w:rsidR="00E862E5">
        <w:t xml:space="preserve"> 128 Hunsrick Road, Meyersdale, PA</w:t>
      </w:r>
      <w:r w:rsidRPr="00483B3D" w:rsidR="00230582">
        <w:t xml:space="preserve"> 57424</w:t>
      </w:r>
      <w:r w:rsidRPr="00483B3D" w:rsidR="006C6285">
        <w:t>.</w:t>
      </w:r>
    </w:p>
    <w:p w:rsidR="00E10631" w:rsidP="00E10631" w14:paraId="4CEAD487" w14:textId="77777777">
      <w:pPr>
        <w:pStyle w:val="ParaNum"/>
      </w:pPr>
      <w:r w:rsidRPr="00483B3D">
        <w:t xml:space="preserve">IT IS FURTHER ORDERED that the Secretary of the Commission shall cause to have </w:t>
      </w:r>
      <w:r w:rsidRPr="00483B3D" w:rsidR="00F61243">
        <w:t xml:space="preserve">this </w:t>
      </w:r>
      <w:r w:rsidRPr="00483B3D" w:rsidR="00F61243">
        <w:rPr>
          <w:i/>
          <w:iCs/>
        </w:rPr>
        <w:t>Hearing Designation Order</w:t>
      </w:r>
      <w:r w:rsidRPr="00483B3D" w:rsidR="00B1162A">
        <w:rPr>
          <w:i/>
          <w:iCs/>
        </w:rPr>
        <w:t>, Order to Show Cause and Notice of Opportunity for Hearing</w:t>
      </w:r>
      <w:r w:rsidRPr="00483B3D" w:rsidR="009D783E">
        <w:t>,</w:t>
      </w:r>
      <w:r w:rsidRPr="00483B3D" w:rsidR="00F61243">
        <w:t xml:space="preserve"> or a summary thereof published in the Federal Register.</w:t>
      </w:r>
    </w:p>
    <w:p w:rsidR="007C46FF" w:rsidRPr="00E10631" w:rsidP="00E10631" w14:paraId="51FA5326" w14:textId="6DEA3471">
      <w:pPr>
        <w:pStyle w:val="ParaNum"/>
        <w:numPr>
          <w:ilvl w:val="0"/>
          <w:numId w:val="0"/>
        </w:numPr>
        <w:ind w:left="720"/>
      </w:pPr>
      <w:r w:rsidRPr="00E10631">
        <w:tab/>
      </w:r>
    </w:p>
    <w:p w:rsidR="007C46FF" w:rsidRPr="00483B3D" w:rsidP="00E10631" w14:paraId="4F38C8DE" w14:textId="77777777">
      <w:pPr>
        <w:ind w:firstLine="720"/>
      </w:pPr>
    </w:p>
    <w:p w:rsidR="009D783E" w:rsidRPr="00483B3D" w:rsidP="00E10631" w14:paraId="044F2308" w14:textId="0AA30A98">
      <w:r>
        <w:tab/>
      </w:r>
      <w:r>
        <w:tab/>
      </w:r>
      <w:r>
        <w:tab/>
      </w:r>
      <w:r>
        <w:tab/>
      </w:r>
      <w:r>
        <w:tab/>
      </w:r>
      <w:r>
        <w:tab/>
      </w:r>
      <w:r w:rsidRPr="00483B3D">
        <w:t>FEDERAL COMMUNICATIONS COMMISSION</w:t>
      </w:r>
    </w:p>
    <w:p w:rsidR="009D783E" w:rsidRPr="00483B3D" w:rsidP="00E10631" w14:paraId="6AFFAAA4" w14:textId="507EBF98"/>
    <w:p w:rsidR="007C46FF" w:rsidRPr="00483B3D" w:rsidP="00E10631" w14:paraId="298906FB" w14:textId="08DDA015"/>
    <w:p w:rsidR="007C46FF" w:rsidRPr="00483B3D" w:rsidP="00E10631" w14:paraId="3952F163" w14:textId="77777777"/>
    <w:p w:rsidR="009D783E" w:rsidRPr="00483B3D" w:rsidP="00E10631" w14:paraId="64146BC7" w14:textId="3E3F0083">
      <w:r w:rsidRPr="00483B3D">
        <w:tab/>
      </w:r>
      <w:r w:rsidRPr="00483B3D">
        <w:tab/>
      </w:r>
      <w:r w:rsidRPr="00483B3D">
        <w:tab/>
      </w:r>
      <w:r w:rsidRPr="00483B3D">
        <w:tab/>
      </w:r>
      <w:r w:rsidRPr="00483B3D">
        <w:tab/>
      </w:r>
      <w:r w:rsidRPr="00483B3D">
        <w:tab/>
        <w:t xml:space="preserve">Michelle </w:t>
      </w:r>
      <w:r w:rsidRPr="00483B3D" w:rsidR="00C43224">
        <w:t xml:space="preserve">M. </w:t>
      </w:r>
      <w:r w:rsidRPr="00483B3D">
        <w:t>Carey</w:t>
      </w:r>
    </w:p>
    <w:p w:rsidR="004924D9" w:rsidRPr="00483B3D" w:rsidP="00E10631" w14:paraId="160A525F" w14:textId="620D9A5D">
      <w:r w:rsidRPr="00483B3D">
        <w:tab/>
      </w:r>
      <w:r w:rsidRPr="00483B3D">
        <w:tab/>
      </w:r>
      <w:r w:rsidRPr="00483B3D">
        <w:tab/>
      </w:r>
      <w:r w:rsidRPr="00483B3D">
        <w:tab/>
      </w:r>
      <w:r w:rsidRPr="00483B3D">
        <w:tab/>
      </w:r>
      <w:r w:rsidRPr="00483B3D">
        <w:tab/>
        <w:t>Chief, 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B99" w:rsidP="0055614C" w14:paraId="1574B2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81B99" w14:paraId="38F244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B99" w14:paraId="50F34E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81B99" w14:paraId="21053E5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B99" w14:paraId="4A7BE84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6B6E" w14:paraId="33637C16" w14:textId="77777777">
      <w:r>
        <w:separator/>
      </w:r>
    </w:p>
  </w:footnote>
  <w:footnote w:type="continuationSeparator" w:id="1">
    <w:p w:rsidR="00E56B6E" w:rsidP="00C721AC" w14:paraId="24F14CE6" w14:textId="77777777">
      <w:pPr>
        <w:spacing w:before="120"/>
        <w:rPr>
          <w:sz w:val="20"/>
        </w:rPr>
      </w:pPr>
      <w:r>
        <w:rPr>
          <w:sz w:val="20"/>
        </w:rPr>
        <w:t xml:space="preserve">(Continued from previous page)  </w:t>
      </w:r>
      <w:r>
        <w:rPr>
          <w:sz w:val="20"/>
        </w:rPr>
        <w:separator/>
      </w:r>
    </w:p>
  </w:footnote>
  <w:footnote w:type="continuationNotice" w:id="2">
    <w:p w:rsidR="00E56B6E" w:rsidP="00C721AC" w14:paraId="5828B84C" w14:textId="77777777">
      <w:pPr>
        <w:jc w:val="right"/>
        <w:rPr>
          <w:sz w:val="20"/>
        </w:rPr>
      </w:pPr>
      <w:r>
        <w:rPr>
          <w:sz w:val="20"/>
        </w:rPr>
        <w:t>(continued….)</w:t>
      </w:r>
    </w:p>
  </w:footnote>
  <w:footnote w:id="3">
    <w:p w:rsidR="00D81B99" w:rsidP="0026310D" w14:paraId="5B63886C" w14:textId="6909AF81">
      <w:pPr>
        <w:pStyle w:val="FootnoteText"/>
      </w:pPr>
      <w:r>
        <w:rPr>
          <w:rStyle w:val="FootnoteReference"/>
        </w:rPr>
        <w:footnoteRef/>
      </w:r>
      <w:r>
        <w:t xml:space="preserve"> </w:t>
      </w:r>
      <w:r w:rsidRPr="004A71D7" w:rsidR="004A71D7">
        <w:rPr>
          <w:snapToGrid w:val="0"/>
          <w:kern w:val="28"/>
          <w:sz w:val="22"/>
        </w:rPr>
        <w:t xml:space="preserve"> </w:t>
      </w:r>
      <w:r w:rsidRPr="004A71D7" w:rsidR="004A71D7">
        <w:t xml:space="preserve">The Chief, Media Bureau (Bureau), </w:t>
      </w:r>
      <w:r w:rsidR="003C4D0F">
        <w:t>pursua</w:t>
      </w:r>
      <w:r w:rsidR="00C11E88">
        <w:t xml:space="preserve">nt to delegated authority, </w:t>
      </w:r>
      <w:r w:rsidRPr="004A71D7" w:rsidR="004A71D7">
        <w:t xml:space="preserve">issues this </w:t>
      </w:r>
      <w:r w:rsidRPr="004A71D7" w:rsidR="004A71D7">
        <w:rPr>
          <w:i/>
          <w:iCs/>
        </w:rPr>
        <w:t xml:space="preserve">Hearing Designation Order, Order to Show Cause, and Notice of Opportunity for Hearing </w:t>
      </w:r>
      <w:r w:rsidRPr="004A71D7" w:rsidR="004A71D7">
        <w:t>pursuant to sections</w:t>
      </w:r>
      <w:r w:rsidR="009A5B10">
        <w:t xml:space="preserve"> </w:t>
      </w:r>
      <w:r w:rsidRPr="009A5B10" w:rsidR="004A71D7">
        <w:t>312(a)(2), and 312(c)</w:t>
      </w:r>
      <w:r w:rsidRPr="004A71D7" w:rsidR="004A71D7">
        <w:t xml:space="preserve"> of the Communications Act of 1934, as amended</w:t>
      </w:r>
      <w:r w:rsidR="004A71D7">
        <w:t xml:space="preserve"> (Act), </w:t>
      </w:r>
      <w:r w:rsidRPr="004A71D7" w:rsidR="004A71D7">
        <w:t>sections 1.91 and 1.221 of the Commission’s rules (Rules</w:t>
      </w:r>
      <w:r w:rsidR="004A71D7">
        <w:t>)</w:t>
      </w:r>
      <w:r w:rsidRPr="004A71D7" w:rsidR="004A71D7">
        <w:t>.</w:t>
      </w:r>
      <w:r w:rsidR="004A71D7">
        <w:t xml:space="preserve">  </w:t>
      </w:r>
      <w:r w:rsidRPr="004A71D7" w:rsidR="004A71D7">
        <w:rPr>
          <w:i/>
          <w:iCs/>
        </w:rPr>
        <w:t>See</w:t>
      </w:r>
      <w:r w:rsidR="004A71D7">
        <w:t xml:space="preserve"> </w:t>
      </w:r>
      <w:r w:rsidRPr="004A71D7" w:rsidR="004A71D7">
        <w:t xml:space="preserve">47 U.S.C. </w:t>
      </w:r>
      <w:r w:rsidRPr="003F3463" w:rsidR="004A71D7">
        <w:t xml:space="preserve">§§ </w:t>
      </w:r>
      <w:r w:rsidRPr="004A71D7" w:rsidR="004A71D7">
        <w:t>312(a)(2)</w:t>
      </w:r>
      <w:r w:rsidR="001A7CA9">
        <w:t xml:space="preserve"> and</w:t>
      </w:r>
      <w:r w:rsidRPr="004A71D7" w:rsidR="004A71D7">
        <w:t xml:space="preserve"> 312(c)</w:t>
      </w:r>
      <w:r w:rsidR="004A71D7">
        <w:t xml:space="preserve">; </w:t>
      </w:r>
      <w:r w:rsidRPr="004A71D7" w:rsidR="004A71D7">
        <w:t>47 CFR §§ 1.91, 1.221</w:t>
      </w:r>
      <w:r w:rsidR="004A71D7">
        <w:t>, 0.61 and 0.283.</w:t>
      </w:r>
      <w:r w:rsidR="0066542D">
        <w:t xml:space="preserve">  There is a pending application for consent to assignment of license for the Station.  </w:t>
      </w:r>
      <w:r w:rsidRPr="00DB4800" w:rsidR="0066542D">
        <w:rPr>
          <w:i/>
          <w:iCs/>
        </w:rPr>
        <w:t>See</w:t>
      </w:r>
      <w:r w:rsidR="0066542D">
        <w:t xml:space="preserve"> FCC File No. </w:t>
      </w:r>
      <w:r w:rsidR="00DB4800">
        <w:t>BALH-20200305AAH.  That application will be held in abeyance pending the outcome of this proceeding.</w:t>
      </w:r>
    </w:p>
  </w:footnote>
  <w:footnote w:id="4">
    <w:p w:rsidR="00D81B99" w:rsidRPr="006C175B" w:rsidP="0026310D" w14:paraId="10BEDF76" w14:textId="32C4605A">
      <w:pPr>
        <w:pStyle w:val="FootnoteText"/>
      </w:pPr>
      <w:r>
        <w:rPr>
          <w:rStyle w:val="FootnoteReference"/>
        </w:rPr>
        <w:footnoteRef/>
      </w:r>
      <w:r>
        <w:t xml:space="preserve"> 18 Pa. C.S. §§ 101-9546. </w:t>
      </w:r>
      <w:r w:rsidR="00215877">
        <w:t xml:space="preserve"> </w:t>
      </w:r>
      <w:r>
        <w:rPr>
          <w:i/>
          <w:iCs/>
        </w:rPr>
        <w:t>See</w:t>
      </w:r>
      <w:r w:rsidRPr="00215877">
        <w:rPr>
          <w:i/>
          <w:iCs/>
        </w:rPr>
        <w:t xml:space="preserve"> infra</w:t>
      </w:r>
      <w:r>
        <w:t xml:space="preserve"> para</w:t>
      </w:r>
      <w:r w:rsidR="006D0CC1">
        <w:t>s</w:t>
      </w:r>
      <w:r>
        <w:t xml:space="preserve">. </w:t>
      </w:r>
      <w:r w:rsidRPr="003F3463" w:rsidR="004A71D7">
        <w:t>3-</w:t>
      </w:r>
      <w:r w:rsidRPr="003F3463" w:rsidR="00215877">
        <w:t>4</w:t>
      </w:r>
      <w:r>
        <w:t>.</w:t>
      </w:r>
    </w:p>
  </w:footnote>
  <w:footnote w:id="5">
    <w:p w:rsidR="002B3258" w:rsidP="0026310D" w14:paraId="674DEE78" w14:textId="2444BF28">
      <w:pPr>
        <w:pStyle w:val="FootnoteText"/>
      </w:pPr>
      <w:r>
        <w:rPr>
          <w:rStyle w:val="FootnoteReference"/>
        </w:rPr>
        <w:footnoteRef/>
      </w:r>
      <w:r>
        <w:t xml:space="preserve"> </w:t>
      </w:r>
      <w:r w:rsidRPr="00FD6EAA" w:rsidR="00B14651">
        <w:t xml:space="preserve">Because this proceeding pertains to the potential revocation of a “station license,” the Commission’s Part 1, subpart B hearing rules apply.  47 CFR § 1.91(d).  Consistent with the Bureau’s past practice, we designate an ALJ to serve as the presiding officer.  </w:t>
      </w:r>
      <w:r w:rsidRPr="00FD6EAA" w:rsidR="00B14651">
        <w:rPr>
          <w:i/>
          <w:iCs/>
        </w:rPr>
        <w:t>See, e.</w:t>
      </w:r>
      <w:r w:rsidRPr="00FD6EAA" w:rsidR="00B14651">
        <w:rPr>
          <w:i/>
          <w:iCs/>
          <w:color w:val="000000" w:themeColor="text1"/>
        </w:rPr>
        <w:t>g</w:t>
      </w:r>
      <w:r w:rsidRPr="00FD6EAA" w:rsidR="00B14651">
        <w:rPr>
          <w:color w:val="000000" w:themeColor="text1"/>
        </w:rPr>
        <w:t xml:space="preserve">., </w:t>
      </w:r>
      <w:r w:rsidRPr="00FD6EAA" w:rsidR="00696DBD">
        <w:rPr>
          <w:i/>
          <w:iCs/>
          <w:color w:val="000000"/>
          <w:bdr w:val="none" w:sz="0" w:space="0" w:color="auto" w:frame="1"/>
        </w:rPr>
        <w:t>Auburn Network, Inc.</w:t>
      </w:r>
      <w:r w:rsidRPr="00FD6EAA" w:rsidR="00696DBD">
        <w:rPr>
          <w:color w:val="000000"/>
          <w:bdr w:val="none" w:sz="0" w:space="0" w:color="auto" w:frame="1"/>
        </w:rPr>
        <w:t xml:space="preserve">, </w:t>
      </w:r>
      <w:r w:rsidRPr="00FD6EAA" w:rsidR="00696DBD">
        <w:rPr>
          <w:color w:val="000000"/>
          <w:shd w:val="clear" w:color="auto" w:fill="FFFFFF"/>
        </w:rPr>
        <w:t>Hearing Designation Order, Order to Show Cause and Notice of Opportunity for Hearing</w:t>
      </w:r>
      <w:r w:rsidRPr="00FD6EAA" w:rsidR="00696DBD">
        <w:rPr>
          <w:color w:val="000000"/>
        </w:rPr>
        <w:t>, 35 FCC Rcd 1282 (MB 2021)</w:t>
      </w:r>
      <w:r w:rsidRPr="00FD6EAA" w:rsidR="00B14651">
        <w:rPr>
          <w:color w:val="000000" w:themeColor="text1"/>
          <w:shd w:val="clear" w:color="auto" w:fill="FFFFFF"/>
        </w:rPr>
        <w:t xml:space="preserve">.  </w:t>
      </w:r>
      <w:r w:rsidRPr="00FD6EAA" w:rsidR="007E630F">
        <w:t xml:space="preserve">The new </w:t>
      </w:r>
      <w:r w:rsidRPr="00FD6EAA" w:rsidR="00B14651">
        <w:t xml:space="preserve">written hearing </w:t>
      </w:r>
      <w:r w:rsidRPr="00FD6EAA" w:rsidR="007E630F">
        <w:t xml:space="preserve">procedures, described </w:t>
      </w:r>
      <w:r w:rsidRPr="00FD6EAA" w:rsidR="007E630F">
        <w:rPr>
          <w:i/>
          <w:iCs/>
        </w:rPr>
        <w:t>infra</w:t>
      </w:r>
      <w:r w:rsidRPr="00FD6EAA" w:rsidR="007E630F">
        <w:t xml:space="preserve"> at para. 1</w:t>
      </w:r>
      <w:r w:rsidRPr="00FD6EAA" w:rsidR="00C25E5F">
        <w:t>1</w:t>
      </w:r>
      <w:r w:rsidRPr="00FD6EAA" w:rsidR="007E630F">
        <w:t xml:space="preserve">, became effective on Nov. 5, 2020.  </w:t>
      </w:r>
      <w:r w:rsidRPr="00FD6EAA" w:rsidR="00B14651">
        <w:rPr>
          <w:i/>
        </w:rPr>
        <w:t xml:space="preserve">See </w:t>
      </w:r>
      <w:r w:rsidRPr="00FD6EAA" w:rsidR="00B14651">
        <w:rPr>
          <w:i/>
          <w:iCs/>
        </w:rPr>
        <w:t>Procedural Streamlining of Administrative Hearings</w:t>
      </w:r>
      <w:r w:rsidRPr="00FD6EAA" w:rsidR="00B14651">
        <w:t>, Report and Order, 35 FCC Rcd 10729 (2020) (</w:t>
      </w:r>
      <w:r w:rsidRPr="00FD6EAA" w:rsidR="00B14651">
        <w:rPr>
          <w:i/>
          <w:iCs/>
        </w:rPr>
        <w:t>Written Hearings Report and Order</w:t>
      </w:r>
      <w:r w:rsidRPr="00FD6EAA" w:rsidR="00B14651">
        <w:t>); 85 Fed. Reg. 63166 (Oct. 6, 2020).</w:t>
      </w:r>
      <w:r w:rsidR="00B14651">
        <w:t xml:space="preserve">    </w:t>
      </w:r>
    </w:p>
  </w:footnote>
  <w:footnote w:id="6">
    <w:p w:rsidR="00D81B99" w:rsidRPr="00280588" w:rsidP="0026310D" w14:paraId="4B8EA787" w14:textId="5E326DA8">
      <w:pPr>
        <w:pStyle w:val="FootnoteText"/>
      </w:pPr>
      <w:r>
        <w:rPr>
          <w:rStyle w:val="FootnoteReference"/>
        </w:rPr>
        <w:footnoteRef/>
      </w:r>
      <w:r w:rsidR="00E86345">
        <w:rPr>
          <w:i/>
          <w:iCs/>
        </w:rPr>
        <w:t xml:space="preserve"> See Commonwealth of Pa. v. Wahl</w:t>
      </w:r>
      <w:r w:rsidR="00E86345">
        <w:t>, No. 56-CR-0000952-2019 (Ct. of C.P., Somerset C’nty, Pa. July 8, 2020) (Initial Order of the Court)</w:t>
      </w:r>
      <w:r>
        <w:t xml:space="preserve">.  The police report from 2019 described this charge as use of a communication device to facilitate the commission of a felony or attempted felony.  </w:t>
      </w:r>
      <w:r w:rsidRPr="003D1E7F">
        <w:rPr>
          <w:i/>
          <w:iCs/>
        </w:rPr>
        <w:t>See</w:t>
      </w:r>
      <w:r>
        <w:t xml:space="preserve"> P</w:t>
      </w:r>
      <w:r w:rsidR="00E734DD">
        <w:t>a.</w:t>
      </w:r>
      <w:r>
        <w:t xml:space="preserve"> State Police GO# PA 2019-1197584 at 29</w:t>
      </w:r>
      <w:r w:rsidR="00F55CEC">
        <w:t xml:space="preserve"> (Wahl Police Report)</w:t>
      </w:r>
      <w:r>
        <w:t xml:space="preserve">. </w:t>
      </w:r>
      <w:r w:rsidR="001F6A11">
        <w:t xml:space="preserve"> In their investigation, t</w:t>
      </w:r>
      <w:r>
        <w:t xml:space="preserve">he police </w:t>
      </w:r>
      <w:r w:rsidR="001F6A11">
        <w:t>obtained</w:t>
      </w:r>
      <w:r>
        <w:t xml:space="preserve"> screen shots of the dating profile and photos</w:t>
      </w:r>
      <w:r w:rsidR="00DB0572">
        <w:t>,</w:t>
      </w:r>
      <w:r>
        <w:t xml:space="preserve"> </w:t>
      </w:r>
      <w:r w:rsidRPr="006E2F00">
        <w:rPr>
          <w:i/>
          <w:iCs/>
        </w:rPr>
        <w:t>id.</w:t>
      </w:r>
      <w:r>
        <w:t xml:space="preserve"> at 10-11 and </w:t>
      </w:r>
      <w:r w:rsidR="002211D7">
        <w:t>14</w:t>
      </w:r>
      <w:r w:rsidR="00BD22B7">
        <w:t>,</w:t>
      </w:r>
      <w:r w:rsidR="002211D7">
        <w:t xml:space="preserve"> and</w:t>
      </w:r>
      <w:r>
        <w:t xml:space="preserve"> seized </w:t>
      </w:r>
      <w:r w:rsidR="006D0CC1">
        <w:t>Wahl</w:t>
      </w:r>
      <w:r>
        <w:t xml:space="preserve">’s phone after finding the nude photos in the deleted photos file of the phone.  </w:t>
      </w:r>
      <w:r w:rsidRPr="00BC6D84">
        <w:rPr>
          <w:i/>
          <w:iCs/>
        </w:rPr>
        <w:t>Id.</w:t>
      </w:r>
      <w:r>
        <w:t xml:space="preserve"> at 15-16.</w:t>
      </w:r>
    </w:p>
  </w:footnote>
  <w:footnote w:id="7">
    <w:p w:rsidR="00D81B99" w:rsidRPr="00467D4F" w:rsidP="0026310D" w14:paraId="568621B3" w14:textId="1085BA11">
      <w:pPr>
        <w:pStyle w:val="FootnoteText"/>
      </w:pPr>
      <w:r>
        <w:rPr>
          <w:rStyle w:val="FootnoteReference"/>
        </w:rPr>
        <w:footnoteRef/>
      </w:r>
      <w:r w:rsidR="00D101AB">
        <w:t xml:space="preserve"> </w:t>
      </w:r>
      <w:r w:rsidR="00D101AB">
        <w:rPr>
          <w:i/>
          <w:iCs/>
        </w:rPr>
        <w:t xml:space="preserve">See </w:t>
      </w:r>
      <w:r w:rsidR="00D101AB">
        <w:t xml:space="preserve">Initial Order of the Court.  </w:t>
      </w:r>
    </w:p>
  </w:footnote>
  <w:footnote w:id="8">
    <w:p w:rsidR="000A284C" w:rsidP="0026310D" w14:paraId="53E6B922" w14:textId="52077109">
      <w:pPr>
        <w:pStyle w:val="FootnoteText"/>
      </w:pPr>
      <w:r>
        <w:rPr>
          <w:rStyle w:val="FootnoteReference"/>
        </w:rPr>
        <w:footnoteRef/>
      </w:r>
      <w:r>
        <w:t xml:space="preserve"> </w:t>
      </w:r>
      <w:r w:rsidRPr="000A284C">
        <w:rPr>
          <w:i/>
          <w:iCs/>
        </w:rPr>
        <w:t>See id</w:t>
      </w:r>
      <w:r>
        <w:rPr>
          <w:i/>
          <w:iCs/>
        </w:rPr>
        <w:t>.</w:t>
      </w:r>
    </w:p>
  </w:footnote>
  <w:footnote w:id="9">
    <w:p w:rsidR="00656438" w:rsidP="0026310D" w14:paraId="558B4661" w14:textId="4A5E1140">
      <w:pPr>
        <w:pStyle w:val="FootnoteText"/>
      </w:pPr>
      <w:r>
        <w:rPr>
          <w:rStyle w:val="FootnoteReference"/>
        </w:rPr>
        <w:footnoteRef/>
      </w:r>
      <w:r>
        <w:t xml:space="preserve"> </w:t>
      </w:r>
      <w:r w:rsidRPr="000A284C">
        <w:rPr>
          <w:i/>
          <w:iCs/>
        </w:rPr>
        <w:t>See id</w:t>
      </w:r>
      <w:r>
        <w:rPr>
          <w:i/>
          <w:iCs/>
        </w:rPr>
        <w:t>.</w:t>
      </w:r>
    </w:p>
  </w:footnote>
  <w:footnote w:id="10">
    <w:p w:rsidR="00E30676" w:rsidP="0026310D" w14:paraId="0AAD76B4" w14:textId="12DEFB37">
      <w:pPr>
        <w:pStyle w:val="FootnoteText"/>
      </w:pPr>
      <w:r>
        <w:rPr>
          <w:rStyle w:val="FootnoteReference"/>
        </w:rPr>
        <w:footnoteRef/>
      </w:r>
      <w:r>
        <w:t xml:space="preserve"> </w:t>
      </w:r>
      <w:r w:rsidRPr="000A284C">
        <w:rPr>
          <w:i/>
          <w:iCs/>
        </w:rPr>
        <w:t>See id</w:t>
      </w:r>
      <w:r>
        <w:rPr>
          <w:i/>
          <w:iCs/>
        </w:rPr>
        <w:t>.</w:t>
      </w:r>
    </w:p>
  </w:footnote>
  <w:footnote w:id="11">
    <w:p w:rsidR="00A43B35" w:rsidRPr="00C35625" w:rsidP="0026310D" w14:paraId="35A77FA2" w14:textId="5326DE83">
      <w:pPr>
        <w:pStyle w:val="FootnoteText"/>
      </w:pPr>
      <w:r>
        <w:rPr>
          <w:rStyle w:val="FootnoteReference"/>
        </w:rPr>
        <w:footnoteRef/>
      </w:r>
      <w:r>
        <w:t xml:space="preserve"> </w:t>
      </w:r>
      <w:r>
        <w:rPr>
          <w:i/>
          <w:iCs/>
        </w:rPr>
        <w:t>See</w:t>
      </w:r>
      <w:r w:rsidR="009E1AFB">
        <w:rPr>
          <w:i/>
          <w:iCs/>
        </w:rPr>
        <w:t xml:space="preserve"> </w:t>
      </w:r>
      <w:r w:rsidR="00E64FF5">
        <w:rPr>
          <w:i/>
          <w:iCs/>
        </w:rPr>
        <w:t>id</w:t>
      </w:r>
      <w:r>
        <w:t xml:space="preserve">.  </w:t>
      </w:r>
    </w:p>
  </w:footnote>
  <w:footnote w:id="12">
    <w:p w:rsidR="0045134E" w:rsidP="0026310D" w14:paraId="7441916B" w14:textId="410C9002">
      <w:pPr>
        <w:pStyle w:val="FootnoteText"/>
      </w:pPr>
      <w:r>
        <w:rPr>
          <w:rStyle w:val="FootnoteReference"/>
        </w:rPr>
        <w:footnoteRef/>
      </w:r>
      <w:r>
        <w:t xml:space="preserve"> </w:t>
      </w:r>
      <w:r w:rsidR="00E64FF5">
        <w:rPr>
          <w:i/>
          <w:iCs/>
        </w:rPr>
        <w:t>See i</w:t>
      </w:r>
      <w:r w:rsidRPr="000D2E15">
        <w:rPr>
          <w:i/>
          <w:iCs/>
        </w:rPr>
        <w:t>d</w:t>
      </w:r>
      <w:r>
        <w:t>.</w:t>
      </w:r>
    </w:p>
  </w:footnote>
  <w:footnote w:id="13">
    <w:p w:rsidR="00F56A89" w:rsidRPr="00F72FBC" w:rsidP="0026310D" w14:paraId="0499714F" w14:textId="63B2A33B">
      <w:pPr>
        <w:pStyle w:val="FootnoteText"/>
      </w:pPr>
      <w:r>
        <w:rPr>
          <w:rStyle w:val="FootnoteReference"/>
        </w:rPr>
        <w:footnoteRef/>
      </w:r>
      <w:r>
        <w:t xml:space="preserve"> </w:t>
      </w:r>
      <w:r>
        <w:rPr>
          <w:i/>
          <w:iCs/>
        </w:rPr>
        <w:t>See Commonwealth of Pa. v. Wahl</w:t>
      </w:r>
      <w:r>
        <w:t xml:space="preserve">, </w:t>
      </w:r>
      <w:r w:rsidR="00D753C2">
        <w:t xml:space="preserve">Motion to Withdraw Guilty Plea, </w:t>
      </w:r>
      <w:r>
        <w:t>No. 56-CR-0000952-2019 (Ct. of C.P., Somerset C</w:t>
      </w:r>
      <w:r w:rsidR="009E1AFB">
        <w:t>’nt</w:t>
      </w:r>
      <w:r>
        <w:t xml:space="preserve">y, Pa. </w:t>
      </w:r>
      <w:r w:rsidR="00D753C2">
        <w:t>July 27</w:t>
      </w:r>
      <w:r>
        <w:t xml:space="preserve">, 2020) </w:t>
      </w:r>
      <w:r w:rsidR="00F72FBC">
        <w:t>;</w:t>
      </w:r>
      <w:r w:rsidRPr="00F72FBC" w:rsidR="00F72FBC">
        <w:rPr>
          <w:i/>
          <w:iCs/>
        </w:rPr>
        <w:t xml:space="preserve"> </w:t>
      </w:r>
      <w:r w:rsidR="00F72FBC">
        <w:rPr>
          <w:i/>
          <w:iCs/>
        </w:rPr>
        <w:t>Commonwealth of Pa. v. Wahl</w:t>
      </w:r>
      <w:r w:rsidR="00F72FBC">
        <w:t>, Order, No. 56-CR-0000952-2019 (Ct. of C.P., Somerset C’nty, Pa. Nov. 16, 2020) (accepting withdrawal of guilty plea).</w:t>
      </w:r>
    </w:p>
  </w:footnote>
  <w:footnote w:id="14">
    <w:p w:rsidR="00656438" w:rsidP="0026310D" w14:paraId="0345A4DE" w14:textId="717EDA0B">
      <w:pPr>
        <w:pStyle w:val="FootnoteText"/>
      </w:pPr>
      <w:r>
        <w:rPr>
          <w:rStyle w:val="FootnoteReference"/>
        </w:rPr>
        <w:footnoteRef/>
      </w:r>
      <w:r>
        <w:t xml:space="preserve"> </w:t>
      </w:r>
      <w:r w:rsidRPr="000A284C">
        <w:rPr>
          <w:i/>
          <w:iCs/>
        </w:rPr>
        <w:t>See id</w:t>
      </w:r>
      <w:r>
        <w:rPr>
          <w:i/>
          <w:iCs/>
        </w:rPr>
        <w:t>.</w:t>
      </w:r>
    </w:p>
  </w:footnote>
  <w:footnote w:id="15">
    <w:p w:rsidR="00D81B99" w:rsidRPr="00E96D4A" w:rsidP="0026310D" w14:paraId="6E786D68" w14:textId="72B1E1C3">
      <w:pPr>
        <w:pStyle w:val="FootnoteText"/>
      </w:pPr>
      <w:r>
        <w:rPr>
          <w:rStyle w:val="FootnoteReference"/>
        </w:rPr>
        <w:footnoteRef/>
      </w:r>
      <w:r>
        <w:t xml:space="preserve"> </w:t>
      </w:r>
      <w:r>
        <w:rPr>
          <w:i/>
          <w:iCs/>
        </w:rPr>
        <w:t>See</w:t>
      </w:r>
      <w:r w:rsidR="009E1AFB">
        <w:rPr>
          <w:i/>
          <w:iCs/>
        </w:rPr>
        <w:t xml:space="preserve"> </w:t>
      </w:r>
      <w:r w:rsidR="00D753C2">
        <w:rPr>
          <w:i/>
          <w:iCs/>
        </w:rPr>
        <w:t>Commonwealth of Pa. v. Wahl</w:t>
      </w:r>
      <w:r w:rsidR="00D753C2">
        <w:t xml:space="preserve">, </w:t>
      </w:r>
      <w:r w:rsidR="00F72FBC">
        <w:t xml:space="preserve">Sentence of Court, No. </w:t>
      </w:r>
      <w:r w:rsidR="00D753C2">
        <w:t>56-CR-0000952-2019 (Ct. of C.P., Somerset C’nty, Pa. Nov. 16, 2020).</w:t>
      </w:r>
      <w:r>
        <w:t xml:space="preserve">  In imposing the sentence, the </w:t>
      </w:r>
      <w:r w:rsidR="009E1AFB">
        <w:t>c</w:t>
      </w:r>
      <w:r>
        <w:t xml:space="preserve">ourt </w:t>
      </w:r>
      <w:r w:rsidR="00E770FD">
        <w:t>observed</w:t>
      </w:r>
      <w:r w:rsidR="001F6A11">
        <w:t xml:space="preserve"> that the victim of Wahl’s criminal activity was not physically assaulted</w:t>
      </w:r>
      <w:r w:rsidR="00E770FD">
        <w:t>.  At the same time</w:t>
      </w:r>
      <w:r w:rsidR="001F6A11">
        <w:t xml:space="preserve">, </w:t>
      </w:r>
      <w:r w:rsidR="00E770FD">
        <w:t>it</w:t>
      </w:r>
      <w:r w:rsidR="001F6A11">
        <w:t xml:space="preserve"> </w:t>
      </w:r>
      <w:r>
        <w:t xml:space="preserve">stated: </w:t>
      </w:r>
      <w:r w:rsidR="009E28B9">
        <w:t xml:space="preserve"> </w:t>
      </w:r>
      <w:r>
        <w:t xml:space="preserve">“We do note that the Defendant indeed maintains a minimal prior record; however, he has caused the victim in this case substantial emotional harm.  The seriousness of the offenses, the multiple actions, and the extent to which the Defendant went to perpetrate harm on the victim warrants a lengthy period of supervision.  Any lesser sentence in our view would depreciate the seriousness of the offenses.”  </w:t>
      </w:r>
      <w:r w:rsidRPr="007A10EB">
        <w:rPr>
          <w:i/>
          <w:iCs/>
        </w:rPr>
        <w:t>Id.</w:t>
      </w:r>
      <w:r>
        <w:t xml:space="preserve"> at 4.</w:t>
      </w:r>
    </w:p>
  </w:footnote>
  <w:footnote w:id="16">
    <w:p w:rsidR="00325D72" w:rsidP="0026310D" w14:paraId="6004869B" w14:textId="77777777">
      <w:pPr>
        <w:pStyle w:val="FootnoteText"/>
      </w:pPr>
      <w:r>
        <w:rPr>
          <w:rStyle w:val="FootnoteReference"/>
        </w:rPr>
        <w:footnoteRef/>
      </w:r>
      <w:r>
        <w:t xml:space="preserve"> </w:t>
      </w:r>
      <w:r w:rsidRPr="001E5373">
        <w:t>47 U.S.C. § 312(a)(2).</w:t>
      </w:r>
    </w:p>
  </w:footnote>
  <w:footnote w:id="17">
    <w:p w:rsidR="00D20A67" w:rsidP="0026310D" w14:paraId="62BD285E" w14:textId="77777777">
      <w:pPr>
        <w:pStyle w:val="FootnoteText"/>
      </w:pPr>
      <w:r>
        <w:rPr>
          <w:rStyle w:val="FootnoteReference"/>
        </w:rPr>
        <w:footnoteRef/>
      </w:r>
      <w:r>
        <w:t xml:space="preserve"> </w:t>
      </w:r>
      <w:r>
        <w:rPr>
          <w:i/>
          <w:iCs/>
        </w:rPr>
        <w:t>See Policy Regarding Character Qualifications In Broad. Licensing</w:t>
      </w:r>
      <w:r>
        <w:t>, Report, Order, and Policy Statement, 102 F.C.C.2d 1179 (</w:t>
      </w:r>
      <w:r w:rsidRPr="00086B15">
        <w:rPr>
          <w:i/>
          <w:iCs/>
        </w:rPr>
        <w:t>January</w:t>
      </w:r>
      <w:r>
        <w:t xml:space="preserve"> </w:t>
      </w:r>
      <w:r w:rsidRPr="005163EC">
        <w:rPr>
          <w:i/>
          <w:iCs/>
        </w:rPr>
        <w:t>1986 Policy Statement</w:t>
      </w:r>
      <w:r>
        <w:t xml:space="preserve">), </w:t>
      </w:r>
      <w:r>
        <w:rPr>
          <w:i/>
          <w:iCs/>
        </w:rPr>
        <w:t>recon. dismissed/denied</w:t>
      </w:r>
      <w:r>
        <w:t>¸ 1 FCC Rcd 421 (</w:t>
      </w:r>
      <w:r w:rsidRPr="00086B15">
        <w:rPr>
          <w:i/>
          <w:iCs/>
        </w:rPr>
        <w:t>November 1986 Policy Statement</w:t>
      </w:r>
      <w:r>
        <w:t xml:space="preserve">).  </w:t>
      </w:r>
      <w:r>
        <w:rPr>
          <w:i/>
          <w:iCs/>
        </w:rPr>
        <w:t>See also Policy Regarding Character Qualifications in Broad. Licensing</w:t>
      </w:r>
      <w:r>
        <w:t>, Policy Statement and Order, 5 FCC Rcd 3252 (1990) (</w:t>
      </w:r>
      <w:r>
        <w:rPr>
          <w:i/>
          <w:iCs/>
        </w:rPr>
        <w:t>1990 Policy Statement</w:t>
      </w:r>
      <w:r>
        <w:t xml:space="preserve">), </w:t>
      </w:r>
      <w:r>
        <w:rPr>
          <w:i/>
          <w:iCs/>
        </w:rPr>
        <w:t>modified</w:t>
      </w:r>
      <w:r w:rsidRPr="006A7AC5">
        <w:t>,</w:t>
      </w:r>
      <w:r>
        <w:rPr>
          <w:i/>
          <w:iCs/>
        </w:rPr>
        <w:t xml:space="preserve"> </w:t>
      </w:r>
      <w:r>
        <w:t>Memorandum Opinion and Order, 6 FCC Rcd 3448 (1991) (</w:t>
      </w:r>
      <w:r>
        <w:rPr>
          <w:i/>
          <w:iCs/>
        </w:rPr>
        <w:t>1991 Policy Statement)</w:t>
      </w:r>
      <w:r>
        <w:t xml:space="preserve">, </w:t>
      </w:r>
      <w:r>
        <w:rPr>
          <w:i/>
          <w:iCs/>
        </w:rPr>
        <w:t>further modified</w:t>
      </w:r>
      <w:r>
        <w:t xml:space="preserve">, Memorandum Opinion and Order, 7 FCC Rcd 6564 (1992) (collectively, </w:t>
      </w:r>
      <w:r w:rsidRPr="00590E2D">
        <w:rPr>
          <w:i/>
          <w:iCs/>
        </w:rPr>
        <w:t>Character Qualifications Policy Statement</w:t>
      </w:r>
      <w:r>
        <w:t>).</w:t>
      </w:r>
    </w:p>
  </w:footnote>
  <w:footnote w:id="18">
    <w:p w:rsidR="00357790" w:rsidP="0026310D" w14:paraId="14C19464" w14:textId="32A160C9">
      <w:pPr>
        <w:pStyle w:val="FootnoteText"/>
      </w:pPr>
      <w:r>
        <w:rPr>
          <w:rStyle w:val="FootnoteReference"/>
        </w:rPr>
        <w:footnoteRef/>
      </w:r>
      <w:r>
        <w:t xml:space="preserve"> </w:t>
      </w:r>
      <w:r w:rsidR="001E5373">
        <w:t xml:space="preserve">The term “non-FCC misconduct” refers to misconduct other than a violation of the Commission’s rules or the Communications Act. </w:t>
      </w:r>
      <w:r w:rsidR="001E5373">
        <w:rPr>
          <w:i/>
          <w:iCs/>
        </w:rPr>
        <w:t>1986 Character Policy Statement</w:t>
      </w:r>
      <w:r w:rsidR="001E5373">
        <w:t>, 102 F.C.C.2d at 1183 n.11, para. 7</w:t>
      </w:r>
      <w:r w:rsidR="00F22D5F">
        <w:t>.</w:t>
      </w:r>
    </w:p>
  </w:footnote>
  <w:footnote w:id="19">
    <w:p w:rsidR="00D81B99" w:rsidRPr="005163EC" w:rsidP="0026310D" w14:paraId="43811F31" w14:textId="5AA57476">
      <w:pPr>
        <w:pStyle w:val="FootnoteText"/>
      </w:pPr>
      <w:r>
        <w:rPr>
          <w:rStyle w:val="FootnoteReference"/>
        </w:rPr>
        <w:footnoteRef/>
      </w:r>
      <w:r>
        <w:t xml:space="preserve"> </w:t>
      </w:r>
      <w:r>
        <w:rPr>
          <w:i/>
          <w:iCs/>
        </w:rPr>
        <w:t>See 1990 Policy Statement</w:t>
      </w:r>
      <w:r>
        <w:t>, 5 FCC Rcd at 3252</w:t>
      </w:r>
      <w:r w:rsidR="00714AF1">
        <w:t>, para. 4</w:t>
      </w:r>
      <w:r>
        <w:t>.</w:t>
      </w:r>
    </w:p>
  </w:footnote>
  <w:footnote w:id="20">
    <w:p w:rsidR="00D81B99" w:rsidRPr="005163EC" w:rsidP="0026310D" w14:paraId="4B9675C3" w14:textId="77777777">
      <w:pPr>
        <w:pStyle w:val="FootnoteText"/>
        <w:rPr>
          <w:i/>
          <w:iCs/>
        </w:rPr>
      </w:pPr>
      <w:r>
        <w:rPr>
          <w:rStyle w:val="FootnoteReference"/>
        </w:rPr>
        <w:footnoteRef/>
      </w:r>
      <w:r>
        <w:t xml:space="preserve"> </w:t>
      </w:r>
      <w:r>
        <w:rPr>
          <w:i/>
          <w:iCs/>
        </w:rPr>
        <w:t>Id.</w:t>
      </w:r>
    </w:p>
  </w:footnote>
  <w:footnote w:id="21">
    <w:p w:rsidR="00EB0351" w:rsidRPr="00E10631" w:rsidP="0026310D" w14:paraId="0E1D6C59" w14:textId="77777777">
      <w:pPr>
        <w:spacing w:after="120"/>
        <w:rPr>
          <w:color w:val="000000"/>
          <w:sz w:val="20"/>
        </w:rPr>
      </w:pPr>
      <w:r w:rsidRPr="00E10631">
        <w:rPr>
          <w:rStyle w:val="FootnoteReference"/>
        </w:rPr>
        <w:footnoteRef/>
      </w:r>
      <w:r w:rsidRPr="00E10631">
        <w:t xml:space="preserve"> </w:t>
      </w:r>
      <w:r w:rsidRPr="00EB0351">
        <w:rPr>
          <w:i/>
          <w:iCs/>
          <w:sz w:val="20"/>
        </w:rPr>
        <w:t>1990 Policy Statement</w:t>
      </w:r>
      <w:r w:rsidRPr="00EB0351">
        <w:rPr>
          <w:sz w:val="20"/>
        </w:rPr>
        <w:t xml:space="preserve">, 5 FCC Rcd at 3252, and 3254, n.3; </w:t>
      </w:r>
      <w:r w:rsidRPr="00EB0351">
        <w:rPr>
          <w:i/>
          <w:iCs/>
          <w:sz w:val="20"/>
        </w:rPr>
        <w:t>1991 Policy Statement</w:t>
      </w:r>
      <w:r w:rsidRPr="00EB0351">
        <w:rPr>
          <w:sz w:val="20"/>
        </w:rPr>
        <w:t>, 6 FCC Rcd at 3448.</w:t>
      </w:r>
    </w:p>
  </w:footnote>
  <w:footnote w:id="22">
    <w:p w:rsidR="00D81B99" w:rsidRPr="005B16CC" w:rsidP="0026310D" w14:paraId="1E82FDEA" w14:textId="6C7B4641">
      <w:pPr>
        <w:pStyle w:val="FootnoteText"/>
      </w:pPr>
      <w:r>
        <w:rPr>
          <w:rStyle w:val="FootnoteReference"/>
        </w:rPr>
        <w:footnoteRef/>
      </w:r>
      <w:r>
        <w:t xml:space="preserve"> </w:t>
      </w:r>
      <w:r>
        <w:rPr>
          <w:i/>
          <w:iCs/>
        </w:rPr>
        <w:t>1990 Policy Statement</w:t>
      </w:r>
      <w:r>
        <w:t>, 5 FCC Rcd at 3252, p</w:t>
      </w:r>
      <w:r w:rsidRPr="00956C37">
        <w:t>ara. 5 (“</w:t>
      </w:r>
      <w:r w:rsidRPr="00956C37">
        <w:rPr>
          <w:color w:val="000000"/>
          <w:shd w:val="clear" w:color="auto" w:fill="FFFFFF"/>
        </w:rPr>
        <w:t>While conviction for a felony raises questions of whether an applicant or licensee has the requisite propensity to obey the law, we continue to believe that there are mitigating factors that must be taken into consideration in our deliberations</w:t>
      </w:r>
      <w:r w:rsidRPr="00956C37">
        <w:t>.”);</w:t>
      </w:r>
      <w:r w:rsidRPr="00956C37">
        <w:rPr>
          <w:i/>
          <w:iCs/>
        </w:rPr>
        <w:t xml:space="preserve"> </w:t>
      </w:r>
      <w:r w:rsidR="00F84C77">
        <w:rPr>
          <w:i/>
          <w:iCs/>
        </w:rPr>
        <w:t xml:space="preserve">January </w:t>
      </w:r>
      <w:r>
        <w:rPr>
          <w:i/>
          <w:iCs/>
        </w:rPr>
        <w:t>1986 Policy Statement</w:t>
      </w:r>
      <w:r>
        <w:t>, 102 F</w:t>
      </w:r>
      <w:r w:rsidR="00A73F55">
        <w:t>.</w:t>
      </w:r>
      <w:r>
        <w:t>C</w:t>
      </w:r>
      <w:r w:rsidR="00A73F55">
        <w:t>.</w:t>
      </w:r>
      <w:r>
        <w:t>C</w:t>
      </w:r>
      <w:r w:rsidR="00A73F55">
        <w:t>.</w:t>
      </w:r>
      <w:r>
        <w:t>2d at 1227-29, paras. 102-106 (discussion of mitigating factors).</w:t>
      </w:r>
    </w:p>
  </w:footnote>
  <w:footnote w:id="23">
    <w:p w:rsidR="00D81B99" w:rsidRPr="006C293E" w:rsidP="0026310D" w14:paraId="738F69FF" w14:textId="695A43FD">
      <w:pPr>
        <w:pStyle w:val="FootnoteText"/>
      </w:pPr>
      <w:r>
        <w:rPr>
          <w:rStyle w:val="FootnoteReference"/>
        </w:rPr>
        <w:footnoteRef/>
      </w:r>
      <w:r>
        <w:t xml:space="preserve"> </w:t>
      </w:r>
      <w:r w:rsidR="00E35FED">
        <w:rPr>
          <w:i/>
          <w:iCs/>
        </w:rPr>
        <w:t>January 1986 Policy Statement</w:t>
      </w:r>
      <w:r w:rsidR="00A73F55">
        <w:t>, 102 F.C.C.2d</w:t>
      </w:r>
      <w:r>
        <w:rPr>
          <w:i/>
          <w:iCs/>
        </w:rPr>
        <w:t xml:space="preserve"> </w:t>
      </w:r>
      <w:r>
        <w:t>at 1209-20, para</w:t>
      </w:r>
      <w:r w:rsidR="00E35FED">
        <w:t>s</w:t>
      </w:r>
      <w:r>
        <w:t>. 55-57.</w:t>
      </w:r>
    </w:p>
  </w:footnote>
  <w:footnote w:id="24">
    <w:p w:rsidR="00D81B99" w:rsidRPr="00E10631" w:rsidP="0026310D" w14:paraId="5FE255D8" w14:textId="01D36612">
      <w:pPr>
        <w:pStyle w:val="FootnoteText"/>
      </w:pPr>
      <w:r>
        <w:rPr>
          <w:rStyle w:val="FootnoteReference"/>
        </w:rPr>
        <w:footnoteRef/>
      </w:r>
      <w:r>
        <w:t xml:space="preserve"> </w:t>
      </w:r>
      <w:r>
        <w:rPr>
          <w:i/>
          <w:iCs/>
        </w:rPr>
        <w:t xml:space="preserve">1990 </w:t>
      </w:r>
      <w:r w:rsidRPr="00E10631">
        <w:rPr>
          <w:i/>
          <w:iCs/>
        </w:rPr>
        <w:t>Policy Statement</w:t>
      </w:r>
      <w:r w:rsidRPr="00E10631">
        <w:t>, 5 FCC Rcd at 3252, para. 3.</w:t>
      </w:r>
    </w:p>
  </w:footnote>
  <w:footnote w:id="25">
    <w:p w:rsidR="00D81B99" w:rsidRPr="00E10631" w:rsidP="0026310D" w14:paraId="09042334" w14:textId="554239FE">
      <w:pPr>
        <w:pStyle w:val="FootnoteText"/>
      </w:pPr>
      <w:r w:rsidRPr="00E10631">
        <w:rPr>
          <w:rStyle w:val="FootnoteReference"/>
        </w:rPr>
        <w:footnoteRef/>
      </w:r>
      <w:r w:rsidRPr="00E10631">
        <w:t xml:space="preserve"> </w:t>
      </w:r>
      <w:r w:rsidRPr="00E10631">
        <w:rPr>
          <w:i/>
          <w:iCs/>
        </w:rPr>
        <w:t>Id.</w:t>
      </w:r>
      <w:r w:rsidRPr="00E10631" w:rsidR="00E35FED">
        <w:t xml:space="preserve"> at</w:t>
      </w:r>
      <w:r w:rsidRPr="00E10631">
        <w:t xml:space="preserve"> </w:t>
      </w:r>
      <w:r w:rsidRPr="00E10631" w:rsidR="00686990">
        <w:t>3252</w:t>
      </w:r>
      <w:r w:rsidRPr="00E10631" w:rsidR="00880AC6">
        <w:t xml:space="preserve">, </w:t>
      </w:r>
      <w:r w:rsidRPr="00E10631">
        <w:t>para. 4.</w:t>
      </w:r>
    </w:p>
  </w:footnote>
  <w:footnote w:id="26">
    <w:p w:rsidR="00D81B99" w:rsidRPr="00E10631" w:rsidP="0026310D" w14:paraId="495C370C" w14:textId="51A71C19">
      <w:pPr>
        <w:spacing w:after="120"/>
        <w:rPr>
          <w:color w:val="000000"/>
          <w:sz w:val="20"/>
        </w:rPr>
      </w:pPr>
      <w:r w:rsidRPr="00E10631">
        <w:rPr>
          <w:rStyle w:val="FootnoteReference"/>
        </w:rPr>
        <w:footnoteRef/>
      </w:r>
      <w:r w:rsidRPr="00E10631">
        <w:t xml:space="preserve"> </w:t>
      </w:r>
      <w:r w:rsidRPr="00EB0351">
        <w:rPr>
          <w:i/>
          <w:iCs/>
          <w:sz w:val="20"/>
        </w:rPr>
        <w:t>1990 Policy Statement</w:t>
      </w:r>
      <w:r w:rsidRPr="00EB0351">
        <w:rPr>
          <w:sz w:val="20"/>
        </w:rPr>
        <w:t xml:space="preserve">, 5 FCC Rcd at 3252, </w:t>
      </w:r>
      <w:r w:rsidRPr="00EB0351" w:rsidR="00C63B13">
        <w:rPr>
          <w:sz w:val="20"/>
        </w:rPr>
        <w:t xml:space="preserve">and </w:t>
      </w:r>
      <w:r w:rsidRPr="00EB0351">
        <w:rPr>
          <w:sz w:val="20"/>
        </w:rPr>
        <w:t>3254</w:t>
      </w:r>
      <w:r w:rsidRPr="00EB0351" w:rsidR="00612B3B">
        <w:rPr>
          <w:sz w:val="20"/>
        </w:rPr>
        <w:t>,</w:t>
      </w:r>
      <w:r w:rsidRPr="00EB0351">
        <w:rPr>
          <w:sz w:val="20"/>
        </w:rPr>
        <w:t xml:space="preserve"> n.3</w:t>
      </w:r>
      <w:r w:rsidRPr="00EB0351" w:rsidR="00A7350D">
        <w:rPr>
          <w:sz w:val="20"/>
        </w:rPr>
        <w:t xml:space="preserve">; </w:t>
      </w:r>
      <w:r w:rsidRPr="00EB0351" w:rsidR="00A7350D">
        <w:rPr>
          <w:i/>
          <w:iCs/>
          <w:sz w:val="20"/>
        </w:rPr>
        <w:t>1991 Policy Statement</w:t>
      </w:r>
      <w:r w:rsidRPr="00EB0351" w:rsidR="00A7350D">
        <w:rPr>
          <w:sz w:val="20"/>
        </w:rPr>
        <w:t>, 6 FCC Rcd at 3448.</w:t>
      </w:r>
    </w:p>
  </w:footnote>
  <w:footnote w:id="27">
    <w:p w:rsidR="00582AF8" w:rsidRPr="0002090E" w:rsidP="0026310D" w14:paraId="398DE577" w14:textId="644B5C74">
      <w:pPr>
        <w:pStyle w:val="FootnoteText"/>
      </w:pPr>
      <w:r w:rsidRPr="0052506C">
        <w:rPr>
          <w:rStyle w:val="FootnoteReference"/>
        </w:rPr>
        <w:footnoteRef/>
      </w:r>
      <w:r w:rsidRPr="0052506C">
        <w:t xml:space="preserve"> </w:t>
      </w:r>
      <w:r w:rsidRPr="0052506C">
        <w:rPr>
          <w:i/>
          <w:iCs/>
        </w:rPr>
        <w:t>See Williamsburg Cnty. Broad. Corp.</w:t>
      </w:r>
      <w:r w:rsidRPr="0052506C">
        <w:t>, Order to Show Cause and Order Requiring Consolidation, 5 FCC Rcd 3034</w:t>
      </w:r>
      <w:r w:rsidRPr="0052506C" w:rsidR="00660002">
        <w:t>, 3035, para. 13</w:t>
      </w:r>
      <w:r w:rsidRPr="0052506C">
        <w:t xml:space="preserve"> (1990)</w:t>
      </w:r>
      <w:r w:rsidRPr="0052506C" w:rsidR="00660002">
        <w:t xml:space="preserve"> (drug trafficking felony is directly relevant to FCC character qualifications analysis because it shows a callous disregard for the welfare of fellow citizens)</w:t>
      </w:r>
      <w:r w:rsidRPr="0052506C">
        <w:t xml:space="preserve">, license revoked in </w:t>
      </w:r>
      <w:r w:rsidRPr="0052506C">
        <w:rPr>
          <w:i/>
          <w:iCs/>
        </w:rPr>
        <w:t>South Carolina Radio Fellowship</w:t>
      </w:r>
      <w:r w:rsidRPr="0052506C">
        <w:t>, Memorandum Opinion and Order, 6 FCC Rcd 4823 (1991)</w:t>
      </w:r>
      <w:r w:rsidRPr="0052506C" w:rsidR="00660002">
        <w:t>.</w:t>
      </w:r>
      <w:r>
        <w:t xml:space="preserve"> </w:t>
      </w:r>
    </w:p>
  </w:footnote>
  <w:footnote w:id="28">
    <w:p w:rsidR="00BC0097" w:rsidP="0026310D" w14:paraId="7DAE0C1D" w14:textId="2D2ED9CC">
      <w:pPr>
        <w:pStyle w:val="FootnoteText"/>
      </w:pPr>
      <w:r>
        <w:rPr>
          <w:rStyle w:val="FootnoteReference"/>
        </w:rPr>
        <w:footnoteRef/>
      </w:r>
      <w:r>
        <w:t xml:space="preserve"> </w:t>
      </w:r>
      <w:r w:rsidRPr="0015689F">
        <w:rPr>
          <w:i/>
          <w:iCs/>
        </w:rPr>
        <w:t>See supra</w:t>
      </w:r>
      <w:r>
        <w:t xml:space="preserve"> note </w:t>
      </w:r>
      <w:r w:rsidRPr="0026310D">
        <w:t>1</w:t>
      </w:r>
      <w:r w:rsidRPr="0026310D" w:rsidR="00F47604">
        <w:t>3</w:t>
      </w:r>
      <w:r>
        <w:t>.</w:t>
      </w:r>
    </w:p>
  </w:footnote>
  <w:footnote w:id="29">
    <w:p w:rsidR="00D81B99" w:rsidRPr="00853E11" w:rsidP="0026310D" w14:paraId="762CFB14" w14:textId="0B836419">
      <w:pPr>
        <w:pStyle w:val="FootnoteText"/>
      </w:pPr>
      <w:r>
        <w:rPr>
          <w:rStyle w:val="FootnoteReference"/>
        </w:rPr>
        <w:footnoteRef/>
      </w:r>
      <w:r>
        <w:t xml:space="preserve"> </w:t>
      </w:r>
      <w:r w:rsidRPr="00880AC6" w:rsidR="00880AC6">
        <w:rPr>
          <w:i/>
          <w:iCs/>
        </w:rPr>
        <w:t>January</w:t>
      </w:r>
      <w:r w:rsidR="00880AC6">
        <w:t xml:space="preserve"> </w:t>
      </w:r>
      <w:r>
        <w:rPr>
          <w:i/>
          <w:iCs/>
        </w:rPr>
        <w:t>1986 Policy Statement</w:t>
      </w:r>
      <w:r>
        <w:t xml:space="preserve">, </w:t>
      </w:r>
      <w:bookmarkStart w:id="1" w:name="_Hlk83394360"/>
      <w:r>
        <w:t>102 F</w:t>
      </w:r>
      <w:r w:rsidR="00657929">
        <w:t>.</w:t>
      </w:r>
      <w:r>
        <w:t>C</w:t>
      </w:r>
      <w:r w:rsidR="00657929">
        <w:t>.</w:t>
      </w:r>
      <w:r>
        <w:t>C</w:t>
      </w:r>
      <w:r w:rsidR="00657929">
        <w:t>.</w:t>
      </w:r>
      <w:r>
        <w:t xml:space="preserve">2d at </w:t>
      </w:r>
      <w:r w:rsidR="00CB1230">
        <w:t xml:space="preserve">1189, </w:t>
      </w:r>
      <w:bookmarkEnd w:id="1"/>
      <w:r w:rsidR="0052506C">
        <w:t>1232</w:t>
      </w:r>
      <w:r w:rsidR="00612B3B">
        <w:t xml:space="preserve"> para</w:t>
      </w:r>
      <w:r w:rsidR="00CB1230">
        <w:t>s</w:t>
      </w:r>
      <w:r w:rsidR="00612B3B">
        <w:t xml:space="preserve">. </w:t>
      </w:r>
      <w:r w:rsidR="00CB1230">
        <w:t>2</w:t>
      </w:r>
      <w:r w:rsidR="0002090E">
        <w:t>1</w:t>
      </w:r>
      <w:r w:rsidR="00CB1230">
        <w:t xml:space="preserve">, </w:t>
      </w:r>
      <w:r w:rsidR="0052506C">
        <w:t xml:space="preserve">114; </w:t>
      </w:r>
      <w:r w:rsidR="0052506C">
        <w:rPr>
          <w:i/>
          <w:iCs/>
        </w:rPr>
        <w:t xml:space="preserve">see also id. </w:t>
      </w:r>
      <w:r w:rsidR="0052506C">
        <w:t>at 1210, para. 60 (</w:t>
      </w:r>
      <w:r w:rsidRPr="00483B3D" w:rsidR="0052506C">
        <w:t>“</w:t>
      </w:r>
      <w:r w:rsidR="0052506C">
        <w:t xml:space="preserve">[T]he trait of truthfulness is one of the two </w:t>
      </w:r>
      <w:r w:rsidRPr="00483B3D" w:rsidR="0052506C">
        <w:t>key elements of character necessary to operate a broadcast station in the public interest.”</w:t>
      </w:r>
      <w:r w:rsidR="0052506C">
        <w:t>)</w:t>
      </w:r>
      <w:r w:rsidR="00853E11">
        <w:t xml:space="preserve">; </w:t>
      </w:r>
      <w:r w:rsidR="00853E11">
        <w:rPr>
          <w:i/>
          <w:iCs/>
        </w:rPr>
        <w:t xml:space="preserve">id. </w:t>
      </w:r>
      <w:r w:rsidR="00853E11">
        <w:t>at 1211, para. 61 (</w:t>
      </w:r>
      <w:r w:rsidRPr="00483B3D" w:rsidR="00853E11">
        <w:t>“</w:t>
      </w:r>
      <w:r w:rsidR="00853E11">
        <w:t>T</w:t>
      </w:r>
      <w:r w:rsidRPr="00483B3D" w:rsidR="00853E11">
        <w:t xml:space="preserve">he integrity of </w:t>
      </w:r>
      <w:r w:rsidR="00BD73EA">
        <w:t>the Commission’s</w:t>
      </w:r>
      <w:r w:rsidRPr="00483B3D" w:rsidR="00853E11">
        <w:t xml:space="preserve"> processes cannot be maintained without honest dealing . . . by licensees.”</w:t>
      </w:r>
      <w:r w:rsidR="00853E11">
        <w:t xml:space="preserve">); </w:t>
      </w:r>
      <w:r w:rsidRPr="00853E11" w:rsidR="00853E11">
        <w:rPr>
          <w:i/>
          <w:iCs/>
        </w:rPr>
        <w:t xml:space="preserve">1990 Policy Statement, </w:t>
      </w:r>
      <w:r w:rsidRPr="00853E11" w:rsidR="00853E11">
        <w:t xml:space="preserve">5 FCC Rcd </w:t>
      </w:r>
      <w:r w:rsidRPr="008C5904" w:rsidR="00853E11">
        <w:t xml:space="preserve">at </w:t>
      </w:r>
      <w:r w:rsidRPr="00BD73EA" w:rsidR="00853E11">
        <w:t>3252, para</w:t>
      </w:r>
      <w:r w:rsidR="00BD73EA">
        <w:t>s</w:t>
      </w:r>
      <w:r w:rsidRPr="00BD73EA" w:rsidR="00853E11">
        <w:t>. 3</w:t>
      </w:r>
      <w:r w:rsidR="00BD73EA">
        <w:t>-4</w:t>
      </w:r>
      <w:r w:rsidRPr="00BD73EA" w:rsidR="00853E11">
        <w:t xml:space="preserve"> </w:t>
      </w:r>
      <w:r w:rsidR="00BD73EA">
        <w:t>(willingness to violate other laws bears on propensity to comply with Communications Act and Commission rules)</w:t>
      </w:r>
      <w:r w:rsidRPr="00BD73EA">
        <w:t xml:space="preserve">. </w:t>
      </w:r>
    </w:p>
  </w:footnote>
  <w:footnote w:id="30">
    <w:p w:rsidR="00D81B99" w:rsidRPr="006835C3" w:rsidP="0026310D" w14:paraId="4CAA5CBD" w14:textId="4B41E48B">
      <w:pPr>
        <w:pStyle w:val="FootnoteText"/>
        <w:widowControl w:val="0"/>
      </w:pPr>
      <w:r w:rsidRPr="006835C3">
        <w:rPr>
          <w:rStyle w:val="FootnoteReference"/>
        </w:rPr>
        <w:footnoteRef/>
      </w:r>
      <w:r w:rsidRPr="006835C3">
        <w:t xml:space="preserve"> </w:t>
      </w:r>
      <w:bookmarkStart w:id="25" w:name="_Hlk76975795"/>
      <w:r w:rsidRPr="000F0CC7">
        <w:rPr>
          <w:i/>
        </w:rPr>
        <w:t>See</w:t>
      </w:r>
      <w:r w:rsidR="006309DA">
        <w:t xml:space="preserve"> note </w:t>
      </w:r>
      <w:r w:rsidRPr="0026310D" w:rsidR="006309DA">
        <w:t>3</w:t>
      </w:r>
      <w:r w:rsidR="006309DA">
        <w:t xml:space="preserve"> </w:t>
      </w:r>
      <w:r w:rsidRPr="006309DA" w:rsidR="006309DA">
        <w:rPr>
          <w:i/>
          <w:iCs/>
        </w:rPr>
        <w:t>supra</w:t>
      </w:r>
      <w:r>
        <w:t>.</w:t>
      </w:r>
      <w:bookmarkEnd w:id="25"/>
    </w:p>
  </w:footnote>
  <w:footnote w:id="31">
    <w:p w:rsidR="00D81B99" w:rsidP="0026310D" w14:paraId="3EB4A5B0" w14:textId="6AE80365">
      <w:pPr>
        <w:pStyle w:val="FootnoteText"/>
        <w:widowControl w:val="0"/>
      </w:pPr>
      <w:r>
        <w:rPr>
          <w:rStyle w:val="FootnoteReference"/>
        </w:rPr>
        <w:footnoteRef/>
      </w:r>
      <w:r>
        <w:t xml:space="preserve"> 47 U.S.C. § </w:t>
      </w:r>
      <w:r w:rsidR="008D2369">
        <w:t>409</w:t>
      </w:r>
      <w:r>
        <w:t>(a); 47 CFR §§ 1.267, 1.274(c).  That Initial Decision will be subject to review by the Commission pursuant to 47 CFR §§ 1.276-</w:t>
      </w:r>
      <w:r w:rsidR="00242790">
        <w:t>1.</w:t>
      </w:r>
      <w:r>
        <w:t>277 under the circumstances described therein.</w:t>
      </w:r>
    </w:p>
  </w:footnote>
  <w:footnote w:id="32">
    <w:p w:rsidR="005B0140" w:rsidRPr="005B0140" w:rsidP="0026310D" w14:paraId="20D4C848" w14:textId="64D15864">
      <w:pPr>
        <w:shd w:val="clear" w:color="auto" w:fill="FFFFFF"/>
        <w:spacing w:after="120"/>
        <w:textAlignment w:val="baseline"/>
        <w:rPr>
          <w:i/>
          <w:iCs/>
        </w:rPr>
      </w:pPr>
      <w:r>
        <w:rPr>
          <w:rStyle w:val="FootnoteReference"/>
        </w:rPr>
        <w:footnoteRef/>
      </w:r>
      <w:r>
        <w:t xml:space="preserve"> </w:t>
      </w:r>
      <w:r>
        <w:rPr>
          <w:i/>
          <w:iCs/>
        </w:rPr>
        <w:t xml:space="preserve">See </w:t>
      </w:r>
      <w:r w:rsidRPr="003E0C2D">
        <w:rPr>
          <w:i/>
          <w:iCs/>
          <w:color w:val="000000"/>
          <w:sz w:val="20"/>
          <w:bdr w:val="none" w:sz="0" w:space="0" w:color="auto" w:frame="1"/>
        </w:rPr>
        <w:t>Auburn Network, Inc.</w:t>
      </w:r>
      <w:r w:rsidRPr="003E0C2D">
        <w:rPr>
          <w:color w:val="000000"/>
          <w:sz w:val="20"/>
          <w:bdr w:val="none" w:sz="0" w:space="0" w:color="auto" w:frame="1"/>
        </w:rPr>
        <w:t xml:space="preserve">, </w:t>
      </w:r>
      <w:r w:rsidRPr="00711C80" w:rsidR="00711C80">
        <w:rPr>
          <w:i/>
          <w:iCs/>
          <w:color w:val="000000"/>
          <w:sz w:val="20"/>
          <w:bdr w:val="none" w:sz="0" w:space="0" w:color="auto" w:frame="1"/>
        </w:rPr>
        <w:t>supra</w:t>
      </w:r>
      <w:r w:rsidR="00711C80">
        <w:rPr>
          <w:color w:val="000000"/>
          <w:sz w:val="20"/>
          <w:bdr w:val="none" w:sz="0" w:space="0" w:color="auto" w:frame="1"/>
        </w:rPr>
        <w:t>,</w:t>
      </w:r>
      <w:r w:rsidRPr="003E0C2D">
        <w:rPr>
          <w:color w:val="000000"/>
          <w:sz w:val="20"/>
        </w:rPr>
        <w:t xml:space="preserve"> 35 FCC Rcd </w:t>
      </w:r>
      <w:r w:rsidR="00711C80">
        <w:rPr>
          <w:color w:val="000000"/>
          <w:sz w:val="20"/>
        </w:rPr>
        <w:t xml:space="preserve">at </w:t>
      </w:r>
      <w:r>
        <w:rPr>
          <w:color w:val="000000"/>
          <w:sz w:val="20"/>
        </w:rPr>
        <w:t>1288</w:t>
      </w:r>
      <w:r w:rsidRPr="003E0C2D">
        <w:rPr>
          <w:color w:val="000000"/>
          <w:sz w:val="20"/>
        </w:rPr>
        <w:t>.</w:t>
      </w:r>
    </w:p>
  </w:footnote>
  <w:footnote w:id="33">
    <w:p w:rsidR="00782645" w:rsidP="0026310D" w14:paraId="5FE13DF2" w14:textId="77777777">
      <w:pPr>
        <w:pStyle w:val="FootnoteText"/>
      </w:pPr>
      <w:r>
        <w:rPr>
          <w:rStyle w:val="FootnoteReference"/>
        </w:rPr>
        <w:footnoteRef/>
      </w:r>
      <w:r>
        <w:t xml:space="preserve"> 47 CFR </w:t>
      </w:r>
      <w:r w:rsidRPr="00D73845">
        <w:t xml:space="preserve">§ </w:t>
      </w:r>
      <w:r>
        <w:t>1.221(c).</w:t>
      </w:r>
    </w:p>
  </w:footnote>
  <w:footnote w:id="34">
    <w:p w:rsidR="00D81B99" w:rsidRPr="006B75CC" w:rsidP="0026310D" w14:paraId="59B46024" w14:textId="5419ABB3">
      <w:pPr>
        <w:pStyle w:val="FootnoteText"/>
        <w:widowControl w:val="0"/>
      </w:pPr>
      <w:r w:rsidRPr="006835C3">
        <w:rPr>
          <w:rStyle w:val="FootnoteReference"/>
        </w:rPr>
        <w:footnoteRef/>
      </w:r>
      <w:r w:rsidRPr="006835C3">
        <w:t xml:space="preserve"> S</w:t>
      </w:r>
      <w:r w:rsidRPr="00D73845">
        <w:t xml:space="preserve">ection 1.294 of the </w:t>
      </w:r>
      <w:r w:rsidR="00D32EC7">
        <w:t>R</w:t>
      </w:r>
      <w:r w:rsidRPr="00D73845">
        <w:t>ules shall determine the deadlines for oppositions (and replies, if permitted) for most interlocutory motions</w:t>
      </w:r>
      <w:r w:rsidRPr="0049079F">
        <w:t xml:space="preserve"> submitted to the </w:t>
      </w:r>
      <w:r>
        <w:t>presiding officer</w:t>
      </w:r>
      <w:r w:rsidRPr="00F61B8F">
        <w:t xml:space="preserve">.  </w:t>
      </w:r>
      <w:r w:rsidRPr="00F61B8F">
        <w:rPr>
          <w:i/>
          <w:iCs/>
        </w:rPr>
        <w:t xml:space="preserve">See </w:t>
      </w:r>
      <w:r w:rsidRPr="008734D5" w:rsidR="008734D5">
        <w:rPr>
          <w:i/>
          <w:iCs/>
        </w:rPr>
        <w:t>id</w:t>
      </w:r>
      <w:r w:rsidR="008734D5">
        <w:t>.</w:t>
      </w:r>
      <w:r w:rsidRPr="00B57EC5">
        <w:t xml:space="preserve"> § 1.294.  The filing deadlines for oppositions (and replies, if per</w:t>
      </w:r>
      <w:r w:rsidRPr="00782630">
        <w:t xml:space="preserve">mitted) to motions to enlarge, change, or delete issues made pursuant to section 1.229 of the Commission’s rules and motions to intervene made pursuant to section 1.223 of the </w:t>
      </w:r>
      <w:r w:rsidR="00D32EC7">
        <w:t>R</w:t>
      </w:r>
      <w:r w:rsidRPr="00782630">
        <w:t>ules</w:t>
      </w:r>
      <w:r w:rsidRPr="006970E0">
        <w:t>, for example,</w:t>
      </w:r>
      <w:r w:rsidRPr="00F23A54">
        <w:t xml:space="preserve"> shall be at the discretion of the </w:t>
      </w:r>
      <w:r>
        <w:t>presiding officer</w:t>
      </w:r>
      <w:r w:rsidRPr="00F23A54">
        <w:t>.</w:t>
      </w:r>
      <w:r w:rsidRPr="008D50FB">
        <w:t xml:space="preserve"> </w:t>
      </w:r>
    </w:p>
  </w:footnote>
  <w:footnote w:id="35">
    <w:p w:rsidR="00D81B99" w:rsidRPr="00D73845" w:rsidP="0026310D" w14:paraId="77D92309" w14:textId="61D73625">
      <w:pPr>
        <w:pStyle w:val="FootnoteText"/>
        <w:widowControl w:val="0"/>
      </w:pPr>
      <w:r w:rsidRPr="006835C3">
        <w:rPr>
          <w:rStyle w:val="FootnoteReference"/>
        </w:rPr>
        <w:footnoteRef/>
      </w:r>
      <w:r w:rsidRPr="006835C3">
        <w:t xml:space="preserve"> </w:t>
      </w:r>
      <w:r w:rsidRPr="006835C3">
        <w:rPr>
          <w:i/>
          <w:iCs/>
        </w:rPr>
        <w:t>See</w:t>
      </w:r>
      <w:r w:rsidRPr="00D73845">
        <w:t xml:space="preserve"> </w:t>
      </w:r>
      <w:r w:rsidRPr="003F0FA6" w:rsidR="003F0FA6">
        <w:rPr>
          <w:i/>
          <w:iCs/>
        </w:rPr>
        <w:t>id</w:t>
      </w:r>
      <w:r w:rsidR="003F0FA6">
        <w:t>.</w:t>
      </w:r>
      <w:r w:rsidRPr="00D73845">
        <w:t xml:space="preserve"> §§ 1.371-1.37</w:t>
      </w:r>
      <w:r w:rsidR="00335C2F">
        <w:t>5</w:t>
      </w:r>
      <w:r w:rsidRPr="00D73845">
        <w:t>.</w:t>
      </w:r>
    </w:p>
  </w:footnote>
  <w:footnote w:id="36">
    <w:p w:rsidR="00A14F36" w:rsidP="0026310D" w14:paraId="2195B810" w14:textId="7C1AA5B6">
      <w:pPr>
        <w:pStyle w:val="FootnoteText"/>
      </w:pPr>
      <w:r>
        <w:rPr>
          <w:rStyle w:val="FootnoteReference"/>
        </w:rPr>
        <w:footnoteRef/>
      </w:r>
      <w:r>
        <w:t xml:space="preserve"> </w:t>
      </w:r>
      <w:r w:rsidRPr="006835C3" w:rsidR="001C6BC0">
        <w:rPr>
          <w:i/>
          <w:iCs/>
        </w:rPr>
        <w:t>See</w:t>
      </w:r>
      <w:r w:rsidRPr="00D73845" w:rsidR="001C6BC0">
        <w:t xml:space="preserve"> </w:t>
      </w:r>
      <w:r w:rsidRPr="00277E33" w:rsidR="00277E33">
        <w:rPr>
          <w:i/>
          <w:iCs/>
        </w:rPr>
        <w:t>id</w:t>
      </w:r>
      <w:r w:rsidR="00277E33">
        <w:t>.</w:t>
      </w:r>
      <w:r w:rsidRPr="00D73845" w:rsidR="001C6BC0">
        <w:t xml:space="preserve"> § 1.248</w:t>
      </w:r>
      <w:r w:rsidR="001C6BC0">
        <w:t>(b).</w:t>
      </w:r>
    </w:p>
  </w:footnote>
  <w:footnote w:id="37">
    <w:p w:rsidR="00D81B99" w:rsidRPr="00D73845" w:rsidP="0026310D" w14:paraId="602207EE" w14:textId="2A16BE57">
      <w:pPr>
        <w:pStyle w:val="FootnoteText"/>
        <w:widowControl w:val="0"/>
      </w:pPr>
      <w:r w:rsidRPr="006835C3">
        <w:rPr>
          <w:rStyle w:val="FootnoteReference"/>
        </w:rPr>
        <w:footnoteRef/>
      </w:r>
      <w:r w:rsidRPr="006835C3">
        <w:t xml:space="preserve"> </w:t>
      </w:r>
      <w:r w:rsidRPr="006835C3">
        <w:rPr>
          <w:i/>
          <w:iCs/>
        </w:rPr>
        <w:t>See</w:t>
      </w:r>
      <w:r w:rsidRPr="00D73845">
        <w:t xml:space="preserve"> </w:t>
      </w:r>
      <w:r w:rsidRPr="001C6BC0" w:rsidR="001C6BC0">
        <w:rPr>
          <w:i/>
          <w:iCs/>
        </w:rPr>
        <w:t>id</w:t>
      </w:r>
      <w:r w:rsidR="001C6BC0">
        <w:t>.</w:t>
      </w:r>
      <w:r w:rsidRPr="00D73845">
        <w:t xml:space="preserve"> § 1.248.</w:t>
      </w:r>
    </w:p>
  </w:footnote>
  <w:footnote w:id="38">
    <w:p w:rsidR="002211D7" w:rsidP="0026310D" w14:paraId="352D07C7" w14:textId="77777777">
      <w:pPr>
        <w:pStyle w:val="FootnoteText"/>
        <w:widowControl w:val="0"/>
      </w:pPr>
      <w:r>
        <w:rPr>
          <w:rStyle w:val="FootnoteReference"/>
        </w:rPr>
        <w:footnoteRef/>
      </w:r>
      <w:r>
        <w:t xml:space="preserve"> </w:t>
      </w:r>
      <w:r w:rsidRPr="00D73845">
        <w:rPr>
          <w:i/>
          <w:iCs/>
        </w:rPr>
        <w:t>See</w:t>
      </w:r>
      <w:r w:rsidRPr="00D73845">
        <w:t xml:space="preserve"> </w:t>
      </w:r>
      <w:r w:rsidRPr="00D86D2D">
        <w:rPr>
          <w:i/>
          <w:iCs/>
        </w:rPr>
        <w:t>id</w:t>
      </w:r>
      <w:r>
        <w:t>.</w:t>
      </w:r>
      <w:r w:rsidRPr="00D73845">
        <w:t xml:space="preserve"> § 1.246.</w:t>
      </w:r>
    </w:p>
  </w:footnote>
  <w:footnote w:id="39">
    <w:p w:rsidR="002211D7" w:rsidRPr="00D73845" w:rsidP="0026310D" w14:paraId="1B90376F" w14:textId="77777777">
      <w:pPr>
        <w:pStyle w:val="FootnoteText"/>
        <w:widowControl w:val="0"/>
      </w:pPr>
      <w:r w:rsidRPr="006835C3">
        <w:rPr>
          <w:rStyle w:val="FootnoteReference"/>
        </w:rPr>
        <w:footnoteRef/>
      </w:r>
      <w:r w:rsidRPr="006835C3">
        <w:t xml:space="preserve"> </w:t>
      </w:r>
      <w:r w:rsidRPr="00D73845">
        <w:rPr>
          <w:i/>
          <w:iCs/>
        </w:rPr>
        <w:t>See</w:t>
      </w:r>
      <w:r w:rsidRPr="00D73845">
        <w:t xml:space="preserve"> </w:t>
      </w:r>
      <w:r w:rsidRPr="0041613F">
        <w:rPr>
          <w:i/>
          <w:iCs/>
        </w:rPr>
        <w:t>id</w:t>
      </w:r>
      <w:r w:rsidRPr="00D73845">
        <w:t>.</w:t>
      </w:r>
    </w:p>
  </w:footnote>
  <w:footnote w:id="40">
    <w:p w:rsidR="00277E33" w:rsidP="0026310D" w14:paraId="0AD77D4E" w14:textId="34EACDE7">
      <w:pPr>
        <w:pStyle w:val="FootnoteText"/>
      </w:pPr>
      <w:r>
        <w:rPr>
          <w:rStyle w:val="FootnoteReference"/>
        </w:rPr>
        <w:footnoteRef/>
      </w:r>
      <w:r>
        <w:t xml:space="preserve"> </w:t>
      </w:r>
      <w:r w:rsidRPr="00277E33">
        <w:rPr>
          <w:i/>
          <w:iCs/>
        </w:rPr>
        <w:t>See id</w:t>
      </w:r>
      <w:r>
        <w:t xml:space="preserve">. </w:t>
      </w:r>
      <w:r w:rsidRPr="00D73845">
        <w:t>§§</w:t>
      </w:r>
      <w:r>
        <w:t xml:space="preserve"> 1.311.</w:t>
      </w:r>
    </w:p>
  </w:footnote>
  <w:footnote w:id="41">
    <w:p w:rsidR="00277E33" w:rsidP="0026310D" w14:paraId="5E47C559" w14:textId="38C09B48">
      <w:pPr>
        <w:pStyle w:val="FootnoteText"/>
      </w:pPr>
      <w:r>
        <w:rPr>
          <w:rStyle w:val="FootnoteReference"/>
        </w:rPr>
        <w:footnoteRef/>
      </w:r>
      <w:r>
        <w:t xml:space="preserve"> </w:t>
      </w:r>
      <w:r w:rsidRPr="00277E33">
        <w:rPr>
          <w:i/>
          <w:iCs/>
        </w:rPr>
        <w:t>See</w:t>
      </w:r>
      <w:r>
        <w:t xml:space="preserve">, </w:t>
      </w:r>
      <w:r w:rsidRPr="00277E33">
        <w:rPr>
          <w:i/>
          <w:iCs/>
        </w:rPr>
        <w:t>e.g</w:t>
      </w:r>
      <w:r>
        <w:t>.,</w:t>
      </w:r>
      <w:r w:rsidRPr="00277E33">
        <w:rPr>
          <w:i/>
          <w:iCs/>
        </w:rPr>
        <w:t xml:space="preserve"> id</w:t>
      </w:r>
      <w:r>
        <w:t xml:space="preserve">. </w:t>
      </w:r>
      <w:r w:rsidRPr="00D73845">
        <w:t>§§</w:t>
      </w:r>
      <w:r>
        <w:t xml:space="preserve"> 1.315, 1.323, and 1.325. </w:t>
      </w:r>
    </w:p>
  </w:footnote>
  <w:footnote w:id="42">
    <w:p w:rsidR="00D81B99" w:rsidRPr="00D73845" w:rsidP="0026310D" w14:paraId="14971273" w14:textId="60F52F07">
      <w:pPr>
        <w:pStyle w:val="FootnoteText"/>
        <w:widowControl w:val="0"/>
      </w:pPr>
      <w:r w:rsidRPr="006835C3">
        <w:rPr>
          <w:rStyle w:val="FootnoteReference"/>
        </w:rPr>
        <w:footnoteRef/>
      </w:r>
      <w:r w:rsidRPr="006835C3">
        <w:t xml:space="preserve"> </w:t>
      </w:r>
      <w:r w:rsidRPr="001C6BC0" w:rsidR="001C6BC0">
        <w:rPr>
          <w:i/>
          <w:iCs/>
        </w:rPr>
        <w:t>See</w:t>
      </w:r>
      <w:r w:rsidR="001C6BC0">
        <w:rPr>
          <w:i/>
          <w:iCs/>
        </w:rPr>
        <w:t xml:space="preserve"> id.</w:t>
      </w:r>
      <w:r w:rsidRPr="006835C3" w:rsidR="001C6BC0">
        <w:t xml:space="preserve"> </w:t>
      </w:r>
      <w:r w:rsidRPr="006835C3">
        <w:t xml:space="preserve">§ 1.351. </w:t>
      </w:r>
    </w:p>
  </w:footnote>
  <w:footnote w:id="43">
    <w:p w:rsidR="00D81B99" w:rsidRPr="00D73845" w:rsidP="0026310D" w14:paraId="02AB8938" w14:textId="372757C1">
      <w:pPr>
        <w:pStyle w:val="FootnoteText"/>
        <w:widowControl w:val="0"/>
      </w:pPr>
      <w:r w:rsidRPr="006835C3">
        <w:rPr>
          <w:rStyle w:val="FootnoteReference"/>
        </w:rPr>
        <w:footnoteRef/>
      </w:r>
      <w:r w:rsidRPr="006835C3">
        <w:t xml:space="preserve"> </w:t>
      </w:r>
      <w:r w:rsidRPr="006835C3">
        <w:rPr>
          <w:i/>
        </w:rPr>
        <w:t xml:space="preserve">See </w:t>
      </w:r>
      <w:r w:rsidRPr="001C6BC0" w:rsidR="001C6BC0">
        <w:rPr>
          <w:i/>
          <w:iCs/>
        </w:rPr>
        <w:t>id</w:t>
      </w:r>
      <w:r w:rsidR="001C6BC0">
        <w:t>.</w:t>
      </w:r>
      <w:r w:rsidRPr="00D73845">
        <w:t xml:space="preserve"> § 1.223(a).  </w:t>
      </w:r>
    </w:p>
  </w:footnote>
  <w:footnote w:id="44">
    <w:p w:rsidR="00D81B99" w:rsidRPr="00D73845" w:rsidP="0026310D" w14:paraId="09BBC8BE" w14:textId="7B5E5303">
      <w:pPr>
        <w:pStyle w:val="FootnoteText"/>
        <w:widowControl w:val="0"/>
      </w:pPr>
      <w:r w:rsidRPr="006835C3">
        <w:rPr>
          <w:rStyle w:val="FootnoteReference"/>
        </w:rPr>
        <w:footnoteRef/>
      </w:r>
      <w:r w:rsidRPr="006835C3">
        <w:t xml:space="preserve"> </w:t>
      </w:r>
      <w:r w:rsidRPr="006835C3">
        <w:rPr>
          <w:i/>
        </w:rPr>
        <w:t xml:space="preserve">See </w:t>
      </w:r>
      <w:r w:rsidRPr="001C6BC0" w:rsidR="001C6BC0">
        <w:rPr>
          <w:i/>
          <w:iCs/>
        </w:rPr>
        <w:t>id</w:t>
      </w:r>
      <w:r w:rsidR="001C6BC0">
        <w:t xml:space="preserve">. </w:t>
      </w:r>
      <w:r w:rsidRPr="00D73845">
        <w:t>§ 1.223(b).</w:t>
      </w:r>
    </w:p>
  </w:footnote>
  <w:footnote w:id="45">
    <w:p w:rsidR="00D81B99" w:rsidRPr="00D73845" w:rsidP="0026310D" w14:paraId="0410D8A0" w14:textId="6CA39A5D">
      <w:pPr>
        <w:pStyle w:val="FootnoteText"/>
        <w:widowControl w:val="0"/>
      </w:pPr>
      <w:r w:rsidRPr="006835C3">
        <w:rPr>
          <w:rStyle w:val="FootnoteReference"/>
        </w:rPr>
        <w:footnoteRef/>
      </w:r>
      <w:r w:rsidRPr="006835C3">
        <w:t xml:space="preserve"> </w:t>
      </w:r>
      <w:r w:rsidRPr="006835C3">
        <w:rPr>
          <w:i/>
        </w:rPr>
        <w:t>See</w:t>
      </w:r>
      <w:r w:rsidRPr="00D73845">
        <w:t xml:space="preserve"> </w:t>
      </w:r>
      <w:r w:rsidR="001C6BC0">
        <w:t>i</w:t>
      </w:r>
      <w:r w:rsidR="000509AF">
        <w:t>d</w:t>
      </w:r>
      <w:r w:rsidR="00854D85">
        <w:t>.</w:t>
      </w:r>
      <w:r w:rsidRPr="00D73845">
        <w:t xml:space="preserve"> § 1.229.  </w:t>
      </w:r>
    </w:p>
  </w:footnote>
  <w:footnote w:id="46">
    <w:p w:rsidR="00D81B99" w:rsidRPr="006970E0" w:rsidP="0026310D" w14:paraId="1553340E" w14:textId="790A0723">
      <w:pPr>
        <w:pStyle w:val="FootnoteText"/>
        <w:widowControl w:val="0"/>
      </w:pPr>
      <w:r w:rsidRPr="006835C3">
        <w:rPr>
          <w:rStyle w:val="FootnoteReference"/>
        </w:rPr>
        <w:footnoteRef/>
      </w:r>
      <w:r w:rsidRPr="006835C3">
        <w:t xml:space="preserve"> </w:t>
      </w:r>
      <w:r w:rsidRPr="006835C3">
        <w:rPr>
          <w:i/>
        </w:rPr>
        <w:t>See</w:t>
      </w:r>
      <w:r w:rsidRPr="00D73845">
        <w:t xml:space="preserve"> </w:t>
      </w:r>
      <w:r w:rsidRPr="008D1A0B" w:rsidR="008D1A0B">
        <w:rPr>
          <w:i/>
          <w:iCs/>
        </w:rPr>
        <w:t>id</w:t>
      </w:r>
      <w:r w:rsidR="008D1A0B">
        <w:t>.</w:t>
      </w:r>
      <w:r w:rsidRPr="00D73845">
        <w:t xml:space="preserve"> § 1.1208 (“Proceedings in which ex parte presentations are prohibited, referred to as ‘restricted’ proceedings, include . . . all proceedings that have been designated for hearing</w:t>
      </w:r>
      <w:r w:rsidRPr="0049079F">
        <w:t xml:space="preserve"> .</w:t>
      </w:r>
      <w:r w:rsidRPr="00F61B8F">
        <w:t xml:space="preserve"> . .”).  </w:t>
      </w:r>
      <w:r w:rsidRPr="00B57EC5">
        <w:rPr>
          <w:i/>
        </w:rPr>
        <w:t>See also</w:t>
      </w:r>
      <w:r w:rsidRPr="00B57EC5">
        <w:t xml:space="preserve"> </w:t>
      </w:r>
      <w:r w:rsidRPr="000341F7" w:rsidR="000341F7">
        <w:rPr>
          <w:i/>
          <w:iCs/>
        </w:rPr>
        <w:t>id</w:t>
      </w:r>
      <w:r w:rsidR="000341F7">
        <w:t>.</w:t>
      </w:r>
      <w:r w:rsidRPr="00B57EC5">
        <w:t xml:space="preserve"> §§ 1.1202(b) (describing what constitutes an </w:t>
      </w:r>
      <w:r w:rsidRPr="00782630">
        <w:rPr>
          <w:i/>
        </w:rPr>
        <w:t>ex parte</w:t>
      </w:r>
      <w:r w:rsidRPr="00782630">
        <w:t xml:space="preserve"> presentation)</w:t>
      </w:r>
      <w:r>
        <w:t>, 1.1204 (exceptions)</w:t>
      </w:r>
      <w:r w:rsidRPr="00782630">
        <w:t>.</w:t>
      </w:r>
    </w:p>
  </w:footnote>
  <w:footnote w:id="47">
    <w:p w:rsidR="00D81B99" w:rsidP="0026310D" w14:paraId="3400C1AD" w14:textId="10C0B457">
      <w:pPr>
        <w:pStyle w:val="FootnoteText"/>
        <w:widowControl w:val="0"/>
      </w:pPr>
      <w:r>
        <w:rPr>
          <w:rStyle w:val="FootnoteReference"/>
        </w:rPr>
        <w:footnoteRef/>
      </w:r>
      <w:r>
        <w:t xml:space="preserve"> </w:t>
      </w:r>
      <w:r w:rsidRPr="006E19B3">
        <w:rPr>
          <w:i/>
          <w:iCs/>
        </w:rPr>
        <w:t>See</w:t>
      </w:r>
      <w:r>
        <w:t xml:space="preserve"> </w:t>
      </w:r>
      <w:r w:rsidRPr="000341F7" w:rsidR="000341F7">
        <w:rPr>
          <w:i/>
          <w:iCs/>
        </w:rPr>
        <w:t>id</w:t>
      </w:r>
      <w:r w:rsidR="000341F7">
        <w:t>.</w:t>
      </w:r>
      <w:r w:rsidRPr="00D73845">
        <w:t xml:space="preserve"> §</w:t>
      </w:r>
      <w:r>
        <w:t xml:space="preserve"> 1.51.</w:t>
      </w:r>
    </w:p>
  </w:footnote>
  <w:footnote w:id="48">
    <w:p w:rsidR="00D81B99" w:rsidRPr="00D73845" w:rsidP="0026310D" w14:paraId="1C12CC76" w14:textId="77777777">
      <w:pPr>
        <w:pStyle w:val="FootnoteText"/>
        <w:widowControl w:val="0"/>
      </w:pPr>
      <w:r w:rsidRPr="006835C3">
        <w:rPr>
          <w:rStyle w:val="FootnoteReference"/>
        </w:rPr>
        <w:footnoteRef/>
      </w:r>
      <w:r w:rsidRPr="006835C3">
        <w:t xml:space="preserve"> </w:t>
      </w:r>
      <w:r w:rsidRPr="006835C3">
        <w:rPr>
          <w:i/>
          <w:iCs/>
        </w:rPr>
        <w:t>See</w:t>
      </w:r>
      <w:r w:rsidRPr="00D73845">
        <w:t xml:space="preserve"> 47 CFR § 1.209.</w:t>
      </w:r>
    </w:p>
  </w:footnote>
  <w:footnote w:id="49">
    <w:p w:rsidR="00D81B99" w:rsidRPr="00D73845" w:rsidP="0026310D" w14:paraId="183A90B4" w14:textId="672E8FC0">
      <w:pPr>
        <w:pStyle w:val="FootnoteText"/>
        <w:widowControl w:val="0"/>
      </w:pPr>
      <w:r w:rsidRPr="006835C3">
        <w:rPr>
          <w:rStyle w:val="FootnoteReference"/>
        </w:rPr>
        <w:footnoteRef/>
      </w:r>
      <w:r w:rsidRPr="006835C3">
        <w:t xml:space="preserve"> </w:t>
      </w:r>
      <w:r w:rsidRPr="006835C3">
        <w:rPr>
          <w:i/>
        </w:rPr>
        <w:t>See</w:t>
      </w:r>
      <w:r w:rsidRPr="00D73845">
        <w:t xml:space="preserve"> </w:t>
      </w:r>
      <w:r w:rsidRPr="00E545EC" w:rsidR="00E545EC">
        <w:rPr>
          <w:i/>
          <w:iCs/>
        </w:rPr>
        <w:t>id</w:t>
      </w:r>
      <w:r w:rsidR="00E545EC">
        <w:t>.</w:t>
      </w:r>
      <w:r w:rsidR="000B3AC3">
        <w:t xml:space="preserve"> </w:t>
      </w:r>
      <w:r w:rsidRPr="00D73845">
        <w:t>§ 1.314.</w:t>
      </w:r>
    </w:p>
  </w:footnote>
  <w:footnote w:id="50">
    <w:p w:rsidR="00D81B99" w:rsidRPr="00CB2AC5" w:rsidP="0026310D" w14:paraId="19CE07F5" w14:textId="76C7ED5C">
      <w:pPr>
        <w:pStyle w:val="FootnoteText"/>
        <w:widowControl w:val="0"/>
      </w:pPr>
      <w:r w:rsidRPr="00CB2AC5">
        <w:rPr>
          <w:rStyle w:val="FootnoteReference"/>
        </w:rPr>
        <w:footnoteRef/>
      </w:r>
      <w:r w:rsidRPr="00CB2AC5">
        <w:t xml:space="preserve"> </w:t>
      </w:r>
      <w:r w:rsidRPr="00CB2AC5">
        <w:rPr>
          <w:i/>
        </w:rPr>
        <w:t>See</w:t>
      </w:r>
      <w:r w:rsidRPr="00CB2AC5">
        <w:t xml:space="preserve"> </w:t>
      </w:r>
      <w:r w:rsidRPr="00E545EC" w:rsidR="00E545EC">
        <w:rPr>
          <w:i/>
          <w:iCs/>
        </w:rPr>
        <w:t>id</w:t>
      </w:r>
      <w:r w:rsidR="00E545EC">
        <w:t>.</w:t>
      </w:r>
      <w:r w:rsidR="000B3AC3">
        <w:t xml:space="preserve"> </w:t>
      </w:r>
      <w:r w:rsidRPr="00CB2AC5">
        <w:t>§</w:t>
      </w:r>
      <w:r>
        <w:t>§</w:t>
      </w:r>
      <w:r w:rsidRPr="00CB2AC5">
        <w:t xml:space="preserve"> 1.</w:t>
      </w:r>
      <w:r>
        <w:t>267, 1.274(c)</w:t>
      </w:r>
      <w:r w:rsidRPr="00CB2AC5">
        <w:t>.</w:t>
      </w:r>
      <w:r>
        <w:t xml:space="preserve">  </w:t>
      </w:r>
      <w:bookmarkStart w:id="27" w:name="_Hlk61946835"/>
      <w:r>
        <w:t xml:space="preserve">The Initial Decision shall be subject to Commission review as set forth </w:t>
      </w:r>
      <w:r w:rsidRPr="00A51C37">
        <w:rPr>
          <w:i/>
          <w:iCs/>
        </w:rPr>
        <w:t>id.</w:t>
      </w:r>
      <w:r>
        <w:t xml:space="preserve"> </w:t>
      </w:r>
      <w:r w:rsidR="009E44EC">
        <w:t>§</w:t>
      </w:r>
      <w:r w:rsidR="00575C8D">
        <w:t>§</w:t>
      </w:r>
      <w:r w:rsidR="00A2487D">
        <w:t xml:space="preserve"> </w:t>
      </w:r>
      <w:r>
        <w:t>1.276-277.</w:t>
      </w:r>
      <w:bookmarkEnd w:id="27"/>
    </w:p>
  </w:footnote>
  <w:footnote w:id="51">
    <w:p w:rsidR="00D81B99" w:rsidP="0026310D" w14:paraId="45DF9509" w14:textId="2CB19E08">
      <w:pPr>
        <w:pStyle w:val="FootnoteText"/>
      </w:pPr>
      <w:r>
        <w:rPr>
          <w:rStyle w:val="FootnoteReference"/>
        </w:rPr>
        <w:footnoteRef/>
      </w:r>
      <w:r>
        <w:t xml:space="preserve"> 47 U.S.C. §§ 312(a)(2), 312(c).</w:t>
      </w:r>
    </w:p>
  </w:footnote>
  <w:footnote w:id="52">
    <w:p w:rsidR="00D81B99" w:rsidP="0026310D" w14:paraId="02AA2420" w14:textId="785E952C">
      <w:pPr>
        <w:pStyle w:val="FootnoteText"/>
      </w:pPr>
      <w:r>
        <w:rPr>
          <w:rStyle w:val="FootnoteReference"/>
        </w:rPr>
        <w:footnoteRef/>
      </w:r>
      <w:r>
        <w:t xml:space="preserve"> 47 CFR § 1.91(a).</w:t>
      </w:r>
    </w:p>
  </w:footnote>
  <w:footnote w:id="53">
    <w:p w:rsidR="00A506A4" w:rsidRPr="00CB2AC5" w:rsidP="0026310D" w14:paraId="797A44A2" w14:textId="58B2A069">
      <w:pPr>
        <w:pStyle w:val="FootnoteText"/>
        <w:widowControl w:val="0"/>
      </w:pPr>
      <w:r w:rsidRPr="00CB2AC5">
        <w:rPr>
          <w:rStyle w:val="FootnoteReference"/>
        </w:rPr>
        <w:footnoteRef/>
      </w:r>
      <w:r w:rsidRPr="00CB2AC5">
        <w:t xml:space="preserve"> </w:t>
      </w:r>
      <w:r w:rsidRPr="00CB2AC5">
        <w:rPr>
          <w:i/>
          <w:iCs/>
        </w:rPr>
        <w:t>See</w:t>
      </w:r>
      <w:r>
        <w:rPr>
          <w:i/>
          <w:iCs/>
        </w:rPr>
        <w:t xml:space="preserve"> </w:t>
      </w:r>
      <w:r>
        <w:t>47 CFR §§ 0.61, 0.283</w:t>
      </w:r>
      <w:r>
        <w:rPr>
          <w:szCs w:val="22"/>
        </w:rPr>
        <w:t>.</w:t>
      </w:r>
    </w:p>
  </w:footnote>
  <w:footnote w:id="54">
    <w:p w:rsidR="00D81B99" w:rsidP="0026310D" w14:paraId="14A05D3B" w14:textId="5A84DE14">
      <w:pPr>
        <w:pStyle w:val="FootnoteText"/>
      </w:pPr>
      <w:r>
        <w:rPr>
          <w:rStyle w:val="FootnoteReference"/>
        </w:rPr>
        <w:footnoteRef/>
      </w:r>
      <w:r>
        <w:t xml:space="preserve"> </w:t>
      </w:r>
      <w:r>
        <w:rPr>
          <w:i/>
          <w:iCs/>
        </w:rPr>
        <w:t>Id.</w:t>
      </w:r>
      <w:r>
        <w:t xml:space="preserve"> § 312(c); 47 CFR § 1.91(c).</w:t>
      </w:r>
    </w:p>
  </w:footnote>
  <w:footnote w:id="55">
    <w:p w:rsidR="00D81B99" w:rsidP="0026310D" w14:paraId="4F6876EA" w14:textId="5279636B">
      <w:pPr>
        <w:pStyle w:val="FootnoteText"/>
      </w:pPr>
      <w:r>
        <w:rPr>
          <w:rStyle w:val="FootnoteReference"/>
        </w:rPr>
        <w:footnoteRef/>
      </w:r>
      <w:r>
        <w:t xml:space="preserve"> 47 CFR §§ 1.91, 1.92.</w:t>
      </w:r>
    </w:p>
  </w:footnote>
  <w:footnote w:id="56">
    <w:p w:rsidR="00D81B99" w:rsidP="0026310D" w14:paraId="5EA48C5D" w14:textId="44877F54">
      <w:pPr>
        <w:pStyle w:val="FootnoteText"/>
      </w:pPr>
      <w:r>
        <w:rPr>
          <w:rStyle w:val="FootnoteReference"/>
        </w:rPr>
        <w:footnoteRef/>
      </w:r>
      <w:r>
        <w:t xml:space="preserve"> 47 U.S.C. § 312(d); 47 CFR § 1.91(d).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B99" w:rsidP="00E10631" w14:paraId="74D303D6" w14:textId="6F638A35">
    <w:pPr>
      <w:pStyle w:val="Header"/>
    </w:pPr>
    <w:r>
      <w:tab/>
    </w:r>
    <w:r>
      <w:t>Federal Communications Commission</w:t>
    </w:r>
    <w:r>
      <w:tab/>
    </w:r>
    <w:r w:rsidR="008355F0">
      <w:t>DA 21-</w:t>
    </w:r>
    <w:r w:rsidR="00D04938">
      <w:t>1305</w:t>
    </w:r>
  </w:p>
  <w:p w:rsidR="00D81B99" w14:paraId="5E471995" w14:textId="470536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81B99" w14:paraId="68AD583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B99" w:rsidRPr="00483B3D" w:rsidP="00E10631" w14:paraId="4ACA10FA" w14:textId="668DD55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rsidRPr="00483B3D">
      <w:t>Federal Communications Commission</w:t>
    </w:r>
    <w:r w:rsidRPr="00483B3D">
      <w:tab/>
    </w:r>
    <w:r w:rsidRPr="00483B3D" w:rsidR="008355F0">
      <w:t xml:space="preserve">DA </w:t>
    </w:r>
    <w:r w:rsidRPr="00483B3D" w:rsidR="008355F0">
      <w:rPr>
        <w:spacing w:val="-2"/>
      </w:rPr>
      <w:t>21-</w:t>
    </w:r>
    <w:r w:rsidR="00D04938">
      <w:rPr>
        <w:spacing w:val="-2"/>
      </w:rPr>
      <w:t>1305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54007D"/>
    <w:multiLevelType w:val="singleLevel"/>
    <w:tmpl w:val="A50C710A"/>
    <w:lvl w:ilvl="0">
      <w:start w:val="1"/>
      <w:numFmt w:val="decimal"/>
      <w:lvlText w:val="%1."/>
      <w:lvlJc w:val="left"/>
      <w:pPr>
        <w:tabs>
          <w:tab w:val="num" w:pos="810"/>
        </w:tabs>
        <w:ind w:left="-270" w:firstLine="720"/>
      </w:pPr>
      <w:rPr>
        <w:rFonts w:ascii="Times New Roman" w:hAnsi="Times New Roman" w:hint="default"/>
        <w:b w:val="0"/>
        <w:i w:val="0"/>
        <w:u w:val="none"/>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B20F59"/>
    <w:multiLevelType w:val="singleLevel"/>
    <w:tmpl w:val="0DCCB32C"/>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63C3638"/>
    <w:multiLevelType w:val="hybridMultilevel"/>
    <w:tmpl w:val="F3C6A23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7"/>
    <w:lvlOverride w:ilvl="0">
      <w:startOverride w:val="1"/>
    </w:lvlOverride>
  </w:num>
  <w:num w:numId="8">
    <w:abstractNumId w:val="7"/>
  </w:num>
  <w:num w:numId="9">
    <w:abstractNumId w:val="7"/>
  </w:num>
  <w:num w:numId="10">
    <w:abstractNumId w:val="7"/>
  </w:num>
  <w:num w:numId="11">
    <w:abstractNumId w:val="1"/>
  </w:num>
  <w:num w:numId="12">
    <w:abstractNumId w:val="4"/>
  </w:num>
  <w:num w:numId="13">
    <w:abstractNumId w:val="8"/>
  </w:num>
  <w:num w:numId="14">
    <w:abstractNumId w:val="5"/>
    <w:lvlOverride w:ilvl="0">
      <w:startOverride w:val="1"/>
    </w:lvlOverride>
    <w:lvlOverride w:ilvl="1">
      <w:startOverride w:val="2"/>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2"/>
    <w:rsid w:val="00001FD9"/>
    <w:rsid w:val="0000257E"/>
    <w:rsid w:val="00003605"/>
    <w:rsid w:val="000046D9"/>
    <w:rsid w:val="0001215B"/>
    <w:rsid w:val="00012C6D"/>
    <w:rsid w:val="00014860"/>
    <w:rsid w:val="00016141"/>
    <w:rsid w:val="000166AC"/>
    <w:rsid w:val="000201E1"/>
    <w:rsid w:val="0002090E"/>
    <w:rsid w:val="00022A40"/>
    <w:rsid w:val="00025EF4"/>
    <w:rsid w:val="00026ED0"/>
    <w:rsid w:val="00032058"/>
    <w:rsid w:val="000341F7"/>
    <w:rsid w:val="00035C84"/>
    <w:rsid w:val="00036039"/>
    <w:rsid w:val="00037F90"/>
    <w:rsid w:val="000509AF"/>
    <w:rsid w:val="00051875"/>
    <w:rsid w:val="00052C6A"/>
    <w:rsid w:val="00053D0E"/>
    <w:rsid w:val="000601EE"/>
    <w:rsid w:val="00060750"/>
    <w:rsid w:val="000613CB"/>
    <w:rsid w:val="00061591"/>
    <w:rsid w:val="0006218B"/>
    <w:rsid w:val="000635CF"/>
    <w:rsid w:val="00063E22"/>
    <w:rsid w:val="00063F39"/>
    <w:rsid w:val="00067388"/>
    <w:rsid w:val="00072FF0"/>
    <w:rsid w:val="00073D80"/>
    <w:rsid w:val="00074843"/>
    <w:rsid w:val="00077E41"/>
    <w:rsid w:val="00080095"/>
    <w:rsid w:val="000846BB"/>
    <w:rsid w:val="00086755"/>
    <w:rsid w:val="00086B15"/>
    <w:rsid w:val="00086F79"/>
    <w:rsid w:val="000875BF"/>
    <w:rsid w:val="00090876"/>
    <w:rsid w:val="00091FD6"/>
    <w:rsid w:val="00095530"/>
    <w:rsid w:val="00096122"/>
    <w:rsid w:val="00096D8C"/>
    <w:rsid w:val="00096FC0"/>
    <w:rsid w:val="000A284C"/>
    <w:rsid w:val="000A4BBB"/>
    <w:rsid w:val="000A66BC"/>
    <w:rsid w:val="000B05C0"/>
    <w:rsid w:val="000B0AFB"/>
    <w:rsid w:val="000B3AC3"/>
    <w:rsid w:val="000B6A25"/>
    <w:rsid w:val="000B6D74"/>
    <w:rsid w:val="000B6DA2"/>
    <w:rsid w:val="000B7943"/>
    <w:rsid w:val="000C0B65"/>
    <w:rsid w:val="000C182D"/>
    <w:rsid w:val="000C3F5D"/>
    <w:rsid w:val="000C4530"/>
    <w:rsid w:val="000D2E15"/>
    <w:rsid w:val="000D3907"/>
    <w:rsid w:val="000D7DB3"/>
    <w:rsid w:val="000E02CB"/>
    <w:rsid w:val="000E05FE"/>
    <w:rsid w:val="000E3D42"/>
    <w:rsid w:val="000E468B"/>
    <w:rsid w:val="000F003F"/>
    <w:rsid w:val="000F0CC7"/>
    <w:rsid w:val="000F48A5"/>
    <w:rsid w:val="000F61B9"/>
    <w:rsid w:val="000F6C7F"/>
    <w:rsid w:val="0010041B"/>
    <w:rsid w:val="00101E10"/>
    <w:rsid w:val="001061D5"/>
    <w:rsid w:val="00112454"/>
    <w:rsid w:val="001133AE"/>
    <w:rsid w:val="00113A11"/>
    <w:rsid w:val="00115C8E"/>
    <w:rsid w:val="00115D6E"/>
    <w:rsid w:val="00116731"/>
    <w:rsid w:val="00117BC5"/>
    <w:rsid w:val="00117F02"/>
    <w:rsid w:val="0012079C"/>
    <w:rsid w:val="00122BD5"/>
    <w:rsid w:val="001256A6"/>
    <w:rsid w:val="00131344"/>
    <w:rsid w:val="00133F79"/>
    <w:rsid w:val="00134218"/>
    <w:rsid w:val="00136827"/>
    <w:rsid w:val="001437E8"/>
    <w:rsid w:val="00146EC1"/>
    <w:rsid w:val="001547FB"/>
    <w:rsid w:val="0015689F"/>
    <w:rsid w:val="00156FFB"/>
    <w:rsid w:val="00164DCB"/>
    <w:rsid w:val="00167DFB"/>
    <w:rsid w:val="00173436"/>
    <w:rsid w:val="00184784"/>
    <w:rsid w:val="0019274C"/>
    <w:rsid w:val="00192B3C"/>
    <w:rsid w:val="00193C96"/>
    <w:rsid w:val="001943BA"/>
    <w:rsid w:val="0019486C"/>
    <w:rsid w:val="00194A66"/>
    <w:rsid w:val="00197768"/>
    <w:rsid w:val="001A216A"/>
    <w:rsid w:val="001A37A8"/>
    <w:rsid w:val="001A4EE1"/>
    <w:rsid w:val="001A55FE"/>
    <w:rsid w:val="001A6AFA"/>
    <w:rsid w:val="001A6F79"/>
    <w:rsid w:val="001A7CA9"/>
    <w:rsid w:val="001B4A70"/>
    <w:rsid w:val="001B4AF6"/>
    <w:rsid w:val="001B5C97"/>
    <w:rsid w:val="001B71DF"/>
    <w:rsid w:val="001C1621"/>
    <w:rsid w:val="001C33A3"/>
    <w:rsid w:val="001C3B51"/>
    <w:rsid w:val="001C6BC0"/>
    <w:rsid w:val="001D1390"/>
    <w:rsid w:val="001D3604"/>
    <w:rsid w:val="001D6BCF"/>
    <w:rsid w:val="001E01CA"/>
    <w:rsid w:val="001E2BB8"/>
    <w:rsid w:val="001E3A84"/>
    <w:rsid w:val="001E4C4A"/>
    <w:rsid w:val="001E5373"/>
    <w:rsid w:val="001E755C"/>
    <w:rsid w:val="001F0256"/>
    <w:rsid w:val="001F6A11"/>
    <w:rsid w:val="002008C7"/>
    <w:rsid w:val="00201024"/>
    <w:rsid w:val="00202D58"/>
    <w:rsid w:val="00204523"/>
    <w:rsid w:val="002055CF"/>
    <w:rsid w:val="00206882"/>
    <w:rsid w:val="0020782F"/>
    <w:rsid w:val="00212F96"/>
    <w:rsid w:val="00213AD0"/>
    <w:rsid w:val="002144C8"/>
    <w:rsid w:val="002151AE"/>
    <w:rsid w:val="00215877"/>
    <w:rsid w:val="00216056"/>
    <w:rsid w:val="002211D7"/>
    <w:rsid w:val="00226D4B"/>
    <w:rsid w:val="00226D9E"/>
    <w:rsid w:val="00230582"/>
    <w:rsid w:val="00231686"/>
    <w:rsid w:val="00234CA0"/>
    <w:rsid w:val="00235D41"/>
    <w:rsid w:val="002369BD"/>
    <w:rsid w:val="00237B50"/>
    <w:rsid w:val="0024028D"/>
    <w:rsid w:val="00240520"/>
    <w:rsid w:val="002409C0"/>
    <w:rsid w:val="00242790"/>
    <w:rsid w:val="00245A7C"/>
    <w:rsid w:val="00247284"/>
    <w:rsid w:val="00247318"/>
    <w:rsid w:val="00252ED5"/>
    <w:rsid w:val="002544D7"/>
    <w:rsid w:val="00256750"/>
    <w:rsid w:val="0026310D"/>
    <w:rsid w:val="00266F77"/>
    <w:rsid w:val="00266FEE"/>
    <w:rsid w:val="002674FB"/>
    <w:rsid w:val="00273418"/>
    <w:rsid w:val="00275CF5"/>
    <w:rsid w:val="002766F9"/>
    <w:rsid w:val="00277E33"/>
    <w:rsid w:val="00280588"/>
    <w:rsid w:val="002807E3"/>
    <w:rsid w:val="00281E66"/>
    <w:rsid w:val="0028301F"/>
    <w:rsid w:val="0028475D"/>
    <w:rsid w:val="00285017"/>
    <w:rsid w:val="00292602"/>
    <w:rsid w:val="0029312B"/>
    <w:rsid w:val="002946BA"/>
    <w:rsid w:val="00295000"/>
    <w:rsid w:val="00295654"/>
    <w:rsid w:val="00297597"/>
    <w:rsid w:val="002A2D2E"/>
    <w:rsid w:val="002B284B"/>
    <w:rsid w:val="002B3258"/>
    <w:rsid w:val="002B4F3B"/>
    <w:rsid w:val="002C00E8"/>
    <w:rsid w:val="002C2663"/>
    <w:rsid w:val="002C4F81"/>
    <w:rsid w:val="002C7C01"/>
    <w:rsid w:val="002D0E90"/>
    <w:rsid w:val="002D3707"/>
    <w:rsid w:val="002D6D7D"/>
    <w:rsid w:val="002E282D"/>
    <w:rsid w:val="002F364E"/>
    <w:rsid w:val="002F7A95"/>
    <w:rsid w:val="002F7DE6"/>
    <w:rsid w:val="00301792"/>
    <w:rsid w:val="00304F01"/>
    <w:rsid w:val="00306C62"/>
    <w:rsid w:val="003078AB"/>
    <w:rsid w:val="00310AD4"/>
    <w:rsid w:val="00313ABA"/>
    <w:rsid w:val="00317195"/>
    <w:rsid w:val="003202BA"/>
    <w:rsid w:val="0032244A"/>
    <w:rsid w:val="0032446D"/>
    <w:rsid w:val="003250B8"/>
    <w:rsid w:val="00325D72"/>
    <w:rsid w:val="00331D1B"/>
    <w:rsid w:val="00332B50"/>
    <w:rsid w:val="00333E55"/>
    <w:rsid w:val="00333EFA"/>
    <w:rsid w:val="00335C2F"/>
    <w:rsid w:val="00340E4E"/>
    <w:rsid w:val="00341ACD"/>
    <w:rsid w:val="0034311C"/>
    <w:rsid w:val="00343749"/>
    <w:rsid w:val="00347366"/>
    <w:rsid w:val="00350466"/>
    <w:rsid w:val="003506B1"/>
    <w:rsid w:val="00355DE5"/>
    <w:rsid w:val="00356659"/>
    <w:rsid w:val="00357790"/>
    <w:rsid w:val="00361C99"/>
    <w:rsid w:val="00364D73"/>
    <w:rsid w:val="003660ED"/>
    <w:rsid w:val="00367EBB"/>
    <w:rsid w:val="003717C1"/>
    <w:rsid w:val="00371D2B"/>
    <w:rsid w:val="0037228E"/>
    <w:rsid w:val="003749B1"/>
    <w:rsid w:val="00374FE2"/>
    <w:rsid w:val="00376EB5"/>
    <w:rsid w:val="003777D8"/>
    <w:rsid w:val="00380A19"/>
    <w:rsid w:val="003903C8"/>
    <w:rsid w:val="003924CF"/>
    <w:rsid w:val="003A0F1A"/>
    <w:rsid w:val="003A11DA"/>
    <w:rsid w:val="003A12C3"/>
    <w:rsid w:val="003A211A"/>
    <w:rsid w:val="003A6F89"/>
    <w:rsid w:val="003B0550"/>
    <w:rsid w:val="003B6306"/>
    <w:rsid w:val="003B694F"/>
    <w:rsid w:val="003C0362"/>
    <w:rsid w:val="003C397E"/>
    <w:rsid w:val="003C39F2"/>
    <w:rsid w:val="003C4D0F"/>
    <w:rsid w:val="003D1C7C"/>
    <w:rsid w:val="003D1E7F"/>
    <w:rsid w:val="003E005D"/>
    <w:rsid w:val="003E0C2D"/>
    <w:rsid w:val="003E45A2"/>
    <w:rsid w:val="003F0FA6"/>
    <w:rsid w:val="003F171C"/>
    <w:rsid w:val="003F206C"/>
    <w:rsid w:val="003F3463"/>
    <w:rsid w:val="003F47EF"/>
    <w:rsid w:val="0040067E"/>
    <w:rsid w:val="00401285"/>
    <w:rsid w:val="00401A37"/>
    <w:rsid w:val="0040223F"/>
    <w:rsid w:val="00403694"/>
    <w:rsid w:val="00404C8E"/>
    <w:rsid w:val="00407B80"/>
    <w:rsid w:val="00412812"/>
    <w:rsid w:val="00412FC5"/>
    <w:rsid w:val="0041372C"/>
    <w:rsid w:val="004146B2"/>
    <w:rsid w:val="0041613F"/>
    <w:rsid w:val="0041770C"/>
    <w:rsid w:val="00422276"/>
    <w:rsid w:val="004242F1"/>
    <w:rsid w:val="004263FC"/>
    <w:rsid w:val="00426ACD"/>
    <w:rsid w:val="00427B72"/>
    <w:rsid w:val="004313CF"/>
    <w:rsid w:val="00431B46"/>
    <w:rsid w:val="00433C39"/>
    <w:rsid w:val="004423BC"/>
    <w:rsid w:val="00445418"/>
    <w:rsid w:val="00445A00"/>
    <w:rsid w:val="00446971"/>
    <w:rsid w:val="0045134E"/>
    <w:rsid w:val="00451B0F"/>
    <w:rsid w:val="00461141"/>
    <w:rsid w:val="00461D4A"/>
    <w:rsid w:val="004640AE"/>
    <w:rsid w:val="00464108"/>
    <w:rsid w:val="00464D67"/>
    <w:rsid w:val="0046608F"/>
    <w:rsid w:val="00467D4F"/>
    <w:rsid w:val="00470F97"/>
    <w:rsid w:val="00470FF7"/>
    <w:rsid w:val="00471ECC"/>
    <w:rsid w:val="00474274"/>
    <w:rsid w:val="004757AE"/>
    <w:rsid w:val="00481967"/>
    <w:rsid w:val="00481AC5"/>
    <w:rsid w:val="00483B3D"/>
    <w:rsid w:val="0049079F"/>
    <w:rsid w:val="00491310"/>
    <w:rsid w:val="00491AD5"/>
    <w:rsid w:val="004921DC"/>
    <w:rsid w:val="004924D9"/>
    <w:rsid w:val="00493639"/>
    <w:rsid w:val="00493DE7"/>
    <w:rsid w:val="004A1078"/>
    <w:rsid w:val="004A123B"/>
    <w:rsid w:val="004A179C"/>
    <w:rsid w:val="004A1C1A"/>
    <w:rsid w:val="004A71D7"/>
    <w:rsid w:val="004B2148"/>
    <w:rsid w:val="004B2674"/>
    <w:rsid w:val="004B3F9D"/>
    <w:rsid w:val="004B429E"/>
    <w:rsid w:val="004B5F5D"/>
    <w:rsid w:val="004C2EE3"/>
    <w:rsid w:val="004D5B92"/>
    <w:rsid w:val="004D6FEB"/>
    <w:rsid w:val="004E1330"/>
    <w:rsid w:val="004E4A22"/>
    <w:rsid w:val="004F11AF"/>
    <w:rsid w:val="004F3FD2"/>
    <w:rsid w:val="004F5B51"/>
    <w:rsid w:val="004F699C"/>
    <w:rsid w:val="00501900"/>
    <w:rsid w:val="00503C71"/>
    <w:rsid w:val="0050487B"/>
    <w:rsid w:val="005104D8"/>
    <w:rsid w:val="00510602"/>
    <w:rsid w:val="00511968"/>
    <w:rsid w:val="00513A2D"/>
    <w:rsid w:val="005155AE"/>
    <w:rsid w:val="005163EC"/>
    <w:rsid w:val="00520D05"/>
    <w:rsid w:val="0052506C"/>
    <w:rsid w:val="00525330"/>
    <w:rsid w:val="00526AEA"/>
    <w:rsid w:val="00534DF7"/>
    <w:rsid w:val="0053504A"/>
    <w:rsid w:val="00536114"/>
    <w:rsid w:val="0054363A"/>
    <w:rsid w:val="00543E19"/>
    <w:rsid w:val="00543E7D"/>
    <w:rsid w:val="00544E25"/>
    <w:rsid w:val="0054725B"/>
    <w:rsid w:val="005500CB"/>
    <w:rsid w:val="005509B8"/>
    <w:rsid w:val="00551F16"/>
    <w:rsid w:val="005523F5"/>
    <w:rsid w:val="0055614C"/>
    <w:rsid w:val="00557970"/>
    <w:rsid w:val="00557C3F"/>
    <w:rsid w:val="0056490E"/>
    <w:rsid w:val="00566D06"/>
    <w:rsid w:val="0057234E"/>
    <w:rsid w:val="005730E3"/>
    <w:rsid w:val="00574F54"/>
    <w:rsid w:val="005751A9"/>
    <w:rsid w:val="00575C8D"/>
    <w:rsid w:val="00576552"/>
    <w:rsid w:val="00582AF8"/>
    <w:rsid w:val="005832C9"/>
    <w:rsid w:val="00586E40"/>
    <w:rsid w:val="00590E2D"/>
    <w:rsid w:val="00592BF2"/>
    <w:rsid w:val="00594278"/>
    <w:rsid w:val="0059481E"/>
    <w:rsid w:val="005961BB"/>
    <w:rsid w:val="005A07E7"/>
    <w:rsid w:val="005A3EFD"/>
    <w:rsid w:val="005A634C"/>
    <w:rsid w:val="005B0140"/>
    <w:rsid w:val="005B16CC"/>
    <w:rsid w:val="005B7A94"/>
    <w:rsid w:val="005C0BB7"/>
    <w:rsid w:val="005D43CC"/>
    <w:rsid w:val="005D71C4"/>
    <w:rsid w:val="005E0209"/>
    <w:rsid w:val="005E14C2"/>
    <w:rsid w:val="005E16A0"/>
    <w:rsid w:val="005E3E07"/>
    <w:rsid w:val="005E3EF0"/>
    <w:rsid w:val="005E47F4"/>
    <w:rsid w:val="005E7774"/>
    <w:rsid w:val="005F22BD"/>
    <w:rsid w:val="00601003"/>
    <w:rsid w:val="00603B41"/>
    <w:rsid w:val="00603CC0"/>
    <w:rsid w:val="00606218"/>
    <w:rsid w:val="00607BA5"/>
    <w:rsid w:val="00607BD4"/>
    <w:rsid w:val="00607E6A"/>
    <w:rsid w:val="006115FB"/>
    <w:rsid w:val="0061180A"/>
    <w:rsid w:val="00612B3B"/>
    <w:rsid w:val="006151A9"/>
    <w:rsid w:val="006211E9"/>
    <w:rsid w:val="006225F0"/>
    <w:rsid w:val="00623667"/>
    <w:rsid w:val="006257EF"/>
    <w:rsid w:val="00626EB6"/>
    <w:rsid w:val="006309DA"/>
    <w:rsid w:val="00631BDF"/>
    <w:rsid w:val="00631ECA"/>
    <w:rsid w:val="006347E2"/>
    <w:rsid w:val="00634828"/>
    <w:rsid w:val="00634964"/>
    <w:rsid w:val="006359C4"/>
    <w:rsid w:val="0063678D"/>
    <w:rsid w:val="0063780E"/>
    <w:rsid w:val="0064173B"/>
    <w:rsid w:val="00644966"/>
    <w:rsid w:val="0064507A"/>
    <w:rsid w:val="00650CCA"/>
    <w:rsid w:val="006538C9"/>
    <w:rsid w:val="00655AA3"/>
    <w:rsid w:val="00655D03"/>
    <w:rsid w:val="00656438"/>
    <w:rsid w:val="00656D63"/>
    <w:rsid w:val="0065771F"/>
    <w:rsid w:val="00657929"/>
    <w:rsid w:val="00660002"/>
    <w:rsid w:val="00664E96"/>
    <w:rsid w:val="0066542D"/>
    <w:rsid w:val="006661C8"/>
    <w:rsid w:val="006673A8"/>
    <w:rsid w:val="00671404"/>
    <w:rsid w:val="00676839"/>
    <w:rsid w:val="00682FFC"/>
    <w:rsid w:val="00683388"/>
    <w:rsid w:val="006835C3"/>
    <w:rsid w:val="00683F84"/>
    <w:rsid w:val="00684E07"/>
    <w:rsid w:val="0068507C"/>
    <w:rsid w:val="00686990"/>
    <w:rsid w:val="00694575"/>
    <w:rsid w:val="006951F9"/>
    <w:rsid w:val="006953E8"/>
    <w:rsid w:val="0069610B"/>
    <w:rsid w:val="00696DBD"/>
    <w:rsid w:val="006970E0"/>
    <w:rsid w:val="00697198"/>
    <w:rsid w:val="006A5C31"/>
    <w:rsid w:val="006A6A6B"/>
    <w:rsid w:val="006A6A81"/>
    <w:rsid w:val="006A7AC5"/>
    <w:rsid w:val="006B05C6"/>
    <w:rsid w:val="006B100A"/>
    <w:rsid w:val="006B75CC"/>
    <w:rsid w:val="006C175B"/>
    <w:rsid w:val="006C1B98"/>
    <w:rsid w:val="006C293E"/>
    <w:rsid w:val="006C40BF"/>
    <w:rsid w:val="006C6285"/>
    <w:rsid w:val="006C6667"/>
    <w:rsid w:val="006D0CC1"/>
    <w:rsid w:val="006D2F71"/>
    <w:rsid w:val="006E021F"/>
    <w:rsid w:val="006E19B3"/>
    <w:rsid w:val="006E2A58"/>
    <w:rsid w:val="006E2F00"/>
    <w:rsid w:val="006E585E"/>
    <w:rsid w:val="006E63FC"/>
    <w:rsid w:val="006F5AA2"/>
    <w:rsid w:val="006F620D"/>
    <w:rsid w:val="006F730F"/>
    <w:rsid w:val="006F7393"/>
    <w:rsid w:val="006F7626"/>
    <w:rsid w:val="00702091"/>
    <w:rsid w:val="0070224F"/>
    <w:rsid w:val="00705040"/>
    <w:rsid w:val="00706364"/>
    <w:rsid w:val="00706AEF"/>
    <w:rsid w:val="00710150"/>
    <w:rsid w:val="007107C0"/>
    <w:rsid w:val="007115F7"/>
    <w:rsid w:val="00711C80"/>
    <w:rsid w:val="007131B2"/>
    <w:rsid w:val="007148F4"/>
    <w:rsid w:val="00714AF1"/>
    <w:rsid w:val="007155C2"/>
    <w:rsid w:val="00715759"/>
    <w:rsid w:val="0071603F"/>
    <w:rsid w:val="00716B54"/>
    <w:rsid w:val="00716DB8"/>
    <w:rsid w:val="00717491"/>
    <w:rsid w:val="00725C89"/>
    <w:rsid w:val="007330D0"/>
    <w:rsid w:val="00733CD2"/>
    <w:rsid w:val="00733D1E"/>
    <w:rsid w:val="007359D5"/>
    <w:rsid w:val="007412E1"/>
    <w:rsid w:val="00741EBF"/>
    <w:rsid w:val="00743578"/>
    <w:rsid w:val="0075220A"/>
    <w:rsid w:val="007600EC"/>
    <w:rsid w:val="00762842"/>
    <w:rsid w:val="00762F6C"/>
    <w:rsid w:val="00765FBD"/>
    <w:rsid w:val="007677F4"/>
    <w:rsid w:val="00767A4A"/>
    <w:rsid w:val="00771E8E"/>
    <w:rsid w:val="00772B00"/>
    <w:rsid w:val="00772B72"/>
    <w:rsid w:val="00775045"/>
    <w:rsid w:val="0077564B"/>
    <w:rsid w:val="00775FD7"/>
    <w:rsid w:val="0077625B"/>
    <w:rsid w:val="0078126B"/>
    <w:rsid w:val="00782630"/>
    <w:rsid w:val="00782645"/>
    <w:rsid w:val="0078485C"/>
    <w:rsid w:val="00785689"/>
    <w:rsid w:val="007867CF"/>
    <w:rsid w:val="007916DB"/>
    <w:rsid w:val="00793ECB"/>
    <w:rsid w:val="0079754B"/>
    <w:rsid w:val="007A10EB"/>
    <w:rsid w:val="007A1E6D"/>
    <w:rsid w:val="007A26E4"/>
    <w:rsid w:val="007A7779"/>
    <w:rsid w:val="007B0769"/>
    <w:rsid w:val="007B0C06"/>
    <w:rsid w:val="007B0EB2"/>
    <w:rsid w:val="007B14AF"/>
    <w:rsid w:val="007B3C66"/>
    <w:rsid w:val="007B4E90"/>
    <w:rsid w:val="007B642F"/>
    <w:rsid w:val="007B77D3"/>
    <w:rsid w:val="007C0F08"/>
    <w:rsid w:val="007C275B"/>
    <w:rsid w:val="007C46FF"/>
    <w:rsid w:val="007D29F1"/>
    <w:rsid w:val="007D43D1"/>
    <w:rsid w:val="007D7C5B"/>
    <w:rsid w:val="007E3F64"/>
    <w:rsid w:val="007E4C54"/>
    <w:rsid w:val="007E5872"/>
    <w:rsid w:val="007E630F"/>
    <w:rsid w:val="007E6F14"/>
    <w:rsid w:val="007F0287"/>
    <w:rsid w:val="007F3ECC"/>
    <w:rsid w:val="008012CB"/>
    <w:rsid w:val="00801F1B"/>
    <w:rsid w:val="00810B6F"/>
    <w:rsid w:val="00811332"/>
    <w:rsid w:val="00815E37"/>
    <w:rsid w:val="00822CE0"/>
    <w:rsid w:val="008236F9"/>
    <w:rsid w:val="00823820"/>
    <w:rsid w:val="00823DA6"/>
    <w:rsid w:val="00832A37"/>
    <w:rsid w:val="0083481A"/>
    <w:rsid w:val="008355F0"/>
    <w:rsid w:val="0083609F"/>
    <w:rsid w:val="0083663A"/>
    <w:rsid w:val="00836849"/>
    <w:rsid w:val="00837851"/>
    <w:rsid w:val="00841AB1"/>
    <w:rsid w:val="00841E95"/>
    <w:rsid w:val="008431B9"/>
    <w:rsid w:val="00847C3F"/>
    <w:rsid w:val="00850DED"/>
    <w:rsid w:val="00853E11"/>
    <w:rsid w:val="00854D85"/>
    <w:rsid w:val="00856C83"/>
    <w:rsid w:val="008633A8"/>
    <w:rsid w:val="00864258"/>
    <w:rsid w:val="00866952"/>
    <w:rsid w:val="00871619"/>
    <w:rsid w:val="008734D5"/>
    <w:rsid w:val="008747B0"/>
    <w:rsid w:val="008766C3"/>
    <w:rsid w:val="00880AC6"/>
    <w:rsid w:val="00881FF8"/>
    <w:rsid w:val="008820B0"/>
    <w:rsid w:val="00882E82"/>
    <w:rsid w:val="00882E88"/>
    <w:rsid w:val="00883750"/>
    <w:rsid w:val="00884AF5"/>
    <w:rsid w:val="0089050C"/>
    <w:rsid w:val="008915D0"/>
    <w:rsid w:val="00896086"/>
    <w:rsid w:val="0089744E"/>
    <w:rsid w:val="008A08B4"/>
    <w:rsid w:val="008A1B28"/>
    <w:rsid w:val="008A2B85"/>
    <w:rsid w:val="008A777B"/>
    <w:rsid w:val="008A7F21"/>
    <w:rsid w:val="008B09EB"/>
    <w:rsid w:val="008C02E6"/>
    <w:rsid w:val="008C15AB"/>
    <w:rsid w:val="008C1AED"/>
    <w:rsid w:val="008C3A65"/>
    <w:rsid w:val="008C4DB3"/>
    <w:rsid w:val="008C5904"/>
    <w:rsid w:val="008C68F1"/>
    <w:rsid w:val="008C74C3"/>
    <w:rsid w:val="008C756C"/>
    <w:rsid w:val="008D1A0B"/>
    <w:rsid w:val="008D2369"/>
    <w:rsid w:val="008D50FB"/>
    <w:rsid w:val="008D5774"/>
    <w:rsid w:val="008D5F7F"/>
    <w:rsid w:val="008D6202"/>
    <w:rsid w:val="008D67B2"/>
    <w:rsid w:val="008D7177"/>
    <w:rsid w:val="008E1DB6"/>
    <w:rsid w:val="008E3D46"/>
    <w:rsid w:val="008E57C7"/>
    <w:rsid w:val="008E7E93"/>
    <w:rsid w:val="008F005D"/>
    <w:rsid w:val="008F1733"/>
    <w:rsid w:val="008F51C8"/>
    <w:rsid w:val="00914CE0"/>
    <w:rsid w:val="00915919"/>
    <w:rsid w:val="009159C9"/>
    <w:rsid w:val="00921803"/>
    <w:rsid w:val="009219CC"/>
    <w:rsid w:val="00923B61"/>
    <w:rsid w:val="00926503"/>
    <w:rsid w:val="00930511"/>
    <w:rsid w:val="00931259"/>
    <w:rsid w:val="00931536"/>
    <w:rsid w:val="0093231E"/>
    <w:rsid w:val="00933F16"/>
    <w:rsid w:val="009344D9"/>
    <w:rsid w:val="0094325B"/>
    <w:rsid w:val="0094329E"/>
    <w:rsid w:val="00944F8A"/>
    <w:rsid w:val="009517B3"/>
    <w:rsid w:val="00956C37"/>
    <w:rsid w:val="00957B64"/>
    <w:rsid w:val="00967B10"/>
    <w:rsid w:val="009704E7"/>
    <w:rsid w:val="00970533"/>
    <w:rsid w:val="009726D8"/>
    <w:rsid w:val="00972738"/>
    <w:rsid w:val="00972BC2"/>
    <w:rsid w:val="00975C45"/>
    <w:rsid w:val="00975F3D"/>
    <w:rsid w:val="009832AA"/>
    <w:rsid w:val="009849AB"/>
    <w:rsid w:val="0099096E"/>
    <w:rsid w:val="009909FC"/>
    <w:rsid w:val="009963C9"/>
    <w:rsid w:val="00997DA8"/>
    <w:rsid w:val="009A14A6"/>
    <w:rsid w:val="009A53EB"/>
    <w:rsid w:val="009A5B10"/>
    <w:rsid w:val="009B2A4F"/>
    <w:rsid w:val="009B45B6"/>
    <w:rsid w:val="009B7D94"/>
    <w:rsid w:val="009C02A2"/>
    <w:rsid w:val="009C2C67"/>
    <w:rsid w:val="009C7C3C"/>
    <w:rsid w:val="009D2477"/>
    <w:rsid w:val="009D58D1"/>
    <w:rsid w:val="009D5C92"/>
    <w:rsid w:val="009D5E4A"/>
    <w:rsid w:val="009D7308"/>
    <w:rsid w:val="009D783E"/>
    <w:rsid w:val="009E1AFB"/>
    <w:rsid w:val="009E28B9"/>
    <w:rsid w:val="009E44EC"/>
    <w:rsid w:val="009E4FD4"/>
    <w:rsid w:val="009E5E60"/>
    <w:rsid w:val="009E737E"/>
    <w:rsid w:val="009F14C9"/>
    <w:rsid w:val="009F3E3B"/>
    <w:rsid w:val="009F76DB"/>
    <w:rsid w:val="00A00A03"/>
    <w:rsid w:val="00A04B32"/>
    <w:rsid w:val="00A056E5"/>
    <w:rsid w:val="00A05EE7"/>
    <w:rsid w:val="00A07AE5"/>
    <w:rsid w:val="00A10C69"/>
    <w:rsid w:val="00A13EF0"/>
    <w:rsid w:val="00A13F3F"/>
    <w:rsid w:val="00A14F36"/>
    <w:rsid w:val="00A15852"/>
    <w:rsid w:val="00A247A0"/>
    <w:rsid w:val="00A2487D"/>
    <w:rsid w:val="00A32C3B"/>
    <w:rsid w:val="00A35272"/>
    <w:rsid w:val="00A3530A"/>
    <w:rsid w:val="00A36074"/>
    <w:rsid w:val="00A376FF"/>
    <w:rsid w:val="00A3789D"/>
    <w:rsid w:val="00A37911"/>
    <w:rsid w:val="00A37EC6"/>
    <w:rsid w:val="00A402BB"/>
    <w:rsid w:val="00A43B35"/>
    <w:rsid w:val="00A45F4F"/>
    <w:rsid w:val="00A463DF"/>
    <w:rsid w:val="00A46FFE"/>
    <w:rsid w:val="00A506A4"/>
    <w:rsid w:val="00A51C37"/>
    <w:rsid w:val="00A54622"/>
    <w:rsid w:val="00A5582C"/>
    <w:rsid w:val="00A5619D"/>
    <w:rsid w:val="00A600A9"/>
    <w:rsid w:val="00A676B5"/>
    <w:rsid w:val="00A7350D"/>
    <w:rsid w:val="00A73F55"/>
    <w:rsid w:val="00A74A15"/>
    <w:rsid w:val="00A7538F"/>
    <w:rsid w:val="00A81B34"/>
    <w:rsid w:val="00A83BCA"/>
    <w:rsid w:val="00A87B20"/>
    <w:rsid w:val="00A9290D"/>
    <w:rsid w:val="00AA0902"/>
    <w:rsid w:val="00AA155B"/>
    <w:rsid w:val="00AA1A36"/>
    <w:rsid w:val="00AA55B7"/>
    <w:rsid w:val="00AA5B9E"/>
    <w:rsid w:val="00AA6CC7"/>
    <w:rsid w:val="00AA7D8B"/>
    <w:rsid w:val="00AB0782"/>
    <w:rsid w:val="00AB19B6"/>
    <w:rsid w:val="00AB2407"/>
    <w:rsid w:val="00AB53DF"/>
    <w:rsid w:val="00AB657E"/>
    <w:rsid w:val="00AC0A84"/>
    <w:rsid w:val="00AC3DE3"/>
    <w:rsid w:val="00AC59A5"/>
    <w:rsid w:val="00AD03C2"/>
    <w:rsid w:val="00AD63A2"/>
    <w:rsid w:val="00AE2530"/>
    <w:rsid w:val="00AE401F"/>
    <w:rsid w:val="00AE561B"/>
    <w:rsid w:val="00AF20B8"/>
    <w:rsid w:val="00AF3BDA"/>
    <w:rsid w:val="00B05550"/>
    <w:rsid w:val="00B056E2"/>
    <w:rsid w:val="00B07E5C"/>
    <w:rsid w:val="00B1162A"/>
    <w:rsid w:val="00B14651"/>
    <w:rsid w:val="00B16865"/>
    <w:rsid w:val="00B16ABF"/>
    <w:rsid w:val="00B24BF6"/>
    <w:rsid w:val="00B24CAD"/>
    <w:rsid w:val="00B27EE4"/>
    <w:rsid w:val="00B368EB"/>
    <w:rsid w:val="00B40BFF"/>
    <w:rsid w:val="00B42268"/>
    <w:rsid w:val="00B458B1"/>
    <w:rsid w:val="00B45D0C"/>
    <w:rsid w:val="00B52B93"/>
    <w:rsid w:val="00B53FAF"/>
    <w:rsid w:val="00B5543E"/>
    <w:rsid w:val="00B556F1"/>
    <w:rsid w:val="00B57144"/>
    <w:rsid w:val="00B573DD"/>
    <w:rsid w:val="00B578CB"/>
    <w:rsid w:val="00B57EC5"/>
    <w:rsid w:val="00B6269B"/>
    <w:rsid w:val="00B67654"/>
    <w:rsid w:val="00B71088"/>
    <w:rsid w:val="00B71EA2"/>
    <w:rsid w:val="00B72B1A"/>
    <w:rsid w:val="00B752B3"/>
    <w:rsid w:val="00B809CE"/>
    <w:rsid w:val="00B811F7"/>
    <w:rsid w:val="00B840AF"/>
    <w:rsid w:val="00B8476B"/>
    <w:rsid w:val="00B8625B"/>
    <w:rsid w:val="00B8709C"/>
    <w:rsid w:val="00B87613"/>
    <w:rsid w:val="00B90D33"/>
    <w:rsid w:val="00B92F76"/>
    <w:rsid w:val="00B96F62"/>
    <w:rsid w:val="00BA08DE"/>
    <w:rsid w:val="00BA0B6C"/>
    <w:rsid w:val="00BA382B"/>
    <w:rsid w:val="00BA447B"/>
    <w:rsid w:val="00BA57D0"/>
    <w:rsid w:val="00BA5D99"/>
    <w:rsid w:val="00BA5DC6"/>
    <w:rsid w:val="00BA6196"/>
    <w:rsid w:val="00BA6657"/>
    <w:rsid w:val="00BA66C1"/>
    <w:rsid w:val="00BB7027"/>
    <w:rsid w:val="00BB76BF"/>
    <w:rsid w:val="00BC0097"/>
    <w:rsid w:val="00BC49E8"/>
    <w:rsid w:val="00BC6D84"/>
    <w:rsid w:val="00BC6D8C"/>
    <w:rsid w:val="00BD22B7"/>
    <w:rsid w:val="00BD56F5"/>
    <w:rsid w:val="00BD70CC"/>
    <w:rsid w:val="00BD73EA"/>
    <w:rsid w:val="00BE1E6B"/>
    <w:rsid w:val="00BE2580"/>
    <w:rsid w:val="00BE2BD2"/>
    <w:rsid w:val="00BE362C"/>
    <w:rsid w:val="00BE5BB6"/>
    <w:rsid w:val="00BF23D5"/>
    <w:rsid w:val="00BF7B09"/>
    <w:rsid w:val="00C00FED"/>
    <w:rsid w:val="00C02DB7"/>
    <w:rsid w:val="00C06D9B"/>
    <w:rsid w:val="00C07085"/>
    <w:rsid w:val="00C11595"/>
    <w:rsid w:val="00C11E88"/>
    <w:rsid w:val="00C127F0"/>
    <w:rsid w:val="00C12DF7"/>
    <w:rsid w:val="00C12E2E"/>
    <w:rsid w:val="00C16E43"/>
    <w:rsid w:val="00C2031D"/>
    <w:rsid w:val="00C22A4D"/>
    <w:rsid w:val="00C230B5"/>
    <w:rsid w:val="00C25616"/>
    <w:rsid w:val="00C25E5F"/>
    <w:rsid w:val="00C2747E"/>
    <w:rsid w:val="00C34006"/>
    <w:rsid w:val="00C346A8"/>
    <w:rsid w:val="00C35625"/>
    <w:rsid w:val="00C36B4C"/>
    <w:rsid w:val="00C37E42"/>
    <w:rsid w:val="00C426B1"/>
    <w:rsid w:val="00C43224"/>
    <w:rsid w:val="00C46E6F"/>
    <w:rsid w:val="00C50C58"/>
    <w:rsid w:val="00C51776"/>
    <w:rsid w:val="00C52508"/>
    <w:rsid w:val="00C535D6"/>
    <w:rsid w:val="00C53AF4"/>
    <w:rsid w:val="00C54FFA"/>
    <w:rsid w:val="00C60AD9"/>
    <w:rsid w:val="00C62230"/>
    <w:rsid w:val="00C63B13"/>
    <w:rsid w:val="00C66160"/>
    <w:rsid w:val="00C66D16"/>
    <w:rsid w:val="00C71537"/>
    <w:rsid w:val="00C721AC"/>
    <w:rsid w:val="00C72AD6"/>
    <w:rsid w:val="00C74102"/>
    <w:rsid w:val="00C77626"/>
    <w:rsid w:val="00C83CE5"/>
    <w:rsid w:val="00C86F37"/>
    <w:rsid w:val="00C87FE7"/>
    <w:rsid w:val="00C90D6A"/>
    <w:rsid w:val="00C9383A"/>
    <w:rsid w:val="00C9442D"/>
    <w:rsid w:val="00C97B46"/>
    <w:rsid w:val="00CA05AA"/>
    <w:rsid w:val="00CA218D"/>
    <w:rsid w:val="00CA247E"/>
    <w:rsid w:val="00CA6D21"/>
    <w:rsid w:val="00CB0EEB"/>
    <w:rsid w:val="00CB1230"/>
    <w:rsid w:val="00CB2483"/>
    <w:rsid w:val="00CB2AC5"/>
    <w:rsid w:val="00CB2F37"/>
    <w:rsid w:val="00CB2F94"/>
    <w:rsid w:val="00CB4EC8"/>
    <w:rsid w:val="00CB622C"/>
    <w:rsid w:val="00CB783B"/>
    <w:rsid w:val="00CB7E20"/>
    <w:rsid w:val="00CC1C2A"/>
    <w:rsid w:val="00CC2199"/>
    <w:rsid w:val="00CC2EC4"/>
    <w:rsid w:val="00CC372A"/>
    <w:rsid w:val="00CC595C"/>
    <w:rsid w:val="00CC6E2C"/>
    <w:rsid w:val="00CC72B6"/>
    <w:rsid w:val="00CC7A85"/>
    <w:rsid w:val="00CD24D0"/>
    <w:rsid w:val="00CD2D82"/>
    <w:rsid w:val="00CE4EF6"/>
    <w:rsid w:val="00CE72CC"/>
    <w:rsid w:val="00CF1109"/>
    <w:rsid w:val="00CF42AE"/>
    <w:rsid w:val="00CF74D4"/>
    <w:rsid w:val="00D00FE6"/>
    <w:rsid w:val="00D0218D"/>
    <w:rsid w:val="00D04768"/>
    <w:rsid w:val="00D04938"/>
    <w:rsid w:val="00D0535C"/>
    <w:rsid w:val="00D05B5E"/>
    <w:rsid w:val="00D067ED"/>
    <w:rsid w:val="00D076C5"/>
    <w:rsid w:val="00D101AB"/>
    <w:rsid w:val="00D11368"/>
    <w:rsid w:val="00D14292"/>
    <w:rsid w:val="00D14C56"/>
    <w:rsid w:val="00D167D6"/>
    <w:rsid w:val="00D17A30"/>
    <w:rsid w:val="00D20A67"/>
    <w:rsid w:val="00D20A71"/>
    <w:rsid w:val="00D225A8"/>
    <w:rsid w:val="00D22EA7"/>
    <w:rsid w:val="00D25C0E"/>
    <w:rsid w:val="00D25FB5"/>
    <w:rsid w:val="00D305D0"/>
    <w:rsid w:val="00D30CA1"/>
    <w:rsid w:val="00D32EC7"/>
    <w:rsid w:val="00D358BD"/>
    <w:rsid w:val="00D406D6"/>
    <w:rsid w:val="00D42FCE"/>
    <w:rsid w:val="00D44223"/>
    <w:rsid w:val="00D444E6"/>
    <w:rsid w:val="00D45F31"/>
    <w:rsid w:val="00D57217"/>
    <w:rsid w:val="00D6487C"/>
    <w:rsid w:val="00D649C8"/>
    <w:rsid w:val="00D665D3"/>
    <w:rsid w:val="00D666C7"/>
    <w:rsid w:val="00D66A4F"/>
    <w:rsid w:val="00D70025"/>
    <w:rsid w:val="00D73571"/>
    <w:rsid w:val="00D73845"/>
    <w:rsid w:val="00D73C34"/>
    <w:rsid w:val="00D753C2"/>
    <w:rsid w:val="00D80CBF"/>
    <w:rsid w:val="00D81B99"/>
    <w:rsid w:val="00D82226"/>
    <w:rsid w:val="00D85423"/>
    <w:rsid w:val="00D86AED"/>
    <w:rsid w:val="00D86CE3"/>
    <w:rsid w:val="00D86D2D"/>
    <w:rsid w:val="00D873F4"/>
    <w:rsid w:val="00D876A4"/>
    <w:rsid w:val="00D879C5"/>
    <w:rsid w:val="00D87ADB"/>
    <w:rsid w:val="00D90D69"/>
    <w:rsid w:val="00D912B7"/>
    <w:rsid w:val="00D916B6"/>
    <w:rsid w:val="00D91D07"/>
    <w:rsid w:val="00D92A2F"/>
    <w:rsid w:val="00D9326F"/>
    <w:rsid w:val="00D937F2"/>
    <w:rsid w:val="00D965D7"/>
    <w:rsid w:val="00D977B7"/>
    <w:rsid w:val="00DA10A4"/>
    <w:rsid w:val="00DA2492"/>
    <w:rsid w:val="00DA2529"/>
    <w:rsid w:val="00DB01AC"/>
    <w:rsid w:val="00DB0572"/>
    <w:rsid w:val="00DB130A"/>
    <w:rsid w:val="00DB2B30"/>
    <w:rsid w:val="00DB2EBB"/>
    <w:rsid w:val="00DB374A"/>
    <w:rsid w:val="00DB4800"/>
    <w:rsid w:val="00DB54D9"/>
    <w:rsid w:val="00DB5689"/>
    <w:rsid w:val="00DB5B32"/>
    <w:rsid w:val="00DB5F49"/>
    <w:rsid w:val="00DC08D7"/>
    <w:rsid w:val="00DC10A1"/>
    <w:rsid w:val="00DC23C0"/>
    <w:rsid w:val="00DC655F"/>
    <w:rsid w:val="00DD0B59"/>
    <w:rsid w:val="00DD17C5"/>
    <w:rsid w:val="00DD7EBD"/>
    <w:rsid w:val="00DE1C8C"/>
    <w:rsid w:val="00DE26FF"/>
    <w:rsid w:val="00DE31B7"/>
    <w:rsid w:val="00DE3D95"/>
    <w:rsid w:val="00DE608E"/>
    <w:rsid w:val="00DF2C47"/>
    <w:rsid w:val="00DF3631"/>
    <w:rsid w:val="00DF372A"/>
    <w:rsid w:val="00DF62B6"/>
    <w:rsid w:val="00DF7667"/>
    <w:rsid w:val="00E03BB6"/>
    <w:rsid w:val="00E05733"/>
    <w:rsid w:val="00E058C3"/>
    <w:rsid w:val="00E07225"/>
    <w:rsid w:val="00E07DDA"/>
    <w:rsid w:val="00E10631"/>
    <w:rsid w:val="00E12068"/>
    <w:rsid w:val="00E16DBA"/>
    <w:rsid w:val="00E206B5"/>
    <w:rsid w:val="00E20865"/>
    <w:rsid w:val="00E208E9"/>
    <w:rsid w:val="00E237FA"/>
    <w:rsid w:val="00E23ECF"/>
    <w:rsid w:val="00E25023"/>
    <w:rsid w:val="00E30676"/>
    <w:rsid w:val="00E31363"/>
    <w:rsid w:val="00E31CFE"/>
    <w:rsid w:val="00E32AF7"/>
    <w:rsid w:val="00E3395B"/>
    <w:rsid w:val="00E35FED"/>
    <w:rsid w:val="00E36715"/>
    <w:rsid w:val="00E367E0"/>
    <w:rsid w:val="00E42FD5"/>
    <w:rsid w:val="00E444C6"/>
    <w:rsid w:val="00E4468E"/>
    <w:rsid w:val="00E44B2B"/>
    <w:rsid w:val="00E46746"/>
    <w:rsid w:val="00E46E21"/>
    <w:rsid w:val="00E474A3"/>
    <w:rsid w:val="00E479EF"/>
    <w:rsid w:val="00E5166F"/>
    <w:rsid w:val="00E52C8A"/>
    <w:rsid w:val="00E5409F"/>
    <w:rsid w:val="00E545EC"/>
    <w:rsid w:val="00E55D2E"/>
    <w:rsid w:val="00E56B6E"/>
    <w:rsid w:val="00E5759B"/>
    <w:rsid w:val="00E57907"/>
    <w:rsid w:val="00E64818"/>
    <w:rsid w:val="00E64FF5"/>
    <w:rsid w:val="00E671EE"/>
    <w:rsid w:val="00E715A2"/>
    <w:rsid w:val="00E72303"/>
    <w:rsid w:val="00E734DD"/>
    <w:rsid w:val="00E7385A"/>
    <w:rsid w:val="00E74DC1"/>
    <w:rsid w:val="00E770FD"/>
    <w:rsid w:val="00E81284"/>
    <w:rsid w:val="00E818A1"/>
    <w:rsid w:val="00E862E5"/>
    <w:rsid w:val="00E86345"/>
    <w:rsid w:val="00E93660"/>
    <w:rsid w:val="00E96D4A"/>
    <w:rsid w:val="00EA09EB"/>
    <w:rsid w:val="00EA2A68"/>
    <w:rsid w:val="00EA5215"/>
    <w:rsid w:val="00EA6BBD"/>
    <w:rsid w:val="00EA7F4F"/>
    <w:rsid w:val="00EB0351"/>
    <w:rsid w:val="00EB2863"/>
    <w:rsid w:val="00EB4C03"/>
    <w:rsid w:val="00EB7471"/>
    <w:rsid w:val="00EC4D12"/>
    <w:rsid w:val="00ED4590"/>
    <w:rsid w:val="00EE3E2F"/>
    <w:rsid w:val="00EE6488"/>
    <w:rsid w:val="00EE64DC"/>
    <w:rsid w:val="00EE767E"/>
    <w:rsid w:val="00EF1B53"/>
    <w:rsid w:val="00EF1E19"/>
    <w:rsid w:val="00EF2321"/>
    <w:rsid w:val="00EF36EA"/>
    <w:rsid w:val="00EF4830"/>
    <w:rsid w:val="00F01D7F"/>
    <w:rsid w:val="00F021FA"/>
    <w:rsid w:val="00F031F9"/>
    <w:rsid w:val="00F03477"/>
    <w:rsid w:val="00F048C2"/>
    <w:rsid w:val="00F107C3"/>
    <w:rsid w:val="00F12ADA"/>
    <w:rsid w:val="00F15F2D"/>
    <w:rsid w:val="00F2207F"/>
    <w:rsid w:val="00F2272F"/>
    <w:rsid w:val="00F227E9"/>
    <w:rsid w:val="00F22D5F"/>
    <w:rsid w:val="00F22F9F"/>
    <w:rsid w:val="00F23A54"/>
    <w:rsid w:val="00F243C5"/>
    <w:rsid w:val="00F24ECE"/>
    <w:rsid w:val="00F32DA1"/>
    <w:rsid w:val="00F33CA2"/>
    <w:rsid w:val="00F44DC8"/>
    <w:rsid w:val="00F4556F"/>
    <w:rsid w:val="00F46C2A"/>
    <w:rsid w:val="00F47604"/>
    <w:rsid w:val="00F50B62"/>
    <w:rsid w:val="00F5269B"/>
    <w:rsid w:val="00F5289F"/>
    <w:rsid w:val="00F55CEC"/>
    <w:rsid w:val="00F56A89"/>
    <w:rsid w:val="00F5736D"/>
    <w:rsid w:val="00F57925"/>
    <w:rsid w:val="00F61243"/>
    <w:rsid w:val="00F61B8F"/>
    <w:rsid w:val="00F62E3A"/>
    <w:rsid w:val="00F62E97"/>
    <w:rsid w:val="00F6331E"/>
    <w:rsid w:val="00F64209"/>
    <w:rsid w:val="00F6714B"/>
    <w:rsid w:val="00F716DE"/>
    <w:rsid w:val="00F72FBC"/>
    <w:rsid w:val="00F7504F"/>
    <w:rsid w:val="00F8400E"/>
    <w:rsid w:val="00F84C77"/>
    <w:rsid w:val="00F871E3"/>
    <w:rsid w:val="00F90C71"/>
    <w:rsid w:val="00F91AC9"/>
    <w:rsid w:val="00F92ED3"/>
    <w:rsid w:val="00F93BF5"/>
    <w:rsid w:val="00F94921"/>
    <w:rsid w:val="00F950BD"/>
    <w:rsid w:val="00FB10F4"/>
    <w:rsid w:val="00FB67B8"/>
    <w:rsid w:val="00FB6F58"/>
    <w:rsid w:val="00FB7D2D"/>
    <w:rsid w:val="00FC2BFC"/>
    <w:rsid w:val="00FC38D6"/>
    <w:rsid w:val="00FC4341"/>
    <w:rsid w:val="00FD26C3"/>
    <w:rsid w:val="00FD31D8"/>
    <w:rsid w:val="00FD6EAA"/>
    <w:rsid w:val="00FD7B78"/>
    <w:rsid w:val="00FE6BA6"/>
    <w:rsid w:val="00FF6E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2DA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04938"/>
    <w:pPr>
      <w:widowControl w:val="0"/>
    </w:pPr>
    <w:rPr>
      <w:snapToGrid w:val="0"/>
      <w:kern w:val="28"/>
      <w:sz w:val="22"/>
    </w:rPr>
  </w:style>
  <w:style w:type="paragraph" w:styleId="Heading1">
    <w:name w:val="heading 1"/>
    <w:basedOn w:val="Normal"/>
    <w:next w:val="ParaNum"/>
    <w:qFormat/>
    <w:rsid w:val="00D049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04938"/>
    <w:pPr>
      <w:keepNext/>
      <w:numPr>
        <w:ilvl w:val="1"/>
        <w:numId w:val="3"/>
      </w:numPr>
      <w:spacing w:after="120"/>
      <w:outlineLvl w:val="1"/>
    </w:pPr>
    <w:rPr>
      <w:b/>
    </w:rPr>
  </w:style>
  <w:style w:type="paragraph" w:styleId="Heading3">
    <w:name w:val="heading 3"/>
    <w:basedOn w:val="Normal"/>
    <w:next w:val="ParaNum"/>
    <w:qFormat/>
    <w:rsid w:val="00D04938"/>
    <w:pPr>
      <w:keepNext/>
      <w:numPr>
        <w:ilvl w:val="2"/>
        <w:numId w:val="3"/>
      </w:numPr>
      <w:tabs>
        <w:tab w:val="left" w:pos="2160"/>
      </w:tabs>
      <w:spacing w:after="120"/>
      <w:outlineLvl w:val="2"/>
    </w:pPr>
    <w:rPr>
      <w:b/>
    </w:rPr>
  </w:style>
  <w:style w:type="paragraph" w:styleId="Heading4">
    <w:name w:val="heading 4"/>
    <w:basedOn w:val="Normal"/>
    <w:next w:val="ParaNum"/>
    <w:qFormat/>
    <w:rsid w:val="00D04938"/>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D0493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D04938"/>
    <w:pPr>
      <w:numPr>
        <w:ilvl w:val="5"/>
        <w:numId w:val="3"/>
      </w:numPr>
      <w:tabs>
        <w:tab w:val="left" w:pos="4320"/>
      </w:tabs>
      <w:spacing w:after="120"/>
      <w:outlineLvl w:val="5"/>
    </w:pPr>
    <w:rPr>
      <w:b/>
    </w:rPr>
  </w:style>
  <w:style w:type="paragraph" w:styleId="Heading7">
    <w:name w:val="heading 7"/>
    <w:basedOn w:val="Normal"/>
    <w:next w:val="ParaNum"/>
    <w:qFormat/>
    <w:rsid w:val="00D049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493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049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49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938"/>
  </w:style>
  <w:style w:type="paragraph" w:customStyle="1" w:styleId="ParaNum">
    <w:name w:val="ParaNum"/>
    <w:basedOn w:val="Normal"/>
    <w:link w:val="ParaNumChar"/>
    <w:rsid w:val="00D04938"/>
    <w:pPr>
      <w:numPr>
        <w:numId w:val="2"/>
      </w:numPr>
      <w:tabs>
        <w:tab w:val="clear" w:pos="1080"/>
        <w:tab w:val="num" w:pos="1440"/>
      </w:tabs>
      <w:spacing w:after="120"/>
    </w:pPr>
  </w:style>
  <w:style w:type="paragraph" w:styleId="EndnoteText">
    <w:name w:val="endnote text"/>
    <w:basedOn w:val="Normal"/>
    <w:semiHidden/>
    <w:rsid w:val="00D04938"/>
    <w:rPr>
      <w:sz w:val="20"/>
    </w:rPr>
  </w:style>
  <w:style w:type="character" w:styleId="EndnoteReference">
    <w:name w:val="endnote reference"/>
    <w:semiHidden/>
    <w:rsid w:val="00D04938"/>
    <w:rPr>
      <w:vertAlign w:val="superscript"/>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link w:val="FootnoteTextChar2"/>
    <w:rsid w:val="00D04938"/>
    <w:pPr>
      <w:spacing w:after="120"/>
    </w:pPr>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D04938"/>
    <w:rPr>
      <w:rFonts w:ascii="Times New Roman" w:hAnsi="Times New Roman"/>
      <w:dstrike w:val="0"/>
      <w:color w:val="auto"/>
      <w:sz w:val="20"/>
      <w:vertAlign w:val="superscript"/>
    </w:rPr>
  </w:style>
  <w:style w:type="paragraph" w:styleId="TOC1">
    <w:name w:val="toc 1"/>
    <w:basedOn w:val="Normal"/>
    <w:next w:val="Normal"/>
    <w:semiHidden/>
    <w:rsid w:val="00D049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4938"/>
    <w:pPr>
      <w:tabs>
        <w:tab w:val="left" w:pos="720"/>
        <w:tab w:val="right" w:leader="dot" w:pos="9360"/>
      </w:tabs>
      <w:suppressAutoHyphens/>
      <w:ind w:left="720" w:right="720" w:hanging="360"/>
    </w:pPr>
    <w:rPr>
      <w:noProof/>
    </w:rPr>
  </w:style>
  <w:style w:type="paragraph" w:styleId="TOC3">
    <w:name w:val="toc 3"/>
    <w:basedOn w:val="Normal"/>
    <w:next w:val="Normal"/>
    <w:semiHidden/>
    <w:rsid w:val="00D049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49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49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49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49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49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49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4938"/>
    <w:pPr>
      <w:tabs>
        <w:tab w:val="right" w:pos="9360"/>
      </w:tabs>
      <w:suppressAutoHyphens/>
    </w:pPr>
  </w:style>
  <w:style w:type="character" w:customStyle="1" w:styleId="EquationCaption">
    <w:name w:val="_Equation Caption"/>
    <w:rsid w:val="00D04938"/>
  </w:style>
  <w:style w:type="paragraph" w:styleId="Header">
    <w:name w:val="header"/>
    <w:basedOn w:val="Normal"/>
    <w:autoRedefine/>
    <w:rsid w:val="00D04938"/>
    <w:pPr>
      <w:tabs>
        <w:tab w:val="center" w:pos="4680"/>
        <w:tab w:val="right" w:pos="9360"/>
      </w:tabs>
    </w:pPr>
    <w:rPr>
      <w:b/>
    </w:rPr>
  </w:style>
  <w:style w:type="paragraph" w:styleId="Footer">
    <w:name w:val="footer"/>
    <w:basedOn w:val="Normal"/>
    <w:link w:val="FooterChar"/>
    <w:uiPriority w:val="99"/>
    <w:rsid w:val="00D04938"/>
    <w:pPr>
      <w:tabs>
        <w:tab w:val="center" w:pos="4320"/>
        <w:tab w:val="right" w:pos="8640"/>
      </w:tabs>
    </w:pPr>
  </w:style>
  <w:style w:type="character" w:styleId="PageNumber">
    <w:name w:val="page number"/>
    <w:basedOn w:val="DefaultParagraphFont"/>
    <w:rsid w:val="00D04938"/>
  </w:style>
  <w:style w:type="paragraph" w:styleId="BlockText">
    <w:name w:val="Block Text"/>
    <w:basedOn w:val="Normal"/>
    <w:rsid w:val="00D04938"/>
    <w:pPr>
      <w:spacing w:after="240"/>
      <w:ind w:left="1440" w:right="1440"/>
    </w:pPr>
  </w:style>
  <w:style w:type="paragraph" w:customStyle="1" w:styleId="Paratitle">
    <w:name w:val="Para title"/>
    <w:basedOn w:val="Normal"/>
    <w:rsid w:val="00D04938"/>
    <w:pPr>
      <w:tabs>
        <w:tab w:val="center" w:pos="9270"/>
      </w:tabs>
      <w:spacing w:after="240"/>
    </w:pPr>
    <w:rPr>
      <w:spacing w:val="-2"/>
    </w:rPr>
  </w:style>
  <w:style w:type="paragraph" w:customStyle="1" w:styleId="Bullet">
    <w:name w:val="Bullet"/>
    <w:basedOn w:val="Normal"/>
    <w:rsid w:val="00D04938"/>
    <w:pPr>
      <w:tabs>
        <w:tab w:val="left" w:pos="2160"/>
      </w:tabs>
      <w:spacing w:after="220"/>
      <w:ind w:left="2160" w:hanging="720"/>
    </w:pPr>
  </w:style>
  <w:style w:type="paragraph" w:customStyle="1" w:styleId="TableFormat">
    <w:name w:val="TableFormat"/>
    <w:basedOn w:val="Bullet"/>
    <w:rsid w:val="00D04938"/>
    <w:pPr>
      <w:tabs>
        <w:tab w:val="clear" w:pos="2160"/>
        <w:tab w:val="left" w:pos="5040"/>
      </w:tabs>
      <w:ind w:left="5040" w:hanging="3600"/>
    </w:pPr>
  </w:style>
  <w:style w:type="paragraph" w:customStyle="1" w:styleId="TOCTitle">
    <w:name w:val="TOC Title"/>
    <w:basedOn w:val="Normal"/>
    <w:rsid w:val="00D049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4938"/>
    <w:pPr>
      <w:jc w:val="center"/>
    </w:pPr>
    <w:rPr>
      <w:rFonts w:ascii="Times New Roman Bold" w:hAnsi="Times New Roman Bold"/>
      <w:b/>
      <w:bCs/>
      <w:caps/>
      <w:szCs w:val="22"/>
    </w:rPr>
  </w:style>
  <w:style w:type="character" w:styleId="Hyperlink">
    <w:name w:val="Hyperlink"/>
    <w:rsid w:val="00D04938"/>
    <w:rPr>
      <w:color w:val="0000FF"/>
      <w:u w:val="single"/>
    </w:rPr>
  </w:style>
  <w:style w:type="character" w:customStyle="1" w:styleId="FooterChar">
    <w:name w:val="Footer Char"/>
    <w:link w:val="Footer"/>
    <w:uiPriority w:val="99"/>
    <w:rsid w:val="00D04938"/>
    <w:rPr>
      <w:snapToGrid w:val="0"/>
      <w:kern w:val="28"/>
      <w:sz w:val="22"/>
    </w:rPr>
  </w:style>
  <w:style w:type="character" w:customStyle="1" w:styleId="ParaNumChar">
    <w:name w:val="ParaNum Char"/>
    <w:link w:val="ParaNum"/>
    <w:locked/>
    <w:rsid w:val="00E4468E"/>
    <w:rPr>
      <w:snapToGrid w:val="0"/>
      <w:kern w:val="28"/>
      <w:sz w:val="22"/>
    </w:rPr>
  </w:style>
  <w:style w:type="paragraph" w:styleId="BalloonText">
    <w:name w:val="Balloon Text"/>
    <w:basedOn w:val="Normal"/>
    <w:link w:val="BalloonTextChar"/>
    <w:rsid w:val="00590E2D"/>
    <w:rPr>
      <w:rFonts w:ascii="Segoe UI" w:hAnsi="Segoe UI" w:cs="Segoe UI"/>
      <w:sz w:val="18"/>
      <w:szCs w:val="18"/>
    </w:rPr>
  </w:style>
  <w:style w:type="character" w:customStyle="1" w:styleId="BalloonTextChar">
    <w:name w:val="Balloon Text Char"/>
    <w:basedOn w:val="DefaultParagraphFont"/>
    <w:link w:val="BalloonText"/>
    <w:rsid w:val="00590E2D"/>
    <w:rPr>
      <w:rFonts w:ascii="Segoe UI" w:hAnsi="Segoe UI" w:cs="Segoe UI"/>
      <w:snapToGrid w:val="0"/>
      <w:kern w:val="28"/>
      <w:sz w:val="18"/>
      <w:szCs w:val="18"/>
    </w:rPr>
  </w:style>
  <w:style w:type="character" w:styleId="CommentReference">
    <w:name w:val="annotation reference"/>
    <w:basedOn w:val="DefaultParagraphFont"/>
    <w:rsid w:val="003506B1"/>
    <w:rPr>
      <w:sz w:val="16"/>
      <w:szCs w:val="16"/>
    </w:rPr>
  </w:style>
  <w:style w:type="paragraph" w:styleId="CommentText">
    <w:name w:val="annotation text"/>
    <w:basedOn w:val="Normal"/>
    <w:link w:val="CommentTextChar"/>
    <w:rsid w:val="003506B1"/>
    <w:rPr>
      <w:sz w:val="20"/>
    </w:rPr>
  </w:style>
  <w:style w:type="character" w:customStyle="1" w:styleId="CommentTextChar">
    <w:name w:val="Comment Text Char"/>
    <w:basedOn w:val="DefaultParagraphFont"/>
    <w:link w:val="CommentText"/>
    <w:rsid w:val="003506B1"/>
    <w:rPr>
      <w:snapToGrid w:val="0"/>
      <w:kern w:val="28"/>
    </w:rPr>
  </w:style>
  <w:style w:type="paragraph" w:styleId="CommentSubject">
    <w:name w:val="annotation subject"/>
    <w:basedOn w:val="CommentText"/>
    <w:next w:val="CommentText"/>
    <w:link w:val="CommentSubjectChar"/>
    <w:rsid w:val="003506B1"/>
    <w:rPr>
      <w:b/>
      <w:bCs/>
    </w:rPr>
  </w:style>
  <w:style w:type="character" w:customStyle="1" w:styleId="CommentSubjectChar">
    <w:name w:val="Comment Subject Char"/>
    <w:basedOn w:val="CommentTextChar"/>
    <w:link w:val="CommentSubject"/>
    <w:rsid w:val="003506B1"/>
    <w:rPr>
      <w:b/>
      <w:bCs/>
      <w:snapToGrid w:val="0"/>
      <w:kern w:val="28"/>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f Char"/>
    <w:link w:val="FootnoteText"/>
    <w:rsid w:val="00F91AC9"/>
  </w:style>
  <w:style w:type="character" w:styleId="Emphasis">
    <w:name w:val="Emphasis"/>
    <w:basedOn w:val="DefaultParagraphFont"/>
    <w:uiPriority w:val="20"/>
    <w:qFormat/>
    <w:rsid w:val="00A35272"/>
    <w:rPr>
      <w:i/>
      <w:iCs/>
    </w:rPr>
  </w:style>
  <w:style w:type="character" w:customStyle="1" w:styleId="cosearchterm">
    <w:name w:val="co_searchterm"/>
    <w:basedOn w:val="DefaultParagraphFont"/>
    <w:rsid w:val="00A35272"/>
  </w:style>
  <w:style w:type="paragraph" w:styleId="ListParagraph">
    <w:name w:val="List Paragraph"/>
    <w:basedOn w:val="Normal"/>
    <w:uiPriority w:val="34"/>
    <w:qFormat/>
    <w:rsid w:val="00AD63A2"/>
    <w:pPr>
      <w:tabs>
        <w:tab w:val="left" w:pos="-720"/>
      </w:tabs>
      <w:suppressAutoHyphens/>
      <w:ind w:left="720"/>
    </w:pPr>
    <w:rPr>
      <w:sz w:val="24"/>
    </w:rPr>
  </w:style>
  <w:style w:type="character" w:customStyle="1" w:styleId="documentbody">
    <w:name w:val="documentbody"/>
    <w:rsid w:val="00AD63A2"/>
  </w:style>
  <w:style w:type="character" w:styleId="FollowedHyperlink">
    <w:name w:val="FollowedHyperlink"/>
    <w:basedOn w:val="DefaultParagraphFont"/>
    <w:rsid w:val="003A11DA"/>
    <w:rPr>
      <w:color w:val="954F72" w:themeColor="followedHyperlink"/>
      <w:u w:val="single"/>
    </w:rPr>
  </w:style>
  <w:style w:type="character" w:customStyle="1" w:styleId="cohl">
    <w:name w:val="co_hl"/>
    <w:basedOn w:val="DefaultParagraphFont"/>
    <w:rsid w:val="00853E11"/>
  </w:style>
  <w:style w:type="character" w:customStyle="1" w:styleId="cohovertext">
    <w:name w:val="co_hovertext"/>
    <w:basedOn w:val="DefaultParagraphFont"/>
    <w:rsid w:val="001B4A70"/>
  </w:style>
  <w:style w:type="paragraph" w:styleId="Revision">
    <w:name w:val="Revision"/>
    <w:hidden/>
    <w:uiPriority w:val="99"/>
    <w:semiHidden/>
    <w:rsid w:val="00711C8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Hearing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