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D621F" w:rsidRPr="00475675" w:rsidP="00BF449B" w14:paraId="0D76C636" w14:textId="77777777">
      <w:pPr>
        <w:widowControl/>
        <w:jc w:val="center"/>
        <w:rPr>
          <w:b/>
          <w:color w:val="000000" w:themeColor="text1"/>
          <w:szCs w:val="22"/>
        </w:rPr>
      </w:pPr>
      <w:r w:rsidRPr="00475675">
        <w:rPr>
          <w:b/>
          <w:color w:val="000000" w:themeColor="text1"/>
          <w:kern w:val="0"/>
          <w:szCs w:val="22"/>
        </w:rPr>
        <w:t>Before</w:t>
      </w:r>
      <w:r w:rsidRPr="00475675">
        <w:rPr>
          <w:b/>
          <w:color w:val="000000" w:themeColor="text1"/>
          <w:szCs w:val="22"/>
        </w:rPr>
        <w:t xml:space="preserve"> the</w:t>
      </w:r>
    </w:p>
    <w:p w:rsidR="00CD621F" w:rsidRPr="00475675" w:rsidP="00BF449B" w14:paraId="209EBD71" w14:textId="77777777">
      <w:pPr>
        <w:pStyle w:val="StyleBoldCentered"/>
        <w:widowControl/>
        <w:rPr>
          <w:rFonts w:ascii="Times New Roman" w:hAnsi="Times New Roman"/>
          <w:color w:val="000000" w:themeColor="text1"/>
        </w:rPr>
      </w:pPr>
      <w:r w:rsidRPr="00475675">
        <w:rPr>
          <w:rFonts w:ascii="Times New Roman" w:hAnsi="Times New Roman"/>
          <w:color w:val="000000" w:themeColor="text1"/>
        </w:rPr>
        <w:t>F</w:t>
      </w:r>
      <w:r w:rsidRPr="00475675">
        <w:rPr>
          <w:rFonts w:ascii="Times New Roman" w:hAnsi="Times New Roman"/>
          <w:caps w:val="0"/>
          <w:color w:val="000000" w:themeColor="text1"/>
        </w:rPr>
        <w:t>ederal Communications Commission</w:t>
      </w:r>
    </w:p>
    <w:p w:rsidR="00CD621F" w:rsidRPr="00475675" w:rsidP="00BF449B" w14:paraId="04D657E5" w14:textId="77777777">
      <w:pPr>
        <w:pStyle w:val="StyleBoldCentered"/>
        <w:widowControl/>
        <w:rPr>
          <w:rFonts w:ascii="Times New Roman" w:hAnsi="Times New Roman"/>
          <w:color w:val="000000" w:themeColor="text1"/>
        </w:rPr>
      </w:pPr>
      <w:r w:rsidRPr="00475675">
        <w:rPr>
          <w:rFonts w:ascii="Times New Roman" w:hAnsi="Times New Roman"/>
          <w:caps w:val="0"/>
          <w:color w:val="000000" w:themeColor="text1"/>
        </w:rPr>
        <w:t>Washington, D.C. 20554</w:t>
      </w:r>
    </w:p>
    <w:p w:rsidR="00CD621F" w:rsidRPr="00475675" w:rsidP="0099261C" w14:paraId="2DF69661" w14:textId="77777777">
      <w:pPr>
        <w:widowControl/>
        <w:jc w:val="right"/>
        <w:rPr>
          <w:color w:val="000000" w:themeColor="text1"/>
          <w:szCs w:val="22"/>
        </w:rPr>
      </w:pPr>
    </w:p>
    <w:tbl>
      <w:tblPr>
        <w:tblW w:w="0" w:type="auto"/>
        <w:tblLayout w:type="fixed"/>
        <w:tblLook w:val="0000"/>
      </w:tblPr>
      <w:tblGrid>
        <w:gridCol w:w="4698"/>
        <w:gridCol w:w="630"/>
        <w:gridCol w:w="4248"/>
      </w:tblGrid>
      <w:tr w14:paraId="3F9FB31D" w14:textId="77777777" w:rsidTr="004B649B">
        <w:tblPrEx>
          <w:tblW w:w="0" w:type="auto"/>
          <w:tblLayout w:type="fixed"/>
          <w:tblLook w:val="0000"/>
        </w:tblPrEx>
        <w:tc>
          <w:tcPr>
            <w:tcW w:w="4698" w:type="dxa"/>
          </w:tcPr>
          <w:p w:rsidR="00CD621F" w:rsidRPr="00475675" w:rsidP="00BF449B" w14:paraId="67F3C4D4" w14:textId="77777777">
            <w:pPr>
              <w:widowControl/>
              <w:tabs>
                <w:tab w:val="center" w:pos="4680"/>
              </w:tabs>
              <w:suppressAutoHyphens/>
              <w:rPr>
                <w:color w:val="000000" w:themeColor="text1"/>
                <w:spacing w:val="-2"/>
                <w:szCs w:val="22"/>
              </w:rPr>
            </w:pPr>
            <w:r w:rsidRPr="00475675">
              <w:rPr>
                <w:color w:val="000000" w:themeColor="text1"/>
                <w:spacing w:val="-2"/>
                <w:szCs w:val="22"/>
              </w:rPr>
              <w:t>In the Matter of</w:t>
            </w:r>
          </w:p>
          <w:p w:rsidR="00CD621F" w:rsidRPr="00475675" w:rsidP="00BF449B" w14:paraId="0DD2DEB2" w14:textId="77777777">
            <w:pPr>
              <w:widowControl/>
              <w:tabs>
                <w:tab w:val="left" w:pos="360"/>
                <w:tab w:val="center" w:pos="4680"/>
                <w:tab w:val="right" w:leader="dot" w:pos="9360"/>
              </w:tabs>
              <w:suppressAutoHyphens/>
              <w:ind w:left="360" w:right="720" w:hanging="360"/>
              <w:rPr>
                <w:color w:val="000000" w:themeColor="text1"/>
                <w:spacing w:val="-2"/>
                <w:szCs w:val="22"/>
              </w:rPr>
            </w:pPr>
          </w:p>
          <w:p w:rsidR="00A43FD8" w:rsidRPr="00475675" w:rsidP="00BF449B" w14:paraId="6DB618CB" w14:textId="77777777">
            <w:pPr>
              <w:widowControl/>
              <w:tabs>
                <w:tab w:val="center" w:pos="4680"/>
              </w:tabs>
              <w:suppressAutoHyphens/>
              <w:rPr>
                <w:color w:val="000000" w:themeColor="text1"/>
                <w:spacing w:val="-2"/>
                <w:szCs w:val="22"/>
              </w:rPr>
            </w:pPr>
            <w:bookmarkStart w:id="0" w:name="_Hlk38370465"/>
            <w:r w:rsidRPr="00475675">
              <w:rPr>
                <w:color w:val="000000" w:themeColor="text1"/>
                <w:spacing w:val="-2"/>
                <w:szCs w:val="22"/>
              </w:rPr>
              <w:t>SPB, LLC</w:t>
            </w:r>
          </w:p>
          <w:p w:rsidR="00CD621F" w:rsidRPr="00475675" w:rsidP="00BF449B" w14:paraId="7DE2248B" w14:textId="77777777">
            <w:pPr>
              <w:widowControl/>
              <w:tabs>
                <w:tab w:val="center" w:pos="4680"/>
              </w:tabs>
              <w:suppressAutoHyphens/>
              <w:rPr>
                <w:color w:val="000000" w:themeColor="text1"/>
                <w:spacing w:val="-2"/>
                <w:szCs w:val="22"/>
              </w:rPr>
            </w:pPr>
            <w:r w:rsidRPr="00475675">
              <w:rPr>
                <w:color w:val="000000" w:themeColor="text1"/>
                <w:spacing w:val="-2"/>
                <w:szCs w:val="22"/>
              </w:rPr>
              <w:t>Owner of Antenna Structure</w:t>
            </w:r>
            <w:r w:rsidR="00055E3C">
              <w:rPr>
                <w:color w:val="000000" w:themeColor="text1"/>
                <w:spacing w:val="-2"/>
                <w:szCs w:val="22"/>
              </w:rPr>
              <w:t>s</w:t>
            </w:r>
            <w:r w:rsidRPr="00475675">
              <w:rPr>
                <w:color w:val="000000" w:themeColor="text1"/>
                <w:spacing w:val="-2"/>
                <w:szCs w:val="22"/>
              </w:rPr>
              <w:t xml:space="preserve"> </w:t>
            </w:r>
            <w:r w:rsidRPr="00475675" w:rsidR="00055E3C">
              <w:rPr>
                <w:color w:val="000000" w:themeColor="text1"/>
                <w:szCs w:val="22"/>
              </w:rPr>
              <w:t>105185</w:t>
            </w:r>
            <w:r w:rsidR="00055E3C">
              <w:rPr>
                <w:color w:val="000000" w:themeColor="text1"/>
                <w:szCs w:val="22"/>
              </w:rPr>
              <w:t xml:space="preserve">7, </w:t>
            </w:r>
            <w:r w:rsidRPr="00475675" w:rsidR="00055E3C">
              <w:rPr>
                <w:color w:val="000000" w:themeColor="text1"/>
                <w:szCs w:val="22"/>
              </w:rPr>
              <w:t>105185</w:t>
            </w:r>
            <w:r w:rsidR="00055E3C">
              <w:rPr>
                <w:color w:val="000000" w:themeColor="text1"/>
                <w:szCs w:val="22"/>
              </w:rPr>
              <w:t>8 and 1051859</w:t>
            </w:r>
          </w:p>
          <w:p w:rsidR="00CD621F" w:rsidRPr="00475675" w:rsidP="00BF449B" w14:paraId="67A0F1FD" w14:textId="77777777">
            <w:pPr>
              <w:widowControl/>
              <w:tabs>
                <w:tab w:val="center" w:pos="4680"/>
              </w:tabs>
              <w:suppressAutoHyphens/>
              <w:rPr>
                <w:color w:val="000000" w:themeColor="text1"/>
                <w:spacing w:val="-2"/>
                <w:szCs w:val="22"/>
              </w:rPr>
            </w:pPr>
            <w:r w:rsidRPr="00475675">
              <w:rPr>
                <w:color w:val="000000" w:themeColor="text1"/>
                <w:spacing w:val="-2"/>
                <w:szCs w:val="22"/>
              </w:rPr>
              <w:t>Greenwood</w:t>
            </w:r>
            <w:r w:rsidRPr="00475675" w:rsidR="008F707A">
              <w:rPr>
                <w:color w:val="000000" w:themeColor="text1"/>
                <w:spacing w:val="-2"/>
                <w:szCs w:val="22"/>
              </w:rPr>
              <w:t xml:space="preserve">, </w:t>
            </w:r>
            <w:r w:rsidRPr="00475675" w:rsidR="00F36B85">
              <w:rPr>
                <w:color w:val="000000" w:themeColor="text1"/>
                <w:spacing w:val="-2"/>
                <w:szCs w:val="22"/>
              </w:rPr>
              <w:t>Mississippi</w:t>
            </w:r>
          </w:p>
          <w:bookmarkEnd w:id="0"/>
          <w:p w:rsidR="00CD621F" w:rsidRPr="00475675" w:rsidP="00BF449B" w14:paraId="24705CBD" w14:textId="77777777">
            <w:pPr>
              <w:widowControl/>
              <w:autoSpaceDE w:val="0"/>
              <w:autoSpaceDN w:val="0"/>
              <w:adjustRightInd w:val="0"/>
              <w:rPr>
                <w:color w:val="000000" w:themeColor="text1"/>
                <w:szCs w:val="22"/>
              </w:rPr>
            </w:pPr>
          </w:p>
        </w:tc>
        <w:tc>
          <w:tcPr>
            <w:tcW w:w="630" w:type="dxa"/>
          </w:tcPr>
          <w:p w:rsidR="00CD621F" w:rsidRPr="00475675" w:rsidP="00BF449B" w14:paraId="05A292BC"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CD621F" w:rsidRPr="00475675" w:rsidP="00BF449B" w14:paraId="48E3E221"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CD621F" w:rsidRPr="00475675" w:rsidP="00BF449B" w14:paraId="6966EFCA"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CD621F" w:rsidRPr="00475675" w:rsidP="00BF449B" w14:paraId="2D0A167D"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CD621F" w:rsidRPr="00475675" w:rsidP="00BF449B" w14:paraId="770D87C8"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CD621F" w:rsidRPr="00475675" w:rsidP="00BF449B" w14:paraId="5D1F03B5"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CD621F" w:rsidRPr="00475675" w:rsidP="00BF449B" w14:paraId="09DE20EE"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CD621F" w:rsidRPr="00475675" w:rsidP="00BF449B" w14:paraId="29A20CB3" w14:textId="77777777">
            <w:pPr>
              <w:widowControl/>
              <w:tabs>
                <w:tab w:val="center" w:pos="4680"/>
              </w:tabs>
              <w:suppressAutoHyphens/>
              <w:rPr>
                <w:b/>
                <w:color w:val="000000" w:themeColor="text1"/>
                <w:spacing w:val="-2"/>
                <w:szCs w:val="22"/>
              </w:rPr>
            </w:pPr>
          </w:p>
        </w:tc>
        <w:tc>
          <w:tcPr>
            <w:tcW w:w="4248" w:type="dxa"/>
          </w:tcPr>
          <w:p w:rsidR="00CD621F" w:rsidRPr="00475675" w:rsidP="00BF449B" w14:paraId="48CDF862" w14:textId="77777777">
            <w:pPr>
              <w:widowControl/>
              <w:tabs>
                <w:tab w:val="center" w:pos="4680"/>
              </w:tabs>
              <w:suppressAutoHyphens/>
              <w:ind w:left="432"/>
              <w:rPr>
                <w:color w:val="000000" w:themeColor="text1"/>
                <w:spacing w:val="-2"/>
                <w:szCs w:val="22"/>
              </w:rPr>
            </w:pPr>
          </w:p>
          <w:p w:rsidR="00CD621F" w:rsidRPr="00475675" w:rsidP="00BF449B" w14:paraId="20BE9AC6" w14:textId="77777777">
            <w:pPr>
              <w:widowControl/>
              <w:tabs>
                <w:tab w:val="center" w:pos="4680"/>
              </w:tabs>
              <w:suppressAutoHyphens/>
              <w:ind w:left="432"/>
              <w:rPr>
                <w:color w:val="000000" w:themeColor="text1"/>
                <w:spacing w:val="-2"/>
                <w:szCs w:val="22"/>
              </w:rPr>
            </w:pPr>
          </w:p>
          <w:p w:rsidR="00CD621F" w:rsidRPr="00475675" w:rsidP="00BF449B" w14:paraId="4B44693B" w14:textId="77777777">
            <w:pPr>
              <w:widowControl/>
              <w:tabs>
                <w:tab w:val="center" w:pos="4680"/>
              </w:tabs>
              <w:suppressAutoHyphens/>
              <w:ind w:left="432"/>
              <w:rPr>
                <w:color w:val="000000" w:themeColor="text1"/>
                <w:spacing w:val="-2"/>
                <w:szCs w:val="22"/>
              </w:rPr>
            </w:pPr>
            <w:r w:rsidRPr="00475675">
              <w:rPr>
                <w:color w:val="000000" w:themeColor="text1"/>
                <w:spacing w:val="-2"/>
                <w:szCs w:val="22"/>
              </w:rPr>
              <w:t xml:space="preserve">File No.:  </w:t>
            </w:r>
            <w:bookmarkStart w:id="1" w:name="_Hlk38363223"/>
            <w:r w:rsidRPr="00475675">
              <w:rPr>
                <w:color w:val="000000" w:themeColor="text1"/>
                <w:spacing w:val="-2"/>
                <w:szCs w:val="22"/>
              </w:rPr>
              <w:t>EB-FIELDSCR-</w:t>
            </w:r>
            <w:bookmarkStart w:id="2" w:name="_Hlk83294345"/>
            <w:r w:rsidRPr="00475675" w:rsidR="00EF11D0">
              <w:rPr>
                <w:color w:val="000000" w:themeColor="text1"/>
                <w:szCs w:val="22"/>
                <w:shd w:val="clear" w:color="auto" w:fill="FFFFFF"/>
              </w:rPr>
              <w:t>18-00026264</w:t>
            </w:r>
            <w:bookmarkEnd w:id="1"/>
            <w:bookmarkEnd w:id="2"/>
          </w:p>
          <w:p w:rsidR="00CD621F" w:rsidRPr="00475675" w:rsidP="00BF449B" w14:paraId="1A85EB54" w14:textId="77777777">
            <w:pPr>
              <w:widowControl/>
              <w:ind w:left="432"/>
              <w:rPr>
                <w:color w:val="000000" w:themeColor="text1"/>
                <w:spacing w:val="-2"/>
                <w:szCs w:val="22"/>
              </w:rPr>
            </w:pPr>
            <w:r w:rsidRPr="00475675">
              <w:rPr>
                <w:color w:val="000000" w:themeColor="text1"/>
                <w:spacing w:val="-2"/>
                <w:szCs w:val="22"/>
              </w:rPr>
              <w:t>CD Acct. No.:</w:t>
            </w:r>
            <w:r w:rsidRPr="00475675">
              <w:rPr>
                <w:color w:val="000000" w:themeColor="text1"/>
                <w:szCs w:val="22"/>
                <w:shd w:val="clear" w:color="auto" w:fill="FFFFFF"/>
              </w:rPr>
              <w:t xml:space="preserve">  </w:t>
            </w:r>
            <w:r w:rsidRPr="00BC2391" w:rsidR="00BC2391">
              <w:rPr>
                <w:color w:val="000000" w:themeColor="text1"/>
                <w:szCs w:val="22"/>
                <w:shd w:val="clear" w:color="auto" w:fill="FFFFFF"/>
              </w:rPr>
              <w:t>202232020001</w:t>
            </w:r>
          </w:p>
          <w:p w:rsidR="00CD621F" w:rsidRPr="00475675" w:rsidP="00BF449B" w14:paraId="1EA1C8C3" w14:textId="77777777">
            <w:pPr>
              <w:widowControl/>
              <w:tabs>
                <w:tab w:val="center" w:pos="4680"/>
              </w:tabs>
              <w:suppressAutoHyphens/>
              <w:ind w:left="432"/>
              <w:rPr>
                <w:snapToGrid/>
                <w:color w:val="000000" w:themeColor="text1"/>
                <w:spacing w:val="-2"/>
                <w:szCs w:val="22"/>
              </w:rPr>
            </w:pPr>
            <w:r w:rsidRPr="00475675">
              <w:rPr>
                <w:color w:val="000000" w:themeColor="text1"/>
                <w:szCs w:val="22"/>
              </w:rPr>
              <w:t xml:space="preserve">FRN:  </w:t>
            </w:r>
            <w:r w:rsidRPr="00475675" w:rsidR="003C463C">
              <w:rPr>
                <w:color w:val="000000" w:themeColor="text1"/>
                <w:szCs w:val="22"/>
              </w:rPr>
              <w:t>0017051509</w:t>
            </w:r>
          </w:p>
        </w:tc>
      </w:tr>
    </w:tbl>
    <w:p w:rsidR="00CD621F" w:rsidRPr="00475675" w:rsidP="00BF449B" w14:paraId="6CA723F1" w14:textId="77777777">
      <w:pPr>
        <w:widowControl/>
        <w:jc w:val="center"/>
        <w:outlineLvl w:val="0"/>
        <w:rPr>
          <w:b/>
          <w:color w:val="000000" w:themeColor="text1"/>
          <w:szCs w:val="22"/>
        </w:rPr>
      </w:pPr>
      <w:r w:rsidRPr="00475675">
        <w:rPr>
          <w:b/>
          <w:color w:val="000000" w:themeColor="text1"/>
          <w:szCs w:val="22"/>
        </w:rPr>
        <w:t>ORDER</w:t>
      </w:r>
    </w:p>
    <w:p w:rsidR="00CD621F" w:rsidRPr="00475675" w:rsidP="00BF449B" w14:paraId="631ACE88" w14:textId="77777777">
      <w:pPr>
        <w:widowControl/>
        <w:tabs>
          <w:tab w:val="left" w:pos="-720"/>
        </w:tabs>
        <w:suppressAutoHyphens/>
        <w:spacing w:line="227" w:lineRule="auto"/>
        <w:rPr>
          <w:color w:val="000000" w:themeColor="text1"/>
          <w:spacing w:val="-2"/>
          <w:szCs w:val="22"/>
        </w:rPr>
      </w:pPr>
    </w:p>
    <w:p w:rsidR="00CD621F" w:rsidRPr="00475675" w:rsidP="00BF449B" w14:paraId="16722C86" w14:textId="6B523222">
      <w:pPr>
        <w:widowControl/>
        <w:tabs>
          <w:tab w:val="left" w:pos="720"/>
          <w:tab w:val="right" w:pos="9360"/>
        </w:tabs>
        <w:suppressAutoHyphens/>
        <w:spacing w:line="227" w:lineRule="auto"/>
        <w:rPr>
          <w:color w:val="000000" w:themeColor="text1"/>
          <w:spacing w:val="-2"/>
          <w:szCs w:val="22"/>
        </w:rPr>
      </w:pPr>
      <w:r w:rsidRPr="00475675">
        <w:rPr>
          <w:b/>
          <w:color w:val="000000" w:themeColor="text1"/>
          <w:spacing w:val="-2"/>
          <w:szCs w:val="22"/>
        </w:rPr>
        <w:t xml:space="preserve">Adopted: </w:t>
      </w:r>
      <w:r w:rsidR="0055355D">
        <w:rPr>
          <w:b/>
          <w:color w:val="000000" w:themeColor="text1"/>
          <w:spacing w:val="-2"/>
          <w:szCs w:val="22"/>
        </w:rPr>
        <w:t>November 1</w:t>
      </w:r>
      <w:r w:rsidR="00DD5C61">
        <w:rPr>
          <w:b/>
          <w:color w:val="000000" w:themeColor="text1"/>
          <w:spacing w:val="-2"/>
          <w:szCs w:val="22"/>
        </w:rPr>
        <w:t>2</w:t>
      </w:r>
      <w:r w:rsidRPr="00475675">
        <w:rPr>
          <w:b/>
          <w:color w:val="000000" w:themeColor="text1"/>
          <w:spacing w:val="-2"/>
          <w:szCs w:val="22"/>
        </w:rPr>
        <w:t>, 2</w:t>
      </w:r>
      <w:r w:rsidRPr="00475675" w:rsidR="00B7420C">
        <w:rPr>
          <w:b/>
          <w:color w:val="000000" w:themeColor="text1"/>
          <w:spacing w:val="-2"/>
          <w:szCs w:val="22"/>
        </w:rPr>
        <w:t>021</w:t>
      </w:r>
      <w:r w:rsidRPr="00475675">
        <w:rPr>
          <w:b/>
          <w:color w:val="000000" w:themeColor="text1"/>
          <w:spacing w:val="-2"/>
          <w:szCs w:val="22"/>
        </w:rPr>
        <w:tab/>
        <w:t xml:space="preserve">Released:  </w:t>
      </w:r>
      <w:r w:rsidR="0055355D">
        <w:rPr>
          <w:b/>
          <w:color w:val="000000" w:themeColor="text1"/>
          <w:spacing w:val="-2"/>
          <w:szCs w:val="22"/>
        </w:rPr>
        <w:t xml:space="preserve">November </w:t>
      </w:r>
      <w:r w:rsidR="00DD5C61">
        <w:rPr>
          <w:b/>
          <w:color w:val="000000" w:themeColor="text1"/>
          <w:spacing w:val="-2"/>
          <w:szCs w:val="22"/>
        </w:rPr>
        <w:t>12</w:t>
      </w:r>
      <w:r w:rsidRPr="00475675" w:rsidR="00B7420C">
        <w:rPr>
          <w:b/>
          <w:color w:val="000000" w:themeColor="text1"/>
          <w:spacing w:val="-2"/>
          <w:szCs w:val="22"/>
        </w:rPr>
        <w:t>, 2021</w:t>
      </w:r>
    </w:p>
    <w:p w:rsidR="00CD621F" w:rsidRPr="00475675" w:rsidP="00BF449B" w14:paraId="3522C07C" w14:textId="77777777">
      <w:pPr>
        <w:widowControl/>
        <w:rPr>
          <w:color w:val="000000" w:themeColor="text1"/>
          <w:szCs w:val="22"/>
        </w:rPr>
      </w:pPr>
    </w:p>
    <w:p w:rsidR="00CD621F" w:rsidRPr="00475675" w:rsidP="00BF449B" w14:paraId="113F2A8B" w14:textId="77777777">
      <w:pPr>
        <w:widowControl/>
        <w:rPr>
          <w:color w:val="000000" w:themeColor="text1"/>
          <w:spacing w:val="-2"/>
          <w:szCs w:val="22"/>
        </w:rPr>
      </w:pPr>
      <w:r w:rsidRPr="00475675">
        <w:rPr>
          <w:color w:val="000000" w:themeColor="text1"/>
          <w:spacing w:val="-2"/>
          <w:szCs w:val="22"/>
        </w:rPr>
        <w:t xml:space="preserve">By the </w:t>
      </w:r>
      <w:r w:rsidRPr="00EA2697" w:rsidR="00DD2F78">
        <w:rPr>
          <w:color w:val="000000" w:themeColor="text1"/>
          <w:spacing w:val="-2"/>
        </w:rPr>
        <w:t>Deputy</w:t>
      </w:r>
      <w:r w:rsidRPr="00475675" w:rsidR="00C92A50">
        <w:rPr>
          <w:color w:val="000000" w:themeColor="text1"/>
          <w:spacing w:val="-2"/>
          <w:szCs w:val="22"/>
        </w:rPr>
        <w:t xml:space="preserve"> </w:t>
      </w:r>
      <w:r w:rsidRPr="00475675">
        <w:rPr>
          <w:color w:val="000000" w:themeColor="text1"/>
          <w:spacing w:val="-2"/>
          <w:szCs w:val="22"/>
        </w:rPr>
        <w:t>Chief</w:t>
      </w:r>
      <w:r w:rsidRPr="00475675" w:rsidR="00C92A50">
        <w:rPr>
          <w:color w:val="000000" w:themeColor="text1"/>
          <w:spacing w:val="-2"/>
          <w:szCs w:val="22"/>
        </w:rPr>
        <w:t xml:space="preserve">, </w:t>
      </w:r>
      <w:r w:rsidRPr="00475675">
        <w:rPr>
          <w:color w:val="000000" w:themeColor="text1"/>
          <w:spacing w:val="-2"/>
          <w:szCs w:val="22"/>
        </w:rPr>
        <w:t>Enforcement Bureau:</w:t>
      </w:r>
    </w:p>
    <w:p w:rsidR="00CD621F" w:rsidRPr="00475675" w:rsidP="00BF449B" w14:paraId="3F4FD3A3" w14:textId="77777777">
      <w:pPr>
        <w:widowControl/>
        <w:rPr>
          <w:color w:val="000000" w:themeColor="text1"/>
          <w:szCs w:val="22"/>
        </w:rPr>
      </w:pPr>
    </w:p>
    <w:p w:rsidR="00CD621F" w:rsidRPr="00475675" w:rsidP="00BF449B" w14:paraId="7476F671" w14:textId="77777777">
      <w:pPr>
        <w:pStyle w:val="ParaNum"/>
        <w:widowControl/>
        <w:numPr>
          <w:ilvl w:val="0"/>
          <w:numId w:val="7"/>
        </w:numPr>
        <w:tabs>
          <w:tab w:val="clear" w:pos="1080"/>
        </w:tabs>
        <w:rPr>
          <w:color w:val="000000" w:themeColor="text1"/>
          <w:szCs w:val="22"/>
        </w:rPr>
      </w:pPr>
      <w:r w:rsidRPr="00475675">
        <w:rPr>
          <w:color w:val="000000" w:themeColor="text1"/>
          <w:szCs w:val="22"/>
        </w:rPr>
        <w:t xml:space="preserve">The Enforcement Bureau (Bureau) of the Federal Communications Commission has entered into a Consent Decree to resolve its investigation into whether </w:t>
      </w:r>
      <w:r w:rsidRPr="00475675" w:rsidR="00A45669">
        <w:rPr>
          <w:color w:val="000000" w:themeColor="text1"/>
          <w:spacing w:val="-2"/>
          <w:szCs w:val="22"/>
        </w:rPr>
        <w:t>SPB, LLC</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violated the Communications Act of 1934, as amended (Act) and the Commission</w:t>
      </w:r>
      <w:r w:rsidR="00154F37">
        <w:rPr>
          <w:color w:val="000000" w:themeColor="text1"/>
          <w:szCs w:val="22"/>
        </w:rPr>
        <w:t>’</w:t>
      </w:r>
      <w:r w:rsidRPr="00475675">
        <w:rPr>
          <w:color w:val="000000" w:themeColor="text1"/>
          <w:szCs w:val="22"/>
        </w:rPr>
        <w:t xml:space="preserve">s </w:t>
      </w:r>
      <w:r w:rsidRPr="00475675" w:rsidR="001B476E">
        <w:rPr>
          <w:color w:val="000000" w:themeColor="text1"/>
          <w:szCs w:val="22"/>
        </w:rPr>
        <w:t xml:space="preserve">Antenna Structure </w:t>
      </w:r>
      <w:r w:rsidRPr="00475675">
        <w:rPr>
          <w:color w:val="000000" w:themeColor="text1"/>
          <w:szCs w:val="22"/>
        </w:rPr>
        <w:t>rules</w:t>
      </w:r>
      <w:r w:rsidRPr="00475675">
        <w:rPr>
          <w:i/>
          <w:color w:val="000000" w:themeColor="text1"/>
          <w:szCs w:val="22"/>
        </w:rPr>
        <w:t>.</w:t>
      </w:r>
      <w:r w:rsidRPr="00475675">
        <w:rPr>
          <w:color w:val="000000" w:themeColor="text1"/>
          <w:szCs w:val="22"/>
        </w:rPr>
        <w:t xml:space="preserve"> </w:t>
      </w:r>
      <w:r w:rsidR="00126145">
        <w:rPr>
          <w:color w:val="000000" w:themeColor="text1"/>
          <w:szCs w:val="22"/>
        </w:rPr>
        <w:t xml:space="preserve"> </w:t>
      </w:r>
      <w:r w:rsidRPr="00475675">
        <w:rPr>
          <w:color w:val="000000" w:themeColor="text1"/>
          <w:szCs w:val="22"/>
        </w:rPr>
        <w:t xml:space="preserve">These laws ensure </w:t>
      </w:r>
      <w:r w:rsidRPr="00475675" w:rsidR="0066500C">
        <w:rPr>
          <w:color w:val="000000" w:themeColor="text1"/>
          <w:szCs w:val="22"/>
        </w:rPr>
        <w:t>that antenna structures do not pose a hazard to air traffic</w:t>
      </w:r>
      <w:r w:rsidRPr="00475675">
        <w:rPr>
          <w:color w:val="000000" w:themeColor="text1"/>
          <w:szCs w:val="22"/>
        </w:rPr>
        <w:t>.</w:t>
      </w:r>
      <w:r w:rsidRPr="00475675" w:rsidR="00625B2F">
        <w:rPr>
          <w:color w:val="000000" w:themeColor="text1"/>
          <w:szCs w:val="22"/>
        </w:rPr>
        <w:t xml:space="preserve">  </w:t>
      </w:r>
      <w:r w:rsidRPr="00475675" w:rsidR="00A45669">
        <w:rPr>
          <w:color w:val="000000" w:themeColor="text1"/>
          <w:szCs w:val="22"/>
        </w:rPr>
        <w:t>SPB</w:t>
      </w:r>
      <w:r w:rsidRPr="00475675" w:rsidR="00625B2F">
        <w:rPr>
          <w:color w:val="000000" w:themeColor="text1"/>
          <w:szCs w:val="22"/>
        </w:rPr>
        <w:t xml:space="preserve"> admitted to the violations</w:t>
      </w:r>
      <w:r w:rsidRPr="00475675" w:rsidR="00451D8A">
        <w:rPr>
          <w:color w:val="000000" w:themeColor="text1"/>
          <w:szCs w:val="22"/>
        </w:rPr>
        <w:t>.</w:t>
      </w:r>
      <w:r>
        <w:rPr>
          <w:rStyle w:val="FootnoteReference"/>
          <w:color w:val="000000" w:themeColor="text1"/>
          <w:sz w:val="22"/>
          <w:szCs w:val="22"/>
        </w:rPr>
        <w:footnoteReference w:id="3"/>
      </w:r>
      <w:r w:rsidRPr="00475675" w:rsidR="00625B2F">
        <w:rPr>
          <w:color w:val="000000" w:themeColor="text1"/>
          <w:szCs w:val="22"/>
        </w:rPr>
        <w:t xml:space="preserve"> </w:t>
      </w:r>
      <w:r w:rsidRPr="00475675" w:rsidR="00451D8A">
        <w:rPr>
          <w:color w:val="000000" w:themeColor="text1"/>
          <w:szCs w:val="22"/>
        </w:rPr>
        <w:t xml:space="preserve"> </w:t>
      </w:r>
      <w:r w:rsidRPr="0099261C" w:rsidR="0099261C">
        <w:rPr>
          <w:color w:val="000000" w:themeColor="text1"/>
          <w:szCs w:val="22"/>
        </w:rPr>
        <w:t>SBP submitted financial documentation to the Enforcement Bureau, including federal tax returns for the years 20</w:t>
      </w:r>
      <w:r w:rsidR="00921EDF">
        <w:rPr>
          <w:color w:val="000000" w:themeColor="text1"/>
          <w:szCs w:val="22"/>
        </w:rPr>
        <w:t>18</w:t>
      </w:r>
      <w:r w:rsidRPr="0099261C" w:rsidR="0099261C">
        <w:rPr>
          <w:color w:val="000000" w:themeColor="text1"/>
          <w:szCs w:val="22"/>
        </w:rPr>
        <w:t>-2</w:t>
      </w:r>
      <w:r w:rsidR="00921EDF">
        <w:rPr>
          <w:color w:val="000000" w:themeColor="text1"/>
          <w:szCs w:val="22"/>
        </w:rPr>
        <w:t>020</w:t>
      </w:r>
      <w:r w:rsidRPr="0099261C" w:rsidR="0099261C">
        <w:rPr>
          <w:color w:val="000000" w:themeColor="text1"/>
          <w:szCs w:val="22"/>
        </w:rPr>
        <w:t>, to support a reduction of the Consent Decree</w:t>
      </w:r>
      <w:r w:rsidR="00154F37">
        <w:rPr>
          <w:color w:val="000000" w:themeColor="text1"/>
          <w:szCs w:val="22"/>
        </w:rPr>
        <w:t>’</w:t>
      </w:r>
      <w:r w:rsidRPr="0099261C" w:rsidR="0099261C">
        <w:rPr>
          <w:color w:val="000000" w:themeColor="text1"/>
          <w:szCs w:val="22"/>
        </w:rPr>
        <w:t>s civil penalty, based upon SBP</w:t>
      </w:r>
      <w:r w:rsidR="00154F37">
        <w:rPr>
          <w:color w:val="000000" w:themeColor="text1"/>
          <w:szCs w:val="22"/>
        </w:rPr>
        <w:t>’</w:t>
      </w:r>
      <w:r w:rsidRPr="0099261C" w:rsidR="0099261C">
        <w:rPr>
          <w:color w:val="000000" w:themeColor="text1"/>
          <w:szCs w:val="22"/>
        </w:rPr>
        <w:t xml:space="preserve">s limited ability to pay. </w:t>
      </w:r>
      <w:r w:rsidR="00EB17A4">
        <w:rPr>
          <w:color w:val="000000" w:themeColor="text1"/>
          <w:szCs w:val="22"/>
        </w:rPr>
        <w:t xml:space="preserve"> </w:t>
      </w:r>
      <w:r w:rsidRPr="0099261C" w:rsidR="0099261C">
        <w:rPr>
          <w:color w:val="000000" w:themeColor="text1"/>
          <w:szCs w:val="22"/>
        </w:rPr>
        <w:t>The $1,400 civil penalty set forth in the Consent Decree reflects consideration of SBP</w:t>
      </w:r>
      <w:r w:rsidR="00154F37">
        <w:rPr>
          <w:color w:val="000000" w:themeColor="text1"/>
          <w:szCs w:val="22"/>
        </w:rPr>
        <w:t>’</w:t>
      </w:r>
      <w:r w:rsidRPr="0099261C" w:rsidR="0099261C">
        <w:rPr>
          <w:color w:val="000000" w:themeColor="text1"/>
          <w:szCs w:val="22"/>
        </w:rPr>
        <w:t>s demonstrated inability to pay the otherwise required amount.</w:t>
      </w:r>
      <w:r w:rsidR="0099261C">
        <w:rPr>
          <w:color w:val="000000" w:themeColor="text1"/>
          <w:szCs w:val="22"/>
        </w:rPr>
        <w:t xml:space="preserve"> </w:t>
      </w:r>
      <w:r w:rsidR="00EB17A4">
        <w:rPr>
          <w:color w:val="000000" w:themeColor="text1"/>
          <w:szCs w:val="22"/>
        </w:rPr>
        <w:t xml:space="preserve"> </w:t>
      </w:r>
      <w:r w:rsidRPr="00475675">
        <w:rPr>
          <w:color w:val="000000" w:themeColor="text1"/>
          <w:szCs w:val="22"/>
        </w:rPr>
        <w:t xml:space="preserve">To settle this matter, </w:t>
      </w:r>
      <w:r w:rsidRPr="00475675" w:rsidR="00A45669">
        <w:rPr>
          <w:color w:val="000000" w:themeColor="text1"/>
          <w:szCs w:val="22"/>
        </w:rPr>
        <w:t>SPB</w:t>
      </w:r>
      <w:r w:rsidRPr="00475675">
        <w:rPr>
          <w:color w:val="000000" w:themeColor="text1"/>
          <w:szCs w:val="22"/>
        </w:rPr>
        <w:t xml:space="preserve"> admits that it </w:t>
      </w:r>
      <w:r w:rsidRPr="00475675" w:rsidR="00451D8A">
        <w:rPr>
          <w:color w:val="000000" w:themeColor="text1"/>
          <w:szCs w:val="22"/>
        </w:rPr>
        <w:t xml:space="preserve">failed to </w:t>
      </w:r>
      <w:r w:rsidRPr="00475675" w:rsidR="00F77143">
        <w:rPr>
          <w:color w:val="000000" w:themeColor="text1"/>
          <w:szCs w:val="22"/>
        </w:rPr>
        <w:t xml:space="preserve">light an antenna structure in accordance with </w:t>
      </w:r>
      <w:r w:rsidRPr="00475675" w:rsidR="005475C2">
        <w:rPr>
          <w:color w:val="000000" w:themeColor="text1"/>
          <w:szCs w:val="22"/>
        </w:rPr>
        <w:t>the Act</w:t>
      </w:r>
      <w:r w:rsidRPr="00475675" w:rsidR="00F77143">
        <w:rPr>
          <w:color w:val="000000" w:themeColor="text1"/>
          <w:szCs w:val="22"/>
        </w:rPr>
        <w:t xml:space="preserve"> and </w:t>
      </w:r>
      <w:r w:rsidRPr="00475675" w:rsidR="005475C2">
        <w:rPr>
          <w:color w:val="000000" w:themeColor="text1"/>
          <w:szCs w:val="22"/>
        </w:rPr>
        <w:t>the Commission</w:t>
      </w:r>
      <w:r w:rsidR="00154F37">
        <w:rPr>
          <w:color w:val="000000" w:themeColor="text1"/>
          <w:szCs w:val="22"/>
        </w:rPr>
        <w:t>’</w:t>
      </w:r>
      <w:r w:rsidRPr="00475675" w:rsidR="005475C2">
        <w:rPr>
          <w:color w:val="000000" w:themeColor="text1"/>
          <w:szCs w:val="22"/>
        </w:rPr>
        <w:t>s rules</w:t>
      </w:r>
      <w:r w:rsidRPr="00475675">
        <w:rPr>
          <w:color w:val="000000" w:themeColor="text1"/>
          <w:szCs w:val="22"/>
        </w:rPr>
        <w:t>, will implement a compliance plan, and will pay a $1,</w:t>
      </w:r>
      <w:r w:rsidRPr="00475675" w:rsidR="0051740E">
        <w:rPr>
          <w:color w:val="000000" w:themeColor="text1"/>
          <w:szCs w:val="22"/>
        </w:rPr>
        <w:t>4</w:t>
      </w:r>
      <w:r w:rsidRPr="00475675">
        <w:rPr>
          <w:color w:val="000000" w:themeColor="text1"/>
          <w:szCs w:val="22"/>
        </w:rPr>
        <w:t>00 civil penalty.</w:t>
      </w:r>
      <w:r w:rsidRPr="00BA5671" w:rsidR="00DD2F78">
        <w:rPr>
          <w:color w:val="000000" w:themeColor="text1"/>
          <w:szCs w:val="22"/>
        </w:rPr>
        <w:t xml:space="preserve"> </w:t>
      </w:r>
    </w:p>
    <w:p w:rsidR="00CD621F" w:rsidRPr="00475675" w:rsidP="00BF449B" w14:paraId="12D95247" w14:textId="77777777">
      <w:pPr>
        <w:pStyle w:val="ParaNum"/>
        <w:widowControl/>
        <w:numPr>
          <w:ilvl w:val="0"/>
          <w:numId w:val="7"/>
        </w:numPr>
        <w:tabs>
          <w:tab w:val="clear" w:pos="1080"/>
          <w:tab w:val="left" w:pos="1440"/>
        </w:tabs>
        <w:rPr>
          <w:color w:val="000000" w:themeColor="text1"/>
          <w:szCs w:val="22"/>
        </w:rPr>
      </w:pPr>
      <w:r w:rsidRPr="00475675">
        <w:rPr>
          <w:color w:val="000000" w:themeColor="text1"/>
          <w:szCs w:val="22"/>
        </w:rPr>
        <w:t xml:space="preserve">After reviewing the terms of the Consent Decree and evaluating the facts before us, we find that the public interest would be served by adopting the Consent Decree and resolving </w:t>
      </w:r>
      <w:r w:rsidRPr="00475675" w:rsidR="006D007E">
        <w:rPr>
          <w:color w:val="000000" w:themeColor="text1"/>
          <w:szCs w:val="22"/>
        </w:rPr>
        <w:t>the investigation</w:t>
      </w:r>
      <w:r w:rsidRPr="00475675">
        <w:rPr>
          <w:color w:val="000000" w:themeColor="text1"/>
          <w:szCs w:val="22"/>
        </w:rPr>
        <w:t xml:space="preserve"> regarding </w:t>
      </w:r>
      <w:r w:rsidRPr="00475675" w:rsidR="00A45669">
        <w:rPr>
          <w:color w:val="000000" w:themeColor="text1"/>
          <w:szCs w:val="22"/>
        </w:rPr>
        <w:t>SPB</w:t>
      </w:r>
      <w:r w:rsidR="00154F37">
        <w:rPr>
          <w:color w:val="000000" w:themeColor="text1"/>
          <w:szCs w:val="22"/>
        </w:rPr>
        <w:t>’</w:t>
      </w:r>
      <w:r w:rsidRPr="00475675">
        <w:rPr>
          <w:color w:val="000000" w:themeColor="text1"/>
          <w:szCs w:val="22"/>
        </w:rPr>
        <w:t xml:space="preserve">s compliance with </w:t>
      </w:r>
      <w:r w:rsidRPr="00475675" w:rsidR="002D01F0">
        <w:rPr>
          <w:color w:val="000000" w:themeColor="text1"/>
          <w:szCs w:val="22"/>
        </w:rPr>
        <w:t>section 303(q) of the Communications Act of 1934, as amended (Act)</w:t>
      </w:r>
      <w:r>
        <w:rPr>
          <w:rStyle w:val="FootnoteReference"/>
          <w:color w:val="000000" w:themeColor="text1"/>
          <w:sz w:val="22"/>
          <w:szCs w:val="22"/>
        </w:rPr>
        <w:footnoteReference w:id="4"/>
      </w:r>
      <w:r w:rsidRPr="00475675" w:rsidR="002D01F0">
        <w:rPr>
          <w:color w:val="000000" w:themeColor="text1"/>
          <w:szCs w:val="22"/>
        </w:rPr>
        <w:t>, and section</w:t>
      </w:r>
      <w:r w:rsidR="00E52AD8">
        <w:rPr>
          <w:color w:val="000000" w:themeColor="text1"/>
          <w:szCs w:val="22"/>
        </w:rPr>
        <w:t>s</w:t>
      </w:r>
      <w:r w:rsidRPr="00475675" w:rsidR="00602982">
        <w:rPr>
          <w:color w:val="000000" w:themeColor="text1"/>
          <w:szCs w:val="22"/>
        </w:rPr>
        <w:t xml:space="preserve"> </w:t>
      </w:r>
      <w:r w:rsidRPr="00475675" w:rsidR="002D01F0">
        <w:rPr>
          <w:color w:val="000000" w:themeColor="text1"/>
          <w:szCs w:val="22"/>
        </w:rPr>
        <w:t>17.</w:t>
      </w:r>
      <w:r w:rsidRPr="00475675" w:rsidR="00602982">
        <w:rPr>
          <w:color w:val="000000" w:themeColor="text1"/>
          <w:szCs w:val="22"/>
        </w:rPr>
        <w:t>23</w:t>
      </w:r>
      <w:r w:rsidR="00E52AD8">
        <w:rPr>
          <w:color w:val="000000" w:themeColor="text1"/>
          <w:szCs w:val="22"/>
        </w:rPr>
        <w:t>, 17.47 and 17.57</w:t>
      </w:r>
      <w:r w:rsidRPr="00475675" w:rsidR="002D01F0">
        <w:rPr>
          <w:color w:val="000000" w:themeColor="text1"/>
          <w:szCs w:val="22"/>
        </w:rPr>
        <w:t xml:space="preserve"> of the Commission</w:t>
      </w:r>
      <w:r w:rsidR="00154F37">
        <w:rPr>
          <w:color w:val="000000" w:themeColor="text1"/>
          <w:szCs w:val="22"/>
        </w:rPr>
        <w:t>’</w:t>
      </w:r>
      <w:r w:rsidRPr="00475675" w:rsidR="002D01F0">
        <w:rPr>
          <w:color w:val="000000" w:themeColor="text1"/>
          <w:szCs w:val="22"/>
        </w:rPr>
        <w:t>s rules (Rules).</w:t>
      </w:r>
      <w:r>
        <w:rPr>
          <w:rStyle w:val="FootnoteReference"/>
          <w:color w:val="000000" w:themeColor="text1"/>
          <w:sz w:val="22"/>
          <w:szCs w:val="22"/>
        </w:rPr>
        <w:footnoteReference w:id="5"/>
      </w:r>
      <w:r w:rsidRPr="00475675" w:rsidR="002D01F0">
        <w:rPr>
          <w:color w:val="000000" w:themeColor="text1"/>
          <w:szCs w:val="22"/>
        </w:rPr>
        <w:t xml:space="preserve"> </w:t>
      </w:r>
    </w:p>
    <w:p w:rsidR="006357A5" w:rsidRPr="00475675" w:rsidP="00BF449B" w14:paraId="36361FC5" w14:textId="77777777">
      <w:pPr>
        <w:pStyle w:val="ParaNum"/>
        <w:widowControl/>
        <w:numPr>
          <w:ilvl w:val="0"/>
          <w:numId w:val="7"/>
        </w:numPr>
        <w:tabs>
          <w:tab w:val="clear" w:pos="1080"/>
          <w:tab w:val="left" w:pos="1440"/>
        </w:tabs>
        <w:rPr>
          <w:color w:val="000000" w:themeColor="text1"/>
          <w:szCs w:val="22"/>
        </w:rPr>
      </w:pPr>
      <w:r w:rsidRPr="00475675">
        <w:rPr>
          <w:color w:val="000000" w:themeColor="text1"/>
          <w:szCs w:val="22"/>
        </w:rPr>
        <w:t xml:space="preserve">In the absence of material new evidence relating to this matter, we do not set for hearing the question of </w:t>
      </w:r>
      <w:r w:rsidRPr="00475675" w:rsidR="00A45669">
        <w:rPr>
          <w:color w:val="000000" w:themeColor="text1"/>
          <w:szCs w:val="22"/>
        </w:rPr>
        <w:t>SPB</w:t>
      </w:r>
      <w:r w:rsidR="00154F37">
        <w:rPr>
          <w:color w:val="000000" w:themeColor="text1"/>
          <w:szCs w:val="22"/>
        </w:rPr>
        <w:t>’</w:t>
      </w:r>
      <w:r w:rsidRPr="00475675">
        <w:rPr>
          <w:color w:val="000000" w:themeColor="text1"/>
          <w:szCs w:val="22"/>
        </w:rPr>
        <w:t>s basic qualifications to hold or obtain any Commission license or authorization.</w:t>
      </w:r>
      <w:r>
        <w:rPr>
          <w:rStyle w:val="FootnoteReference"/>
          <w:color w:val="000000" w:themeColor="text1"/>
          <w:sz w:val="22"/>
          <w:szCs w:val="22"/>
        </w:rPr>
        <w:footnoteReference w:id="6"/>
      </w:r>
    </w:p>
    <w:p w:rsidR="00CD621F" w:rsidRPr="00475675" w:rsidP="00BF449B" w14:paraId="556DA853" w14:textId="77777777">
      <w:pPr>
        <w:pStyle w:val="ParaNum"/>
        <w:widowControl/>
        <w:numPr>
          <w:ilvl w:val="0"/>
          <w:numId w:val="7"/>
        </w:numPr>
        <w:tabs>
          <w:tab w:val="clear" w:pos="1080"/>
          <w:tab w:val="left" w:pos="1440"/>
        </w:tabs>
        <w:rPr>
          <w:color w:val="000000" w:themeColor="text1"/>
          <w:szCs w:val="22"/>
        </w:rPr>
      </w:pPr>
      <w:r w:rsidRPr="00475675">
        <w:rPr>
          <w:color w:val="000000" w:themeColor="text1"/>
          <w:szCs w:val="22"/>
        </w:rPr>
        <w:t xml:space="preserve">Accordingly, </w:t>
      </w:r>
      <w:r w:rsidRPr="00475675">
        <w:rPr>
          <w:b/>
          <w:color w:val="000000" w:themeColor="text1"/>
          <w:szCs w:val="22"/>
        </w:rPr>
        <w:t xml:space="preserve">IT IS ORDERED </w:t>
      </w:r>
      <w:r w:rsidRPr="00475675">
        <w:rPr>
          <w:color w:val="000000" w:themeColor="text1"/>
          <w:szCs w:val="22"/>
        </w:rPr>
        <w:t>that, pursuant to sections 4(i), and 503(b) of the Act</w:t>
      </w:r>
      <w:r>
        <w:rPr>
          <w:rStyle w:val="FootnoteReference"/>
          <w:color w:val="000000" w:themeColor="text1"/>
          <w:sz w:val="22"/>
          <w:szCs w:val="22"/>
        </w:rPr>
        <w:footnoteReference w:id="7"/>
      </w:r>
      <w:r w:rsidRPr="00475675">
        <w:rPr>
          <w:color w:val="000000" w:themeColor="text1"/>
          <w:szCs w:val="22"/>
        </w:rPr>
        <w:t xml:space="preserve"> and the authority delegated by sections 0.111 and 0.311 of the Commission</w:t>
      </w:r>
      <w:r w:rsidR="00154F37">
        <w:rPr>
          <w:color w:val="000000" w:themeColor="text1"/>
          <w:szCs w:val="22"/>
        </w:rPr>
        <w:t>’</w:t>
      </w:r>
      <w:r w:rsidRPr="00475675">
        <w:rPr>
          <w:color w:val="000000" w:themeColor="text1"/>
          <w:szCs w:val="22"/>
        </w:rPr>
        <w:t>s rules,</w:t>
      </w:r>
      <w:r>
        <w:rPr>
          <w:rStyle w:val="FootnoteReference"/>
          <w:color w:val="000000" w:themeColor="text1"/>
          <w:sz w:val="22"/>
          <w:szCs w:val="22"/>
        </w:rPr>
        <w:footnoteReference w:id="8"/>
      </w:r>
      <w:r w:rsidRPr="00475675">
        <w:rPr>
          <w:color w:val="000000" w:themeColor="text1"/>
          <w:szCs w:val="22"/>
        </w:rPr>
        <w:t xml:space="preserve"> the attached Consent Decree </w:t>
      </w:r>
      <w:r w:rsidRPr="00475675">
        <w:rPr>
          <w:b/>
          <w:color w:val="000000" w:themeColor="text1"/>
          <w:szCs w:val="22"/>
        </w:rPr>
        <w:t xml:space="preserve">IS ADOPTED </w:t>
      </w:r>
      <w:r w:rsidRPr="00475675">
        <w:rPr>
          <w:color w:val="000000" w:themeColor="text1"/>
          <w:szCs w:val="22"/>
        </w:rPr>
        <w:t>and its terms incorporated by reference.</w:t>
      </w:r>
    </w:p>
    <w:p w:rsidR="006652CC" w:rsidRPr="00475675" w:rsidP="00BF449B" w14:paraId="6ADF573C" w14:textId="77777777">
      <w:pPr>
        <w:pStyle w:val="ParaNum"/>
        <w:widowControl/>
        <w:numPr>
          <w:ilvl w:val="0"/>
          <w:numId w:val="7"/>
        </w:numPr>
        <w:tabs>
          <w:tab w:val="clear" w:pos="1080"/>
          <w:tab w:val="left" w:pos="1440"/>
        </w:tabs>
        <w:rPr>
          <w:color w:val="000000" w:themeColor="text1"/>
          <w:szCs w:val="22"/>
        </w:rPr>
      </w:pPr>
      <w:r w:rsidRPr="00475675">
        <w:rPr>
          <w:b/>
          <w:color w:val="000000" w:themeColor="text1"/>
          <w:szCs w:val="22"/>
        </w:rPr>
        <w:t>IT IS FURTHER ORDERED</w:t>
      </w:r>
      <w:r w:rsidRPr="00475675">
        <w:rPr>
          <w:color w:val="000000" w:themeColor="text1"/>
          <w:szCs w:val="22"/>
        </w:rPr>
        <w:t xml:space="preserve"> that the above-captioned matter </w:t>
      </w:r>
      <w:r w:rsidRPr="00475675">
        <w:rPr>
          <w:b/>
          <w:color w:val="000000" w:themeColor="text1"/>
          <w:szCs w:val="22"/>
        </w:rPr>
        <w:t xml:space="preserve">IS TERMINATED </w:t>
      </w:r>
      <w:r w:rsidRPr="00475675">
        <w:rPr>
          <w:color w:val="000000" w:themeColor="text1"/>
          <w:szCs w:val="22"/>
        </w:rPr>
        <w:t>in accordance with the terms of the attached Consent Decree.</w:t>
      </w:r>
    </w:p>
    <w:p w:rsidR="00CD621F" w:rsidRPr="00475675" w:rsidP="0099261C" w14:paraId="152285E5" w14:textId="77777777">
      <w:pPr>
        <w:pStyle w:val="ParaNum"/>
        <w:keepNext/>
        <w:keepLines/>
        <w:widowControl/>
        <w:numPr>
          <w:ilvl w:val="0"/>
          <w:numId w:val="7"/>
        </w:numPr>
        <w:tabs>
          <w:tab w:val="clear" w:pos="1080"/>
          <w:tab w:val="left" w:pos="1440"/>
        </w:tabs>
        <w:rPr>
          <w:b/>
          <w:color w:val="000000" w:themeColor="text1"/>
          <w:szCs w:val="22"/>
        </w:rPr>
      </w:pPr>
      <w:r w:rsidRPr="00475675">
        <w:rPr>
          <w:b/>
          <w:color w:val="000000" w:themeColor="text1"/>
          <w:szCs w:val="22"/>
        </w:rPr>
        <w:t>IT IS FURTHER ORDERED</w:t>
      </w:r>
      <w:r w:rsidRPr="00475675">
        <w:rPr>
          <w:color w:val="000000" w:themeColor="text1"/>
          <w:szCs w:val="22"/>
        </w:rPr>
        <w:t xml:space="preserve"> that a copy of this Order and Consent Decree shall be sent by first class mail and certified mail, return receipt requested, to</w:t>
      </w:r>
      <w:r w:rsidRPr="00475675" w:rsidR="00090F24">
        <w:rPr>
          <w:color w:val="000000" w:themeColor="text1"/>
          <w:szCs w:val="22"/>
        </w:rPr>
        <w:t xml:space="preserve"> </w:t>
      </w:r>
      <w:r w:rsidRPr="00475675" w:rsidR="005F121E">
        <w:rPr>
          <w:color w:val="000000" w:themeColor="text1"/>
          <w:szCs w:val="22"/>
        </w:rPr>
        <w:t>SPB, LLC</w:t>
      </w:r>
      <w:r w:rsidRPr="00475675" w:rsidR="008B6A85">
        <w:rPr>
          <w:color w:val="000000" w:themeColor="text1"/>
          <w:szCs w:val="22"/>
        </w:rPr>
        <w:t>,</w:t>
      </w:r>
      <w:r w:rsidRPr="00475675" w:rsidR="00FE3662">
        <w:rPr>
          <w:color w:val="000000" w:themeColor="text1"/>
          <w:szCs w:val="22"/>
        </w:rPr>
        <w:t xml:space="preserve"> 699 Matson Road</w:t>
      </w:r>
      <w:r w:rsidRPr="00475675" w:rsidR="00295DAB">
        <w:rPr>
          <w:color w:val="000000" w:themeColor="text1"/>
          <w:szCs w:val="22"/>
        </w:rPr>
        <w:t>,</w:t>
      </w:r>
      <w:r w:rsidRPr="00475675" w:rsidR="00FE3662">
        <w:rPr>
          <w:color w:val="000000" w:themeColor="text1"/>
          <w:szCs w:val="22"/>
        </w:rPr>
        <w:t xml:space="preserve"> Columbus, </w:t>
      </w:r>
      <w:r w:rsidRPr="00475675" w:rsidR="00295DAB">
        <w:rPr>
          <w:color w:val="000000" w:themeColor="text1"/>
          <w:szCs w:val="22"/>
        </w:rPr>
        <w:t>MS</w:t>
      </w:r>
      <w:r w:rsidRPr="00475675" w:rsidR="00FE3662">
        <w:rPr>
          <w:color w:val="000000" w:themeColor="text1"/>
          <w:szCs w:val="22"/>
        </w:rPr>
        <w:t xml:space="preserve">, </w:t>
      </w:r>
      <w:r w:rsidRPr="00475675" w:rsidR="003A1933">
        <w:rPr>
          <w:color w:val="000000" w:themeColor="text1"/>
          <w:szCs w:val="22"/>
        </w:rPr>
        <w:t>39705-9102.</w:t>
      </w:r>
    </w:p>
    <w:p w:rsidR="00CD621F" w:rsidRPr="00475675" w:rsidP="0099261C" w14:paraId="687767A6" w14:textId="77777777">
      <w:pPr>
        <w:pStyle w:val="ParaNum"/>
        <w:keepNext/>
        <w:keepLines/>
        <w:widowControl/>
        <w:numPr>
          <w:ilvl w:val="0"/>
          <w:numId w:val="0"/>
        </w:numPr>
        <w:tabs>
          <w:tab w:val="left" w:pos="1440"/>
        </w:tabs>
        <w:spacing w:after="240"/>
        <w:ind w:left="1440"/>
        <w:rPr>
          <w:color w:val="000000" w:themeColor="text1"/>
          <w:szCs w:val="22"/>
        </w:rPr>
      </w:pPr>
    </w:p>
    <w:p w:rsidR="00CD621F" w:rsidRPr="00475675" w:rsidP="0099261C" w14:paraId="47D033C1" w14:textId="77777777">
      <w:pPr>
        <w:keepNext/>
        <w:keepLines/>
        <w:widowControl/>
        <w:outlineLvl w:val="0"/>
        <w:rPr>
          <w:color w:val="000000" w:themeColor="text1"/>
          <w:szCs w:val="22"/>
          <w:lang w:val="fr-FR"/>
        </w:rPr>
      </w:pP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t>FEDERAL COMMUNICATIONS COMMISSION</w:t>
      </w:r>
    </w:p>
    <w:p w:rsidR="00CD621F" w:rsidRPr="00475675" w:rsidP="0099261C" w14:paraId="195E54E6" w14:textId="77777777">
      <w:pPr>
        <w:keepLines/>
        <w:widowControl/>
        <w:rPr>
          <w:color w:val="000000" w:themeColor="text1"/>
          <w:szCs w:val="22"/>
          <w:lang w:val="fr-FR"/>
        </w:rPr>
      </w:pPr>
    </w:p>
    <w:p w:rsidR="00CD621F" w:rsidRPr="00475675" w:rsidP="0099261C" w14:paraId="52EBB09A" w14:textId="77777777">
      <w:pPr>
        <w:keepLines/>
        <w:widowControl/>
        <w:rPr>
          <w:color w:val="000000" w:themeColor="text1"/>
          <w:szCs w:val="22"/>
          <w:lang w:val="fr-FR"/>
        </w:rPr>
      </w:pPr>
    </w:p>
    <w:p w:rsidR="00CD621F" w:rsidRPr="00475675" w:rsidP="0099261C" w14:paraId="36E2F4DD" w14:textId="77777777">
      <w:pPr>
        <w:keepLines/>
        <w:widowControl/>
        <w:rPr>
          <w:color w:val="000000" w:themeColor="text1"/>
          <w:szCs w:val="22"/>
          <w:lang w:val="fr-FR"/>
        </w:rPr>
      </w:pPr>
    </w:p>
    <w:p w:rsidR="00CD621F" w:rsidRPr="00475675" w:rsidP="0099261C" w14:paraId="3BD891DC" w14:textId="77777777">
      <w:pPr>
        <w:keepLines/>
        <w:widowControl/>
        <w:outlineLvl w:val="0"/>
        <w:rPr>
          <w:color w:val="000000" w:themeColor="text1"/>
          <w:szCs w:val="22"/>
          <w:lang w:val="fr-FR"/>
        </w:rPr>
      </w:pPr>
    </w:p>
    <w:p w:rsidR="00CD621F" w:rsidRPr="00475675" w:rsidP="0099261C" w14:paraId="7E607B03" w14:textId="77777777">
      <w:pPr>
        <w:keepLines/>
        <w:widowControl/>
        <w:outlineLvl w:val="0"/>
        <w:rPr>
          <w:color w:val="000000" w:themeColor="text1"/>
          <w:szCs w:val="22"/>
          <w:lang w:val="fr-FR"/>
        </w:rPr>
      </w:pP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00DF40F1">
        <w:rPr>
          <w:color w:val="000000" w:themeColor="text1"/>
          <w:szCs w:val="22"/>
          <w:lang w:val="fr-FR"/>
        </w:rPr>
        <w:t>Michael Carowitz</w:t>
      </w:r>
    </w:p>
    <w:p w:rsidR="00CD621F" w:rsidRPr="00475675" w:rsidP="0099261C" w14:paraId="565C16FA" w14:textId="77777777">
      <w:pPr>
        <w:keepLines/>
        <w:widowControl/>
        <w:outlineLvl w:val="0"/>
        <w:rPr>
          <w:color w:val="000000" w:themeColor="text1"/>
          <w:szCs w:val="22"/>
        </w:rPr>
      </w:pP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lang w:val="fr-FR"/>
        </w:rPr>
        <w:tab/>
      </w:r>
      <w:r w:rsidRPr="00475675">
        <w:rPr>
          <w:color w:val="000000" w:themeColor="text1"/>
          <w:szCs w:val="22"/>
        </w:rPr>
        <w:t>Deputy Chief</w:t>
      </w:r>
    </w:p>
    <w:p w:rsidR="00154F37" w:rsidP="00BF449B" w14:paraId="25EA5C73" w14:textId="77777777">
      <w:pPr>
        <w:widowControl/>
        <w:ind w:left="3600" w:firstLine="720"/>
        <w:outlineLvl w:val="0"/>
        <w:rPr>
          <w:color w:val="000000" w:themeColor="text1"/>
          <w:szCs w:val="22"/>
        </w:rPr>
        <w:sectPr w:rsidSect="00E52AD8">
          <w:headerReference w:type="default" r:id="rId5"/>
          <w:footerReference w:type="even" r:id="rId6"/>
          <w:footerReference w:type="default" r:id="rId7"/>
          <w:headerReference w:type="first" r:id="rId8"/>
          <w:footerReference w:type="first" r:id="rId9"/>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r w:rsidRPr="00475675">
        <w:rPr>
          <w:color w:val="000000" w:themeColor="text1"/>
          <w:szCs w:val="22"/>
        </w:rPr>
        <w:t>Enforcement Bureau</w:t>
      </w:r>
    </w:p>
    <w:p w:rsidR="00F537EE" w:rsidP="00BF449B" w14:paraId="2AE96346" w14:textId="77777777">
      <w:pPr>
        <w:widowControl/>
        <w:ind w:left="3600" w:firstLine="720"/>
        <w:outlineLvl w:val="0"/>
        <w:rPr>
          <w:color w:val="000000" w:themeColor="text1"/>
          <w:szCs w:val="22"/>
        </w:rPr>
      </w:pPr>
    </w:p>
    <w:p w:rsidR="00F537EE" w:rsidRPr="00475675" w:rsidP="00BF449B" w14:paraId="56923072" w14:textId="77777777">
      <w:pPr>
        <w:widowControl/>
        <w:jc w:val="center"/>
        <w:rPr>
          <w:b/>
          <w:color w:val="000000" w:themeColor="text1"/>
          <w:szCs w:val="22"/>
        </w:rPr>
      </w:pPr>
      <w:r w:rsidRPr="00475675">
        <w:rPr>
          <w:b/>
          <w:color w:val="000000" w:themeColor="text1"/>
          <w:kern w:val="0"/>
          <w:szCs w:val="22"/>
        </w:rPr>
        <w:t>Before</w:t>
      </w:r>
      <w:r w:rsidRPr="00475675">
        <w:rPr>
          <w:b/>
          <w:color w:val="000000" w:themeColor="text1"/>
          <w:szCs w:val="22"/>
        </w:rPr>
        <w:t xml:space="preserve"> the</w:t>
      </w:r>
    </w:p>
    <w:p w:rsidR="00F537EE" w:rsidRPr="00475675" w:rsidP="00BF449B" w14:paraId="41597236" w14:textId="77777777">
      <w:pPr>
        <w:pStyle w:val="StyleBoldCentered"/>
        <w:widowControl/>
        <w:rPr>
          <w:rFonts w:ascii="Times New Roman" w:hAnsi="Times New Roman"/>
          <w:color w:val="000000" w:themeColor="text1"/>
        </w:rPr>
      </w:pPr>
      <w:r w:rsidRPr="00475675">
        <w:rPr>
          <w:rFonts w:ascii="Times New Roman" w:hAnsi="Times New Roman"/>
          <w:color w:val="000000" w:themeColor="text1"/>
        </w:rPr>
        <w:t>F</w:t>
      </w:r>
      <w:r w:rsidRPr="00475675">
        <w:rPr>
          <w:rFonts w:ascii="Times New Roman" w:hAnsi="Times New Roman"/>
          <w:caps w:val="0"/>
          <w:color w:val="000000" w:themeColor="text1"/>
        </w:rPr>
        <w:t>ederal Communications Commission</w:t>
      </w:r>
    </w:p>
    <w:p w:rsidR="00F537EE" w:rsidRPr="00475675" w:rsidP="0099261C" w14:paraId="1F7F5191" w14:textId="77777777">
      <w:pPr>
        <w:pStyle w:val="StyleBoldCentered"/>
        <w:widowControl/>
        <w:tabs>
          <w:tab w:val="center" w:pos="4680"/>
          <w:tab w:val="left" w:pos="8139"/>
        </w:tabs>
        <w:rPr>
          <w:rFonts w:ascii="Times New Roman" w:hAnsi="Times New Roman"/>
          <w:color w:val="000000" w:themeColor="text1"/>
        </w:rPr>
      </w:pPr>
      <w:r w:rsidRPr="00475675">
        <w:rPr>
          <w:rFonts w:ascii="Times New Roman" w:hAnsi="Times New Roman"/>
          <w:caps w:val="0"/>
          <w:color w:val="000000" w:themeColor="text1"/>
        </w:rPr>
        <w:t>Washington, D</w:t>
      </w:r>
      <w:r w:rsidR="00A65E0E">
        <w:rPr>
          <w:rFonts w:ascii="Times New Roman" w:hAnsi="Times New Roman"/>
          <w:caps w:val="0"/>
          <w:color w:val="000000" w:themeColor="text1"/>
        </w:rPr>
        <w:t>.</w:t>
      </w:r>
      <w:r w:rsidRPr="00475675">
        <w:rPr>
          <w:rFonts w:ascii="Times New Roman" w:hAnsi="Times New Roman"/>
          <w:caps w:val="0"/>
          <w:color w:val="000000" w:themeColor="text1"/>
        </w:rPr>
        <w:t>C</w:t>
      </w:r>
      <w:r w:rsidR="00A65E0E">
        <w:rPr>
          <w:rFonts w:ascii="Times New Roman" w:hAnsi="Times New Roman"/>
          <w:caps w:val="0"/>
          <w:color w:val="000000" w:themeColor="text1"/>
        </w:rPr>
        <w:t>.</w:t>
      </w:r>
      <w:r w:rsidRPr="00475675">
        <w:rPr>
          <w:rFonts w:ascii="Times New Roman" w:hAnsi="Times New Roman"/>
          <w:caps w:val="0"/>
          <w:color w:val="000000" w:themeColor="text1"/>
        </w:rPr>
        <w:t xml:space="preserve"> 20554</w:t>
      </w:r>
    </w:p>
    <w:p w:rsidR="00F537EE" w:rsidRPr="00475675" w:rsidP="00BF449B" w14:paraId="7268FA3E" w14:textId="77777777">
      <w:pPr>
        <w:widowControl/>
        <w:rPr>
          <w:color w:val="000000" w:themeColor="text1"/>
          <w:szCs w:val="22"/>
        </w:rPr>
      </w:pPr>
    </w:p>
    <w:tbl>
      <w:tblPr>
        <w:tblW w:w="9576" w:type="dxa"/>
        <w:tblLayout w:type="fixed"/>
        <w:tblLook w:val="0000"/>
      </w:tblPr>
      <w:tblGrid>
        <w:gridCol w:w="4698"/>
        <w:gridCol w:w="630"/>
        <w:gridCol w:w="4248"/>
      </w:tblGrid>
      <w:tr w14:paraId="71F02979" w14:textId="77777777" w:rsidTr="00483267">
        <w:tblPrEx>
          <w:tblW w:w="9576" w:type="dxa"/>
          <w:tblLayout w:type="fixed"/>
          <w:tblLook w:val="0000"/>
        </w:tblPrEx>
        <w:trPr>
          <w:trHeight w:val="2043"/>
        </w:trPr>
        <w:tc>
          <w:tcPr>
            <w:tcW w:w="4698" w:type="dxa"/>
          </w:tcPr>
          <w:p w:rsidR="00F537EE" w:rsidRPr="00475675" w:rsidP="00BF449B" w14:paraId="4055232B" w14:textId="77777777">
            <w:pPr>
              <w:widowControl/>
              <w:tabs>
                <w:tab w:val="center" w:pos="4680"/>
              </w:tabs>
              <w:suppressAutoHyphens/>
              <w:rPr>
                <w:color w:val="000000" w:themeColor="text1"/>
                <w:spacing w:val="-2"/>
                <w:szCs w:val="22"/>
              </w:rPr>
            </w:pPr>
            <w:r w:rsidRPr="00475675">
              <w:rPr>
                <w:color w:val="000000" w:themeColor="text1"/>
                <w:spacing w:val="-2"/>
                <w:szCs w:val="22"/>
              </w:rPr>
              <w:t>In the Matter of</w:t>
            </w:r>
          </w:p>
          <w:p w:rsidR="00F537EE" w:rsidRPr="00475675" w:rsidP="00BF449B" w14:paraId="1D331233" w14:textId="77777777">
            <w:pPr>
              <w:widowControl/>
              <w:tabs>
                <w:tab w:val="center" w:pos="4680"/>
              </w:tabs>
              <w:suppressAutoHyphens/>
              <w:rPr>
                <w:color w:val="000000" w:themeColor="text1"/>
                <w:spacing w:val="-2"/>
                <w:szCs w:val="22"/>
              </w:rPr>
            </w:pPr>
          </w:p>
          <w:p w:rsidR="00A43FD8" w:rsidRPr="00475675" w:rsidP="00BF449B" w14:paraId="4B4DDF61" w14:textId="77777777">
            <w:pPr>
              <w:widowControl/>
              <w:tabs>
                <w:tab w:val="center" w:pos="4680"/>
              </w:tabs>
              <w:suppressAutoHyphens/>
              <w:rPr>
                <w:color w:val="000000" w:themeColor="text1"/>
                <w:spacing w:val="-2"/>
                <w:szCs w:val="22"/>
              </w:rPr>
            </w:pPr>
            <w:r w:rsidRPr="00475675">
              <w:rPr>
                <w:color w:val="000000" w:themeColor="text1"/>
                <w:spacing w:val="-2"/>
                <w:szCs w:val="22"/>
              </w:rPr>
              <w:t>SPB, LLC</w:t>
            </w:r>
          </w:p>
          <w:p w:rsidR="0064694B" w:rsidRPr="00475675" w:rsidP="00BF449B" w14:paraId="057F7691" w14:textId="77777777">
            <w:pPr>
              <w:widowControl/>
              <w:tabs>
                <w:tab w:val="center" w:pos="4680"/>
              </w:tabs>
              <w:suppressAutoHyphens/>
              <w:rPr>
                <w:color w:val="000000" w:themeColor="text1"/>
                <w:spacing w:val="-2"/>
                <w:szCs w:val="22"/>
              </w:rPr>
            </w:pPr>
            <w:r w:rsidRPr="00475675">
              <w:rPr>
                <w:color w:val="000000" w:themeColor="text1"/>
                <w:spacing w:val="-2"/>
                <w:szCs w:val="22"/>
              </w:rPr>
              <w:t>Owner of Antenna Structure</w:t>
            </w:r>
            <w:r w:rsidR="00055E3C">
              <w:rPr>
                <w:color w:val="000000" w:themeColor="text1"/>
                <w:spacing w:val="-2"/>
                <w:szCs w:val="22"/>
              </w:rPr>
              <w:t>s</w:t>
            </w:r>
            <w:r w:rsidRPr="00475675">
              <w:rPr>
                <w:color w:val="000000" w:themeColor="text1"/>
                <w:spacing w:val="-2"/>
                <w:szCs w:val="22"/>
              </w:rPr>
              <w:t xml:space="preserve"> </w:t>
            </w:r>
            <w:r w:rsidRPr="00475675" w:rsidR="00055E3C">
              <w:rPr>
                <w:color w:val="000000" w:themeColor="text1"/>
                <w:szCs w:val="22"/>
              </w:rPr>
              <w:t>105185</w:t>
            </w:r>
            <w:r w:rsidR="00055E3C">
              <w:rPr>
                <w:color w:val="000000" w:themeColor="text1"/>
                <w:szCs w:val="22"/>
              </w:rPr>
              <w:t xml:space="preserve">7, </w:t>
            </w:r>
            <w:r w:rsidRPr="00475675" w:rsidR="00055E3C">
              <w:rPr>
                <w:color w:val="000000" w:themeColor="text1"/>
                <w:szCs w:val="22"/>
              </w:rPr>
              <w:t>105185</w:t>
            </w:r>
            <w:r w:rsidR="00055E3C">
              <w:rPr>
                <w:color w:val="000000" w:themeColor="text1"/>
                <w:szCs w:val="22"/>
              </w:rPr>
              <w:t xml:space="preserve">8 and </w:t>
            </w:r>
            <w:r w:rsidRPr="00475675" w:rsidR="00055E3C">
              <w:rPr>
                <w:color w:val="000000" w:themeColor="text1"/>
                <w:szCs w:val="22"/>
              </w:rPr>
              <w:t>1051859</w:t>
            </w:r>
          </w:p>
          <w:p w:rsidR="0064694B" w:rsidRPr="00475675" w:rsidP="00BF449B" w14:paraId="05F4427D" w14:textId="77777777">
            <w:pPr>
              <w:widowControl/>
              <w:tabs>
                <w:tab w:val="center" w:pos="4680"/>
              </w:tabs>
              <w:suppressAutoHyphens/>
              <w:rPr>
                <w:color w:val="000000" w:themeColor="text1"/>
                <w:spacing w:val="-2"/>
                <w:szCs w:val="22"/>
              </w:rPr>
            </w:pPr>
            <w:r w:rsidRPr="00475675">
              <w:rPr>
                <w:color w:val="000000" w:themeColor="text1"/>
                <w:spacing w:val="-2"/>
                <w:szCs w:val="22"/>
              </w:rPr>
              <w:t>Greenwood, Mississippi</w:t>
            </w:r>
          </w:p>
          <w:p w:rsidR="00F537EE" w:rsidRPr="00475675" w:rsidP="00BF449B" w14:paraId="06A77687" w14:textId="77777777">
            <w:pPr>
              <w:widowControl/>
              <w:tabs>
                <w:tab w:val="center" w:pos="4680"/>
              </w:tabs>
              <w:suppressAutoHyphens/>
              <w:rPr>
                <w:color w:val="000000" w:themeColor="text1"/>
                <w:spacing w:val="-2"/>
                <w:szCs w:val="22"/>
              </w:rPr>
            </w:pPr>
          </w:p>
        </w:tc>
        <w:tc>
          <w:tcPr>
            <w:tcW w:w="630" w:type="dxa"/>
          </w:tcPr>
          <w:p w:rsidR="00F537EE" w:rsidRPr="00475675" w:rsidP="00BF449B" w14:paraId="617AC699"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F537EE" w:rsidRPr="00475675" w:rsidP="00BF449B" w14:paraId="3E21C635"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F537EE" w:rsidRPr="00475675" w:rsidP="00BF449B" w14:paraId="30BDA4F0"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F537EE" w:rsidRPr="00475675" w:rsidP="00BF449B" w14:paraId="766D622D"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F537EE" w:rsidRPr="00475675" w:rsidP="00BF449B" w14:paraId="5D5C5421"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F537EE" w:rsidRPr="00475675" w:rsidP="00BF449B" w14:paraId="3A145287"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F537EE" w:rsidRPr="00475675" w:rsidP="00BF449B" w14:paraId="38AEC508" w14:textId="77777777">
            <w:pPr>
              <w:widowControl/>
              <w:tabs>
                <w:tab w:val="center" w:pos="4680"/>
              </w:tabs>
              <w:suppressAutoHyphens/>
              <w:rPr>
                <w:b/>
                <w:color w:val="000000" w:themeColor="text1"/>
                <w:spacing w:val="-2"/>
                <w:szCs w:val="22"/>
              </w:rPr>
            </w:pPr>
            <w:r w:rsidRPr="00475675">
              <w:rPr>
                <w:b/>
                <w:color w:val="000000" w:themeColor="text1"/>
                <w:spacing w:val="-2"/>
                <w:szCs w:val="22"/>
              </w:rPr>
              <w:t>)</w:t>
            </w:r>
          </w:p>
          <w:p w:rsidR="00F537EE" w:rsidRPr="00475675" w:rsidP="00BF449B" w14:paraId="23C9A265" w14:textId="77777777">
            <w:pPr>
              <w:widowControl/>
              <w:tabs>
                <w:tab w:val="center" w:pos="4680"/>
              </w:tabs>
              <w:suppressAutoHyphens/>
              <w:rPr>
                <w:color w:val="000000" w:themeColor="text1"/>
                <w:spacing w:val="-2"/>
                <w:szCs w:val="22"/>
              </w:rPr>
            </w:pPr>
          </w:p>
        </w:tc>
        <w:tc>
          <w:tcPr>
            <w:tcW w:w="4248" w:type="dxa"/>
          </w:tcPr>
          <w:p w:rsidR="00F537EE" w:rsidRPr="00475675" w:rsidP="00BF449B" w14:paraId="0967B20B" w14:textId="77777777">
            <w:pPr>
              <w:widowControl/>
              <w:tabs>
                <w:tab w:val="center" w:pos="4680"/>
              </w:tabs>
              <w:suppressAutoHyphens/>
              <w:ind w:left="432"/>
              <w:rPr>
                <w:color w:val="000000" w:themeColor="text1"/>
                <w:spacing w:val="-2"/>
                <w:szCs w:val="22"/>
              </w:rPr>
            </w:pPr>
          </w:p>
          <w:p w:rsidR="00F537EE" w:rsidRPr="00475675" w:rsidP="00BF449B" w14:paraId="6A26100F" w14:textId="77777777">
            <w:pPr>
              <w:widowControl/>
              <w:tabs>
                <w:tab w:val="center" w:pos="4680"/>
              </w:tabs>
              <w:suppressAutoHyphens/>
              <w:ind w:left="432"/>
              <w:rPr>
                <w:color w:val="000000" w:themeColor="text1"/>
                <w:spacing w:val="-2"/>
                <w:szCs w:val="22"/>
              </w:rPr>
            </w:pPr>
          </w:p>
          <w:p w:rsidR="00F537EE" w:rsidRPr="00475675" w:rsidP="00BF449B" w14:paraId="5142F4E7" w14:textId="77777777">
            <w:pPr>
              <w:widowControl/>
              <w:tabs>
                <w:tab w:val="center" w:pos="4680"/>
              </w:tabs>
              <w:suppressAutoHyphens/>
              <w:ind w:left="432"/>
              <w:rPr>
                <w:color w:val="000000" w:themeColor="text1"/>
                <w:spacing w:val="-2"/>
                <w:szCs w:val="22"/>
              </w:rPr>
            </w:pPr>
            <w:r w:rsidRPr="00475675">
              <w:rPr>
                <w:color w:val="000000" w:themeColor="text1"/>
                <w:spacing w:val="-2"/>
                <w:szCs w:val="22"/>
              </w:rPr>
              <w:t>File No.:  EB-FIELDSCR-</w:t>
            </w:r>
            <w:r w:rsidRPr="00475675" w:rsidR="00F671D0">
              <w:rPr>
                <w:color w:val="000000" w:themeColor="text1"/>
                <w:szCs w:val="22"/>
                <w:shd w:val="clear" w:color="auto" w:fill="FFFFFF"/>
              </w:rPr>
              <w:t>18-00026264</w:t>
            </w:r>
          </w:p>
          <w:p w:rsidR="00F537EE" w:rsidRPr="00475675" w:rsidP="00BF449B" w14:paraId="10BA1983" w14:textId="77777777">
            <w:pPr>
              <w:widowControl/>
              <w:ind w:left="432"/>
              <w:rPr>
                <w:color w:val="000000" w:themeColor="text1"/>
                <w:spacing w:val="-2"/>
                <w:szCs w:val="22"/>
              </w:rPr>
            </w:pPr>
            <w:r w:rsidRPr="00475675">
              <w:rPr>
                <w:color w:val="000000" w:themeColor="text1"/>
                <w:spacing w:val="-2"/>
                <w:szCs w:val="22"/>
              </w:rPr>
              <w:t xml:space="preserve">CD Acct. No.:  </w:t>
            </w:r>
            <w:r w:rsidRPr="00BC2391" w:rsidR="00BC2391">
              <w:rPr>
                <w:color w:val="000000" w:themeColor="text1"/>
                <w:spacing w:val="-2"/>
                <w:szCs w:val="22"/>
              </w:rPr>
              <w:t>202232020001</w:t>
            </w:r>
          </w:p>
          <w:p w:rsidR="00F537EE" w:rsidRPr="00475675" w:rsidP="00BF449B" w14:paraId="4E717707" w14:textId="77777777">
            <w:pPr>
              <w:widowControl/>
              <w:tabs>
                <w:tab w:val="center" w:pos="4680"/>
              </w:tabs>
              <w:suppressAutoHyphens/>
              <w:ind w:left="432"/>
              <w:rPr>
                <w:color w:val="000000" w:themeColor="text1"/>
                <w:spacing w:val="-2"/>
                <w:szCs w:val="22"/>
              </w:rPr>
            </w:pPr>
            <w:r w:rsidRPr="00475675">
              <w:rPr>
                <w:color w:val="000000" w:themeColor="text1"/>
                <w:szCs w:val="22"/>
              </w:rPr>
              <w:t xml:space="preserve">FRN:  </w:t>
            </w:r>
            <w:r w:rsidRPr="00475675" w:rsidR="00023199">
              <w:rPr>
                <w:color w:val="000000" w:themeColor="text1"/>
                <w:spacing w:val="-2"/>
                <w:szCs w:val="22"/>
              </w:rPr>
              <w:t>0017051509</w:t>
            </w:r>
          </w:p>
        </w:tc>
      </w:tr>
    </w:tbl>
    <w:p w:rsidR="00F537EE" w:rsidRPr="00475675" w:rsidP="00BF449B" w14:paraId="2573F04F" w14:textId="77777777">
      <w:pPr>
        <w:pStyle w:val="StyleBoldCentered"/>
        <w:widowControl/>
        <w:rPr>
          <w:rFonts w:ascii="Times New Roman" w:hAnsi="Times New Roman"/>
          <w:color w:val="000000" w:themeColor="text1"/>
        </w:rPr>
      </w:pPr>
      <w:r w:rsidRPr="00475675">
        <w:rPr>
          <w:rFonts w:ascii="Times New Roman" w:hAnsi="Times New Roman"/>
          <w:color w:val="000000" w:themeColor="text1"/>
        </w:rPr>
        <w:t>CONSENT DECREE</w:t>
      </w:r>
    </w:p>
    <w:p w:rsidR="00F537EE" w:rsidRPr="00475675" w:rsidP="00BF449B" w14:paraId="6BD6C929" w14:textId="77777777">
      <w:pPr>
        <w:pStyle w:val="StyleBoldCentered"/>
        <w:widowControl/>
        <w:rPr>
          <w:rFonts w:ascii="Times New Roman" w:hAnsi="Times New Roman"/>
          <w:color w:val="000000" w:themeColor="text1"/>
        </w:rPr>
      </w:pPr>
    </w:p>
    <w:p w:rsidR="00F537EE" w:rsidRPr="00154F37" w:rsidP="008D73F3" w14:paraId="29F00828" w14:textId="77777777">
      <w:pPr>
        <w:pStyle w:val="ParaNum"/>
        <w:widowControl/>
        <w:rPr>
          <w:color w:val="000000" w:themeColor="text1"/>
          <w:szCs w:val="22"/>
        </w:rPr>
      </w:pPr>
      <w:r w:rsidRPr="00154F37">
        <w:rPr>
          <w:color w:val="000000" w:themeColor="text1"/>
          <w:szCs w:val="22"/>
        </w:rPr>
        <w:t xml:space="preserve">The Enforcement Bureau of the Federal Communications Commission and </w:t>
      </w:r>
      <w:r w:rsidRPr="00154F37" w:rsidR="00A45669">
        <w:rPr>
          <w:color w:val="000000" w:themeColor="text1"/>
          <w:spacing w:val="-2"/>
          <w:szCs w:val="22"/>
        </w:rPr>
        <w:t>SPB, LLC</w:t>
      </w:r>
      <w:r w:rsidRPr="00154F37">
        <w:rPr>
          <w:color w:val="000000" w:themeColor="text1"/>
          <w:szCs w:val="22"/>
        </w:rPr>
        <w:t xml:space="preserve"> (</w:t>
      </w:r>
      <w:r w:rsidRPr="00154F37" w:rsidR="00A45669">
        <w:rPr>
          <w:color w:val="000000" w:themeColor="text1"/>
          <w:szCs w:val="22"/>
        </w:rPr>
        <w:t>SPB</w:t>
      </w:r>
      <w:r w:rsidRPr="00154F37">
        <w:rPr>
          <w:color w:val="000000" w:themeColor="text1"/>
          <w:szCs w:val="22"/>
        </w:rPr>
        <w:t>), by their authorized representatives, hereby enter into this Consent Decree for the purpose of terminating the Enforcement Bureau</w:t>
      </w:r>
      <w:r w:rsidR="00154F37">
        <w:rPr>
          <w:color w:val="000000" w:themeColor="text1"/>
          <w:szCs w:val="22"/>
        </w:rPr>
        <w:t>’</w:t>
      </w:r>
      <w:r w:rsidRPr="00154F37">
        <w:rPr>
          <w:color w:val="000000" w:themeColor="text1"/>
          <w:szCs w:val="22"/>
        </w:rPr>
        <w:t xml:space="preserve">s investigation into whether </w:t>
      </w:r>
      <w:r w:rsidRPr="00154F37" w:rsidR="00A45669">
        <w:rPr>
          <w:color w:val="000000" w:themeColor="text1"/>
          <w:szCs w:val="22"/>
        </w:rPr>
        <w:t>SPB</w:t>
      </w:r>
      <w:r w:rsidRPr="00154F37">
        <w:rPr>
          <w:color w:val="000000" w:themeColor="text1"/>
          <w:szCs w:val="22"/>
        </w:rPr>
        <w:t xml:space="preserve"> violated </w:t>
      </w:r>
      <w:r w:rsidRPr="00154F37" w:rsidR="003548D6">
        <w:rPr>
          <w:color w:val="000000" w:themeColor="text1"/>
          <w:szCs w:val="22"/>
        </w:rPr>
        <w:t>section 303(q) of the Communications Act of 1934, as amended (Act),</w:t>
      </w:r>
      <w:r>
        <w:rPr>
          <w:rStyle w:val="FootnoteReference"/>
          <w:color w:val="000000" w:themeColor="text1"/>
          <w:sz w:val="22"/>
          <w:szCs w:val="22"/>
        </w:rPr>
        <w:footnoteReference w:id="9"/>
      </w:r>
      <w:r w:rsidRPr="00154F37" w:rsidR="003548D6">
        <w:rPr>
          <w:color w:val="000000" w:themeColor="text1"/>
          <w:szCs w:val="22"/>
        </w:rPr>
        <w:t xml:space="preserve"> and section</w:t>
      </w:r>
      <w:r w:rsidRPr="00154F37" w:rsidR="00D95917">
        <w:rPr>
          <w:color w:val="000000" w:themeColor="text1"/>
          <w:szCs w:val="22"/>
        </w:rPr>
        <w:t xml:space="preserve"> </w:t>
      </w:r>
      <w:r w:rsidRPr="00154F37" w:rsidR="003548D6">
        <w:rPr>
          <w:color w:val="000000" w:themeColor="text1"/>
          <w:szCs w:val="22"/>
        </w:rPr>
        <w:t>17.</w:t>
      </w:r>
      <w:r w:rsidRPr="00154F37" w:rsidR="00410476">
        <w:rPr>
          <w:color w:val="000000" w:themeColor="text1"/>
          <w:szCs w:val="22"/>
        </w:rPr>
        <w:t>23</w:t>
      </w:r>
      <w:r w:rsidRPr="00154F37" w:rsidR="003548D6">
        <w:rPr>
          <w:color w:val="000000" w:themeColor="text1"/>
          <w:szCs w:val="22"/>
        </w:rPr>
        <w:t xml:space="preserve"> of the Commission</w:t>
      </w:r>
      <w:r w:rsidR="00154F37">
        <w:rPr>
          <w:color w:val="000000" w:themeColor="text1"/>
          <w:szCs w:val="22"/>
        </w:rPr>
        <w:t>’</w:t>
      </w:r>
      <w:r w:rsidRPr="00154F37" w:rsidR="003548D6">
        <w:rPr>
          <w:color w:val="000000" w:themeColor="text1"/>
          <w:szCs w:val="22"/>
        </w:rPr>
        <w:t>s rules (Rules)</w:t>
      </w:r>
      <w:r>
        <w:rPr>
          <w:rStyle w:val="FootnoteReference"/>
          <w:color w:val="000000" w:themeColor="text1"/>
          <w:sz w:val="22"/>
          <w:szCs w:val="22"/>
        </w:rPr>
        <w:footnoteReference w:id="10"/>
      </w:r>
      <w:r w:rsidRPr="00154F37" w:rsidR="003548D6">
        <w:rPr>
          <w:color w:val="000000" w:themeColor="text1"/>
          <w:szCs w:val="22"/>
        </w:rPr>
        <w:t xml:space="preserve"> in connection with SPB failing to maintain </w:t>
      </w:r>
      <w:r w:rsidRPr="00154F37" w:rsidR="00002F50">
        <w:rPr>
          <w:color w:val="000000" w:themeColor="text1"/>
          <w:szCs w:val="22"/>
        </w:rPr>
        <w:t>the required</w:t>
      </w:r>
      <w:r w:rsidRPr="00154F37" w:rsidR="003548D6">
        <w:rPr>
          <w:color w:val="000000" w:themeColor="text1"/>
          <w:szCs w:val="22"/>
        </w:rPr>
        <w:t xml:space="preserve"> lighting on </w:t>
      </w:r>
      <w:r w:rsidRPr="00154F37" w:rsidR="00002F50">
        <w:rPr>
          <w:color w:val="000000" w:themeColor="text1"/>
          <w:szCs w:val="22"/>
        </w:rPr>
        <w:t>an</w:t>
      </w:r>
      <w:r w:rsidRPr="00154F37" w:rsidR="003548D6">
        <w:rPr>
          <w:color w:val="000000" w:themeColor="text1"/>
          <w:szCs w:val="22"/>
        </w:rPr>
        <w:t xml:space="preserve"> antenna structure</w:t>
      </w:r>
      <w:r w:rsidRPr="00154F37">
        <w:rPr>
          <w:color w:val="000000" w:themeColor="text1"/>
          <w:szCs w:val="22"/>
        </w:rPr>
        <w:t xml:space="preserve">.  To resolve this matter, </w:t>
      </w:r>
      <w:r w:rsidRPr="00154F37" w:rsidR="00A45669">
        <w:rPr>
          <w:color w:val="000000" w:themeColor="text1"/>
          <w:szCs w:val="22"/>
        </w:rPr>
        <w:t>SPB</w:t>
      </w:r>
      <w:r w:rsidRPr="00154F37">
        <w:rPr>
          <w:color w:val="000000" w:themeColor="text1"/>
          <w:szCs w:val="22"/>
        </w:rPr>
        <w:t xml:space="preserve"> (a) admits to violating section 30</w:t>
      </w:r>
      <w:r w:rsidRPr="00154F37" w:rsidR="00D95917">
        <w:rPr>
          <w:color w:val="000000" w:themeColor="text1"/>
          <w:szCs w:val="22"/>
        </w:rPr>
        <w:t>3(q)</w:t>
      </w:r>
      <w:r w:rsidRPr="00154F37">
        <w:rPr>
          <w:color w:val="000000" w:themeColor="text1"/>
          <w:szCs w:val="22"/>
        </w:rPr>
        <w:t xml:space="preserve"> of the Act </w:t>
      </w:r>
      <w:r w:rsidRPr="00154F37" w:rsidR="005F121E">
        <w:rPr>
          <w:color w:val="000000" w:themeColor="text1"/>
          <w:szCs w:val="22"/>
        </w:rPr>
        <w:t>and</w:t>
      </w:r>
      <w:r w:rsidRPr="00154F37">
        <w:rPr>
          <w:color w:val="000000" w:themeColor="text1"/>
          <w:szCs w:val="22"/>
        </w:rPr>
        <w:t xml:space="preserve"> </w:t>
      </w:r>
      <w:r w:rsidRPr="00154F37" w:rsidR="00D95917">
        <w:rPr>
          <w:color w:val="000000" w:themeColor="text1"/>
          <w:szCs w:val="22"/>
        </w:rPr>
        <w:t>section 17.</w:t>
      </w:r>
      <w:r w:rsidRPr="00154F37" w:rsidR="00002F50">
        <w:rPr>
          <w:color w:val="000000" w:themeColor="text1"/>
          <w:szCs w:val="22"/>
        </w:rPr>
        <w:t>23</w:t>
      </w:r>
      <w:r w:rsidRPr="00154F37" w:rsidR="00D95917">
        <w:rPr>
          <w:color w:val="000000" w:themeColor="text1"/>
          <w:szCs w:val="22"/>
        </w:rPr>
        <w:t xml:space="preserve"> of the Rules</w:t>
      </w:r>
      <w:r w:rsidRPr="00154F37" w:rsidR="00BB732B">
        <w:rPr>
          <w:color w:val="000000" w:themeColor="text1"/>
          <w:szCs w:val="22"/>
        </w:rPr>
        <w:t xml:space="preserve">, </w:t>
      </w:r>
      <w:r w:rsidRPr="00154F37">
        <w:rPr>
          <w:color w:val="000000" w:themeColor="text1"/>
          <w:szCs w:val="22"/>
        </w:rPr>
        <w:t>(b) agrees to pay a civil penalty of $</w:t>
      </w:r>
      <w:r w:rsidRPr="00154F37" w:rsidR="005F50FA">
        <w:rPr>
          <w:color w:val="000000" w:themeColor="text1"/>
          <w:szCs w:val="22"/>
        </w:rPr>
        <w:t>1,400</w:t>
      </w:r>
      <w:r w:rsidRPr="00154F37" w:rsidR="00BB732B">
        <w:rPr>
          <w:color w:val="000000" w:themeColor="text1"/>
          <w:szCs w:val="22"/>
        </w:rPr>
        <w:t xml:space="preserve">, </w:t>
      </w:r>
      <w:r w:rsidRPr="00154F37">
        <w:rPr>
          <w:color w:val="000000" w:themeColor="text1"/>
          <w:szCs w:val="22"/>
        </w:rPr>
        <w:t xml:space="preserve">and (c) agrees to enter into a compliance plan. </w:t>
      </w:r>
    </w:p>
    <w:p w:rsidR="00F537EE" w:rsidRPr="00475675" w:rsidP="00BF449B" w14:paraId="7875AD7C" w14:textId="77777777">
      <w:pPr>
        <w:pStyle w:val="Heading1"/>
        <w:widowControl/>
        <w:rPr>
          <w:rFonts w:ascii="Times New Roman" w:hAnsi="Times New Roman"/>
          <w:color w:val="000000" w:themeColor="text1"/>
          <w:szCs w:val="22"/>
        </w:rPr>
      </w:pPr>
      <w:r w:rsidRPr="00475675">
        <w:rPr>
          <w:rFonts w:ascii="Times New Roman" w:hAnsi="Times New Roman"/>
          <w:color w:val="000000" w:themeColor="text1"/>
          <w:szCs w:val="22"/>
        </w:rPr>
        <w:t>DEFINITIONS</w:t>
      </w:r>
    </w:p>
    <w:p w:rsidR="00F537EE" w:rsidRPr="00475675" w:rsidP="00BF449B" w14:paraId="558D6EC6" w14:textId="77777777">
      <w:pPr>
        <w:pStyle w:val="ParaNum"/>
        <w:widowControl/>
        <w:rPr>
          <w:color w:val="000000" w:themeColor="text1"/>
          <w:szCs w:val="22"/>
        </w:rPr>
      </w:pPr>
      <w:r w:rsidRPr="00475675">
        <w:rPr>
          <w:color w:val="000000" w:themeColor="text1"/>
          <w:szCs w:val="22"/>
        </w:rPr>
        <w:t>For the purposes of this Consent Decree, the following definitions shall apply:</w:t>
      </w:r>
    </w:p>
    <w:p w:rsidR="00F537EE" w:rsidRPr="00475675" w:rsidP="00BF449B" w14:paraId="2DDF7E2B"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“Act”</w:t>
      </w:r>
      <w:r w:rsidRPr="00475675">
        <w:rPr>
          <w:rStyle w:val="ParanumChar0"/>
          <w:color w:val="000000" w:themeColor="text1"/>
          <w:szCs w:val="22"/>
        </w:rPr>
        <w:t xml:space="preserve"> </w:t>
      </w:r>
      <w:r w:rsidRPr="00475675">
        <w:rPr>
          <w:color w:val="000000" w:themeColor="text1"/>
          <w:szCs w:val="22"/>
        </w:rPr>
        <w:t>means the Communications Act of 1934, as amended.</w:t>
      </w:r>
      <w:r>
        <w:rPr>
          <w:rStyle w:val="FootnoteReference"/>
          <w:color w:val="000000" w:themeColor="text1"/>
          <w:sz w:val="22"/>
          <w:szCs w:val="22"/>
        </w:rPr>
        <w:footnoteReference w:id="11"/>
      </w:r>
    </w:p>
    <w:p w:rsidR="00F537EE" w:rsidRPr="00475675" w:rsidP="00BF449B" w14:paraId="71F80219"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“Adopting Order” means an order of the Bureau adopting the terms of this Consent Decree without change, addition, deletion, or modification.</w:t>
      </w:r>
    </w:p>
    <w:p w:rsidR="002B40F2" w:rsidRPr="00475675" w:rsidP="00BF449B" w14:paraId="5275680D"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“Antenna Structure Rules” means section 303(q) of the Communications Act of 1934, as amended, and section</w:t>
      </w:r>
      <w:r w:rsidRPr="00475675" w:rsidR="00A11E3B">
        <w:rPr>
          <w:color w:val="000000" w:themeColor="text1"/>
          <w:szCs w:val="22"/>
        </w:rPr>
        <w:t>s</w:t>
      </w:r>
      <w:r w:rsidRPr="00475675">
        <w:rPr>
          <w:color w:val="000000" w:themeColor="text1"/>
          <w:szCs w:val="22"/>
        </w:rPr>
        <w:t xml:space="preserve"> 17.</w:t>
      </w:r>
      <w:r w:rsidRPr="00475675" w:rsidR="00B33D2A">
        <w:rPr>
          <w:color w:val="000000" w:themeColor="text1"/>
          <w:szCs w:val="22"/>
        </w:rPr>
        <w:t>23</w:t>
      </w:r>
      <w:r w:rsidRPr="00475675" w:rsidR="007C6A70">
        <w:rPr>
          <w:color w:val="000000" w:themeColor="text1"/>
          <w:szCs w:val="22"/>
        </w:rPr>
        <w:t>,</w:t>
      </w:r>
      <w:r w:rsidR="00086F62">
        <w:rPr>
          <w:color w:val="000000" w:themeColor="text1"/>
          <w:szCs w:val="22"/>
        </w:rPr>
        <w:t xml:space="preserve"> </w:t>
      </w:r>
      <w:r w:rsidRPr="00475675" w:rsidR="00A11E3B">
        <w:rPr>
          <w:color w:val="000000" w:themeColor="text1"/>
          <w:szCs w:val="22"/>
        </w:rPr>
        <w:t>17.</w:t>
      </w:r>
      <w:r w:rsidRPr="00475675" w:rsidR="00F323FB">
        <w:rPr>
          <w:color w:val="000000" w:themeColor="text1"/>
          <w:szCs w:val="22"/>
        </w:rPr>
        <w:t>47</w:t>
      </w:r>
      <w:r w:rsidRPr="00475675" w:rsidR="007C6A70">
        <w:rPr>
          <w:color w:val="000000" w:themeColor="text1"/>
          <w:szCs w:val="22"/>
        </w:rPr>
        <w:t xml:space="preserve"> and 17.57</w:t>
      </w:r>
      <w:r w:rsidRPr="00475675">
        <w:rPr>
          <w:color w:val="000000" w:themeColor="text1"/>
          <w:szCs w:val="22"/>
        </w:rPr>
        <w:t xml:space="preserve"> of the Commission</w:t>
      </w:r>
      <w:r w:rsidR="00154F37">
        <w:rPr>
          <w:color w:val="000000" w:themeColor="text1"/>
          <w:szCs w:val="22"/>
        </w:rPr>
        <w:t>’</w:t>
      </w:r>
      <w:r w:rsidRPr="00475675">
        <w:rPr>
          <w:color w:val="000000" w:themeColor="text1"/>
          <w:szCs w:val="22"/>
        </w:rPr>
        <w:t>s rules.</w:t>
      </w:r>
    </w:p>
    <w:p w:rsidR="00F537EE" w:rsidRPr="00475675" w:rsidP="00BF449B" w14:paraId="7D259502"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“Bureau” means the Enforcement Bureau of the Federal Communications Commission.</w:t>
      </w:r>
    </w:p>
    <w:p w:rsidR="002B40F2" w:rsidRPr="00475675" w:rsidP="00BF449B" w14:paraId="25D26936" w14:textId="0013C89D">
      <w:pPr>
        <w:widowControl/>
        <w:numPr>
          <w:ilvl w:val="0"/>
          <w:numId w:val="9"/>
        </w:numPr>
        <w:tabs>
          <w:tab w:val="clear" w:pos="1224"/>
        </w:tabs>
        <w:spacing w:after="120"/>
        <w:ind w:left="1890"/>
        <w:rPr>
          <w:color w:val="000000" w:themeColor="text1"/>
          <w:szCs w:val="22"/>
        </w:rPr>
      </w:pPr>
      <w:r w:rsidRPr="00475675">
        <w:rPr>
          <w:color w:val="000000" w:themeColor="text1"/>
          <w:szCs w:val="22"/>
        </w:rPr>
        <w:t>“CD Acct No.” means account number</w:t>
      </w:r>
      <w:r w:rsidRPr="00475675">
        <w:rPr>
          <w:color w:val="000000" w:themeColor="text1"/>
          <w:szCs w:val="22"/>
          <w:shd w:val="clear" w:color="auto" w:fill="FFFFFF"/>
        </w:rPr>
        <w:t xml:space="preserve"> </w:t>
      </w:r>
      <w:r w:rsidRPr="00007CE0" w:rsidR="00007CE0">
        <w:rPr>
          <w:color w:val="000000" w:themeColor="text1"/>
          <w:shd w:val="clear" w:color="auto" w:fill="FFFFFF"/>
        </w:rPr>
        <w:t>202232020001</w:t>
      </w:r>
      <w:r w:rsidRPr="00475675">
        <w:rPr>
          <w:color w:val="000000" w:themeColor="text1"/>
          <w:szCs w:val="22"/>
        </w:rPr>
        <w:t xml:space="preserve">, associated with payment obligations described in paragraph </w:t>
      </w:r>
      <w:r>
        <w:rPr>
          <w:color w:val="000000" w:themeColor="text1"/>
          <w:szCs w:val="22"/>
        </w:rPr>
        <w:fldChar w:fldCharType="begin"/>
      </w:r>
      <w:r>
        <w:rPr>
          <w:color w:val="000000" w:themeColor="text1"/>
          <w:szCs w:val="22"/>
        </w:rPr>
        <w:instrText xml:space="preserve"> REF _Ref66091124 \r \h </w:instrText>
      </w:r>
      <w:r>
        <w:rPr>
          <w:color w:val="000000" w:themeColor="text1"/>
          <w:szCs w:val="22"/>
        </w:rPr>
        <w:fldChar w:fldCharType="separate"/>
      </w:r>
      <w:r w:rsidR="00390728">
        <w:rPr>
          <w:color w:val="000000" w:themeColor="text1"/>
          <w:szCs w:val="22"/>
        </w:rPr>
        <w:t>15</w:t>
      </w:r>
      <w:r>
        <w:rPr>
          <w:color w:val="000000" w:themeColor="text1"/>
          <w:szCs w:val="22"/>
        </w:rPr>
        <w:fldChar w:fldCharType="end"/>
      </w:r>
      <w:r w:rsidR="00FE755C">
        <w:rPr>
          <w:color w:val="000000" w:themeColor="text1"/>
          <w:szCs w:val="22"/>
        </w:rPr>
        <w:t xml:space="preserve"> </w:t>
      </w:r>
      <w:r w:rsidRPr="00475675">
        <w:rPr>
          <w:color w:val="000000" w:themeColor="text1"/>
          <w:szCs w:val="22"/>
        </w:rPr>
        <w:t xml:space="preserve">of this Consent Decree. </w:t>
      </w:r>
    </w:p>
    <w:p w:rsidR="00F537EE" w:rsidRPr="00475675" w:rsidP="00BF449B" w14:paraId="141AFD49"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“Commission” and “FCC” mean the Federal Communications Commission and all of its bureaus and offices.</w:t>
      </w:r>
    </w:p>
    <w:p w:rsidR="00F537EE" w:rsidRPr="00475675" w:rsidP="00BF449B" w14:paraId="6A7383A1"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 xml:space="preserve">“Communications Laws” means collectively, the Act, the Rules, and the published and promulgated orders and decisions of the Commission to which </w:t>
      </w:r>
      <w:r w:rsidRPr="00475675" w:rsidR="00A45669">
        <w:rPr>
          <w:color w:val="000000" w:themeColor="text1"/>
          <w:szCs w:val="22"/>
        </w:rPr>
        <w:t>SPB</w:t>
      </w:r>
      <w:r w:rsidRPr="00475675">
        <w:rPr>
          <w:color w:val="000000" w:themeColor="text1"/>
          <w:szCs w:val="22"/>
        </w:rPr>
        <w:t xml:space="preserve"> is subject by virtue of its business activities, including but not limited to the </w:t>
      </w:r>
      <w:r w:rsidRPr="00475675" w:rsidR="00E74133">
        <w:rPr>
          <w:color w:val="000000" w:themeColor="text1"/>
          <w:szCs w:val="22"/>
        </w:rPr>
        <w:t>Antenna Structure Rules</w:t>
      </w:r>
      <w:r w:rsidRPr="00475675">
        <w:rPr>
          <w:color w:val="000000" w:themeColor="text1"/>
          <w:szCs w:val="22"/>
        </w:rPr>
        <w:t>.</w:t>
      </w:r>
    </w:p>
    <w:p w:rsidR="00F537EE" w:rsidRPr="00475675" w:rsidP="00BF449B" w14:paraId="6C8D9479" w14:textId="37132FEC">
      <w:pPr>
        <w:widowControl/>
        <w:numPr>
          <w:ilvl w:val="0"/>
          <w:numId w:val="9"/>
        </w:numPr>
        <w:tabs>
          <w:tab w:val="clear" w:pos="1224"/>
        </w:tabs>
        <w:spacing w:after="120"/>
        <w:ind w:left="1890"/>
        <w:rPr>
          <w:color w:val="000000" w:themeColor="text1"/>
          <w:szCs w:val="22"/>
        </w:rPr>
      </w:pPr>
      <w:r w:rsidRPr="00475675">
        <w:rPr>
          <w:color w:val="000000" w:themeColor="text1"/>
          <w:szCs w:val="22"/>
        </w:rPr>
        <w:t>“Compliance Plan” means the compliance obligations, program, and procedures described in this Consent Decree at paragraph</w:t>
      </w:r>
      <w:r w:rsidR="00FE755C">
        <w:rPr>
          <w:color w:val="000000" w:themeColor="text1"/>
          <w:szCs w:val="22"/>
        </w:rPr>
        <w:t xml:space="preserve"> </w:t>
      </w:r>
      <w:r w:rsidR="00FE755C">
        <w:rPr>
          <w:color w:val="000000" w:themeColor="text1"/>
          <w:szCs w:val="22"/>
        </w:rPr>
        <w:fldChar w:fldCharType="begin"/>
      </w:r>
      <w:r w:rsidR="00FE755C">
        <w:rPr>
          <w:color w:val="000000" w:themeColor="text1"/>
          <w:szCs w:val="22"/>
        </w:rPr>
        <w:instrText xml:space="preserve"> REF _Ref357521857 \r \h </w:instrText>
      </w:r>
      <w:r w:rsidR="00FE755C">
        <w:rPr>
          <w:color w:val="000000" w:themeColor="text1"/>
          <w:szCs w:val="22"/>
        </w:rPr>
        <w:fldChar w:fldCharType="separate"/>
      </w:r>
      <w:r w:rsidR="00390728">
        <w:rPr>
          <w:color w:val="000000" w:themeColor="text1"/>
          <w:szCs w:val="22"/>
        </w:rPr>
        <w:t>11</w:t>
      </w:r>
      <w:r w:rsidR="00FE755C">
        <w:rPr>
          <w:color w:val="000000" w:themeColor="text1"/>
          <w:szCs w:val="22"/>
        </w:rPr>
        <w:fldChar w:fldCharType="end"/>
      </w:r>
      <w:r w:rsidRPr="00475675">
        <w:rPr>
          <w:color w:val="000000" w:themeColor="text1"/>
          <w:szCs w:val="22"/>
        </w:rPr>
        <w:t>.</w:t>
      </w:r>
    </w:p>
    <w:p w:rsidR="00F537EE" w:rsidRPr="00475675" w:rsidP="00BF449B" w14:paraId="0E85CFC2"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 xml:space="preserve">“Covered Employees” means all employees and agents of </w:t>
      </w:r>
      <w:r w:rsidRPr="00475675" w:rsidR="00A45669">
        <w:rPr>
          <w:color w:val="000000" w:themeColor="text1"/>
          <w:szCs w:val="22"/>
        </w:rPr>
        <w:t>SPB</w:t>
      </w:r>
      <w:r w:rsidRPr="00475675">
        <w:rPr>
          <w:color w:val="000000" w:themeColor="text1"/>
          <w:szCs w:val="22"/>
        </w:rPr>
        <w:t xml:space="preserve"> who perform, supervise, oversee, or manage the performance of, duties that relate to </w:t>
      </w:r>
      <w:r w:rsidRPr="00475675" w:rsidR="00A45669">
        <w:rPr>
          <w:color w:val="000000" w:themeColor="text1"/>
          <w:szCs w:val="22"/>
        </w:rPr>
        <w:t>SPB</w:t>
      </w:r>
      <w:r w:rsidR="00154F37">
        <w:rPr>
          <w:color w:val="000000" w:themeColor="text1"/>
          <w:szCs w:val="22"/>
        </w:rPr>
        <w:t>’</w:t>
      </w:r>
      <w:r w:rsidRPr="00475675">
        <w:rPr>
          <w:color w:val="000000" w:themeColor="text1"/>
          <w:szCs w:val="22"/>
        </w:rPr>
        <w:t xml:space="preserve">s responsibilities under the Communications Laws, including the </w:t>
      </w:r>
      <w:r w:rsidRPr="00475675" w:rsidR="00E74133">
        <w:rPr>
          <w:color w:val="000000" w:themeColor="text1"/>
          <w:szCs w:val="22"/>
        </w:rPr>
        <w:t>Antenna Structure Rules</w:t>
      </w:r>
      <w:r w:rsidRPr="00475675">
        <w:rPr>
          <w:color w:val="000000" w:themeColor="text1"/>
          <w:szCs w:val="22"/>
        </w:rPr>
        <w:t>.</w:t>
      </w:r>
    </w:p>
    <w:p w:rsidR="00F537EE" w:rsidRPr="00475675" w:rsidP="00BF449B" w14:paraId="3E800B3C"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w:t>
      </w:r>
      <w:r w:rsidRPr="00475675" w:rsidR="00A45669">
        <w:rPr>
          <w:color w:val="000000" w:themeColor="text1"/>
          <w:szCs w:val="22"/>
        </w:rPr>
        <w:t>SPB</w:t>
      </w:r>
      <w:r w:rsidRPr="00475675">
        <w:rPr>
          <w:color w:val="000000" w:themeColor="text1"/>
          <w:szCs w:val="22"/>
        </w:rPr>
        <w:t xml:space="preserve">” means </w:t>
      </w:r>
      <w:r w:rsidRPr="00475675" w:rsidR="00A45669">
        <w:rPr>
          <w:color w:val="000000" w:themeColor="text1"/>
          <w:szCs w:val="22"/>
        </w:rPr>
        <w:t>SPB, LLC</w:t>
      </w:r>
      <w:r w:rsidRPr="00475675">
        <w:rPr>
          <w:color w:val="000000" w:themeColor="text1"/>
          <w:szCs w:val="22"/>
        </w:rPr>
        <w:t xml:space="preserve"> and its affiliates, subsidiaries, predecessors-in-interest, and successors-in-interest.</w:t>
      </w:r>
    </w:p>
    <w:p w:rsidR="00F537EE" w:rsidRPr="00475675" w:rsidP="00BF449B" w14:paraId="513BDAC2"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 xml:space="preserve">“Effective Date” means the date by which both the Bureau and </w:t>
      </w:r>
      <w:r w:rsidRPr="00475675" w:rsidR="00A45669">
        <w:rPr>
          <w:color w:val="000000" w:themeColor="text1"/>
          <w:szCs w:val="22"/>
        </w:rPr>
        <w:t>SPB</w:t>
      </w:r>
      <w:r w:rsidRPr="00475675">
        <w:rPr>
          <w:color w:val="000000" w:themeColor="text1"/>
          <w:szCs w:val="22"/>
        </w:rPr>
        <w:t xml:space="preserve"> have signed the Consent Decree and the Bureau has released an Adopting Order.</w:t>
      </w:r>
    </w:p>
    <w:p w:rsidR="00F537EE" w:rsidRPr="00475675" w:rsidP="00BF449B" w14:paraId="004415C7"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“Investigation” means the investigation commenced by the Bureau in EB-FIELDSCR-</w:t>
      </w:r>
      <w:r w:rsidRPr="00475675" w:rsidR="005F50FA">
        <w:rPr>
          <w:color w:val="000000" w:themeColor="text1"/>
          <w:szCs w:val="22"/>
          <w:shd w:val="clear" w:color="auto" w:fill="FFFFFF"/>
        </w:rPr>
        <w:t xml:space="preserve">18-00026264 </w:t>
      </w:r>
      <w:r w:rsidRPr="00475675">
        <w:rPr>
          <w:color w:val="000000" w:themeColor="text1"/>
          <w:szCs w:val="22"/>
        </w:rPr>
        <w:t xml:space="preserve">regarding whether </w:t>
      </w:r>
      <w:r w:rsidRPr="00475675" w:rsidR="00A45669">
        <w:rPr>
          <w:color w:val="000000" w:themeColor="text1"/>
          <w:szCs w:val="22"/>
        </w:rPr>
        <w:t>SPB</w:t>
      </w:r>
      <w:r w:rsidRPr="00475675">
        <w:rPr>
          <w:color w:val="000000" w:themeColor="text1"/>
          <w:szCs w:val="22"/>
        </w:rPr>
        <w:t xml:space="preserve"> violated the </w:t>
      </w:r>
      <w:r w:rsidRPr="00475675" w:rsidR="002B40F2">
        <w:rPr>
          <w:color w:val="000000" w:themeColor="text1"/>
          <w:szCs w:val="22"/>
        </w:rPr>
        <w:t>Antenna Structure Rules</w:t>
      </w:r>
      <w:r w:rsidRPr="00475675">
        <w:rPr>
          <w:color w:val="000000" w:themeColor="text1"/>
          <w:szCs w:val="22"/>
        </w:rPr>
        <w:t>.</w:t>
      </w:r>
    </w:p>
    <w:p w:rsidR="00F537EE" w:rsidRPr="00475675" w:rsidP="00BF449B" w14:paraId="4F0429D7"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 xml:space="preserve">“Operating Procedures” means the standard internal operating procedures and compliance policies established by </w:t>
      </w:r>
      <w:r w:rsidRPr="00475675" w:rsidR="00A45669">
        <w:rPr>
          <w:color w:val="000000" w:themeColor="text1"/>
          <w:szCs w:val="22"/>
        </w:rPr>
        <w:t>SPB</w:t>
      </w:r>
      <w:r w:rsidRPr="00475675">
        <w:rPr>
          <w:color w:val="000000" w:themeColor="text1"/>
          <w:szCs w:val="22"/>
        </w:rPr>
        <w:t xml:space="preserve"> to implement the Compliance Plan.</w:t>
      </w:r>
    </w:p>
    <w:p w:rsidR="00F537EE" w:rsidRPr="00475675" w:rsidP="00BF449B" w14:paraId="6DC5FFEF"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 xml:space="preserve">“Parties” means </w:t>
      </w:r>
      <w:r w:rsidRPr="00475675" w:rsidR="00A45669">
        <w:rPr>
          <w:color w:val="000000" w:themeColor="text1"/>
          <w:szCs w:val="22"/>
        </w:rPr>
        <w:t>SPB</w:t>
      </w:r>
      <w:r w:rsidRPr="00475675">
        <w:rPr>
          <w:color w:val="000000" w:themeColor="text1"/>
          <w:szCs w:val="22"/>
        </w:rPr>
        <w:t xml:space="preserve"> and the Bureau, each of which is a “Party.”</w:t>
      </w:r>
    </w:p>
    <w:p w:rsidR="00F537EE" w:rsidRPr="00475675" w:rsidP="00BF449B" w14:paraId="5FF87274" w14:textId="77777777">
      <w:pPr>
        <w:widowControl/>
        <w:numPr>
          <w:ilvl w:val="0"/>
          <w:numId w:val="9"/>
        </w:numPr>
        <w:tabs>
          <w:tab w:val="clear" w:pos="1224"/>
        </w:tabs>
        <w:spacing w:after="120"/>
        <w:ind w:left="1890"/>
        <w:rPr>
          <w:color w:val="000000" w:themeColor="text1"/>
          <w:szCs w:val="22"/>
        </w:rPr>
      </w:pPr>
      <w:r w:rsidRPr="00475675">
        <w:rPr>
          <w:color w:val="000000" w:themeColor="text1"/>
          <w:szCs w:val="22"/>
        </w:rPr>
        <w:t>“Rules” means the Commission</w:t>
      </w:r>
      <w:r w:rsidR="00154F37">
        <w:rPr>
          <w:color w:val="000000" w:themeColor="text1"/>
          <w:szCs w:val="22"/>
        </w:rPr>
        <w:t>’</w:t>
      </w:r>
      <w:r w:rsidRPr="00475675">
        <w:rPr>
          <w:color w:val="000000" w:themeColor="text1"/>
          <w:szCs w:val="22"/>
        </w:rPr>
        <w:t>s regulations found in Title 47 of the Code of Federal Regulations.</w:t>
      </w:r>
    </w:p>
    <w:p w:rsidR="00F537EE" w:rsidRPr="00475675" w:rsidP="00BF449B" w14:paraId="594BA514" w14:textId="77777777">
      <w:pPr>
        <w:pStyle w:val="Heading1"/>
        <w:widowControl/>
        <w:rPr>
          <w:rFonts w:ascii="Times New Roman" w:hAnsi="Times New Roman"/>
          <w:color w:val="000000" w:themeColor="text1"/>
          <w:szCs w:val="22"/>
        </w:rPr>
      </w:pPr>
      <w:r w:rsidRPr="00475675">
        <w:rPr>
          <w:rFonts w:ascii="Times New Roman" w:hAnsi="Times New Roman"/>
          <w:color w:val="000000" w:themeColor="text1"/>
          <w:szCs w:val="22"/>
        </w:rPr>
        <w:t>BACKGROUND</w:t>
      </w:r>
    </w:p>
    <w:p w:rsidR="00F537EE" w:rsidRPr="00BB5A36" w:rsidP="00EA2697" w14:paraId="4608E168" w14:textId="77777777">
      <w:pPr>
        <w:pStyle w:val="ParaNum"/>
        <w:widowControl/>
        <w:rPr>
          <w:color w:val="000000" w:themeColor="text1"/>
          <w:szCs w:val="22"/>
        </w:rPr>
      </w:pPr>
      <w:bookmarkStart w:id="3" w:name="_Ref65753442"/>
      <w:r w:rsidRPr="0099261C">
        <w:rPr>
          <w:i/>
          <w:iCs/>
        </w:rPr>
        <w:t>Legal Framework.</w:t>
      </w:r>
      <w:r>
        <w:t xml:space="preserve">  </w:t>
      </w:r>
      <w:r w:rsidRPr="00475675" w:rsidR="001A28F3">
        <w:t xml:space="preserve">Section </w:t>
      </w:r>
      <w:r w:rsidRPr="00475675" w:rsidR="003642E9">
        <w:t xml:space="preserve">303(q) of the Act states that a “permittee or licensee, and the tower owner in any case in which the owner is not the permittee or licensee, shall maintain the painting and/or illumination of the tower as prescribed by the Commission.”  </w:t>
      </w:r>
      <w:bookmarkEnd w:id="3"/>
      <w:r w:rsidRPr="00475675" w:rsidR="009F45BD">
        <w:t>Section 17.</w:t>
      </w:r>
      <w:r w:rsidRPr="00475675" w:rsidR="00B33D2A">
        <w:t>23</w:t>
      </w:r>
      <w:r w:rsidRPr="00475675" w:rsidR="009F45BD">
        <w:t xml:space="preserve"> </w:t>
      </w:r>
      <w:r w:rsidRPr="00475675" w:rsidR="00D65F58">
        <w:t>of the Rules states that</w:t>
      </w:r>
      <w:r w:rsidRPr="00475675" w:rsidR="001A28F3">
        <w:t xml:space="preserve"> </w:t>
      </w:r>
      <w:r w:rsidRPr="00475675" w:rsidR="00B33D2A">
        <w:t>“</w:t>
      </w:r>
      <w:r w:rsidRPr="00475675" w:rsidR="005F121E">
        <w:t>[u]</w:t>
      </w:r>
      <w:r w:rsidRPr="00475675" w:rsidR="00B33D2A">
        <w:t>nless otherwise specified by the Commission, each new or altered antenna structure must conform to the FAA</w:t>
      </w:r>
      <w:r w:rsidR="00154F37">
        <w:t>’</w:t>
      </w:r>
      <w:r w:rsidRPr="00475675" w:rsidR="00B33D2A">
        <w:t>s painting and lighting specifications set forth in the FAA</w:t>
      </w:r>
      <w:r w:rsidR="00154F37">
        <w:t>’</w:t>
      </w:r>
      <w:r w:rsidRPr="00475675" w:rsidR="00B33D2A">
        <w:t xml:space="preserve">s final determination of </w:t>
      </w:r>
      <w:r w:rsidR="00154F37">
        <w:t>‘</w:t>
      </w:r>
      <w:r w:rsidRPr="00475675" w:rsidR="00B33D2A">
        <w:t>no hazard</w:t>
      </w:r>
      <w:r w:rsidR="00F62216">
        <w:t>’</w:t>
      </w:r>
      <w:r w:rsidR="00852F3C">
        <w:t xml:space="preserve"> </w:t>
      </w:r>
      <w:r w:rsidRPr="00475675" w:rsidR="00B33D2A">
        <w:t xml:space="preserve">and the associated FAA study for that particular structure. </w:t>
      </w:r>
      <w:r w:rsidR="00B734BD">
        <w:t xml:space="preserve"> </w:t>
      </w:r>
      <w:r w:rsidRPr="00475675" w:rsidR="00B33D2A">
        <w:t xml:space="preserve">For purposes of this </w:t>
      </w:r>
      <w:r w:rsidR="00B734BD">
        <w:t>section</w:t>
      </w:r>
      <w:r w:rsidRPr="00475675" w:rsidR="00B33D2A">
        <w:t>, any specifications, standards, and general requirements set forth by the FAA in the structure</w:t>
      </w:r>
      <w:r w:rsidR="00154F37">
        <w:t>’</w:t>
      </w:r>
      <w:r w:rsidRPr="00475675" w:rsidR="00B33D2A">
        <w:t xml:space="preserve">s determination of </w:t>
      </w:r>
      <w:r w:rsidR="00154F37">
        <w:t>‘</w:t>
      </w:r>
      <w:r w:rsidRPr="00475675" w:rsidR="00B33D2A">
        <w:t>no hazard</w:t>
      </w:r>
      <w:r w:rsidR="00F62216">
        <w:t>’</w:t>
      </w:r>
      <w:r w:rsidR="00852F3C">
        <w:t xml:space="preserve"> </w:t>
      </w:r>
      <w:r w:rsidRPr="00475675" w:rsidR="00B33D2A">
        <w:t xml:space="preserve">and the associated FAA study are mandatory. </w:t>
      </w:r>
      <w:r w:rsidR="00B734BD">
        <w:t xml:space="preserve"> </w:t>
      </w:r>
      <w:r w:rsidRPr="00475675" w:rsidR="00B33D2A">
        <w:t>Additionally, each antenna structure must be painted and lighted in accordance with any painting and lighting requirements prescribed on the antenna structure</w:t>
      </w:r>
      <w:r w:rsidR="00154F37">
        <w:t>’</w:t>
      </w:r>
      <w:r w:rsidRPr="00475675" w:rsidR="00B33D2A">
        <w:t>s registration, or in accordance with any other specifications provided by the Commission.”</w:t>
      </w:r>
      <w:r>
        <w:rPr>
          <w:rStyle w:val="FootnoteReference"/>
        </w:rPr>
        <w:footnoteReference w:id="12"/>
      </w:r>
      <w:r w:rsidR="00191F1C">
        <w:t xml:space="preserve">  </w:t>
      </w:r>
      <w:r w:rsidRPr="00475675" w:rsidR="00BB5A36">
        <w:t>Section 17.</w:t>
      </w:r>
      <w:r w:rsidR="00BB5A36">
        <w:t>47</w:t>
      </w:r>
      <w:r w:rsidRPr="00475675" w:rsidR="00BB5A36">
        <w:t xml:space="preserve"> of the Rules states that </w:t>
      </w:r>
      <w:r w:rsidR="00BB5A36">
        <w:t>“[t]</w:t>
      </w:r>
      <w:r w:rsidRPr="00BB5A36" w:rsidR="00BB5A36">
        <w:t>he owner of any antenna structure which is registered with the Commission and has been assigned lighting specifications referenced in this part</w:t>
      </w:r>
      <w:r w:rsidR="00BB5A36">
        <w:t xml:space="preserve"> [s]hall make an observation of the antenna structure</w:t>
      </w:r>
      <w:r w:rsidR="00154F37">
        <w:t>’</w:t>
      </w:r>
      <w:r w:rsidR="00BB5A36">
        <w:t xml:space="preserve">s lights at least once each 24 hours either visually or by observing an automatic properly maintained indicator designed to register any failure of such lights, to insure that all such lights are functioning properly as required; or alternatively [s]hall provide and properly maintain an automatic alarm system designed to detect any failure of such lights and to provide indication of such failure to the owner.”  </w:t>
      </w:r>
      <w:r w:rsidRPr="00475675" w:rsidR="00BB5A36">
        <w:t>Section 17.</w:t>
      </w:r>
      <w:r w:rsidR="00BB5A36">
        <w:t>57</w:t>
      </w:r>
      <w:r w:rsidRPr="00475675" w:rsidR="00BB5A36">
        <w:t xml:space="preserve"> of the Rules states that </w:t>
      </w:r>
      <w:r w:rsidR="0020493D">
        <w:t>the owner of an antenna structure must “</w:t>
      </w:r>
      <w:r w:rsidRPr="00BB5A36" w:rsidR="00BB5A36">
        <w:t>immediately notify the Commission using FCC Form 854 upon any change in structure height or change in ownership information.</w:t>
      </w:r>
      <w:r w:rsidR="00BB5A36">
        <w:t>”</w:t>
      </w:r>
      <w:r>
        <w:rPr>
          <w:rStyle w:val="FootnoteReference"/>
        </w:rPr>
        <w:footnoteReference w:id="13"/>
      </w:r>
    </w:p>
    <w:p w:rsidR="00F537EE" w:rsidRPr="00475675" w:rsidP="00BF449B" w14:paraId="5DBC3742" w14:textId="77777777">
      <w:pPr>
        <w:pStyle w:val="ParaNum"/>
        <w:widowControl/>
        <w:rPr>
          <w:color w:val="000000" w:themeColor="text1"/>
          <w:szCs w:val="22"/>
        </w:rPr>
      </w:pPr>
      <w:bookmarkStart w:id="4" w:name="_Ref65753462"/>
      <w:bookmarkStart w:id="5" w:name="_Ref83287975"/>
      <w:bookmarkStart w:id="6" w:name="_Ref85539642"/>
      <w:r w:rsidRPr="0099261C">
        <w:rPr>
          <w:i/>
          <w:iCs/>
          <w:color w:val="000000" w:themeColor="text1"/>
          <w:szCs w:val="22"/>
        </w:rPr>
        <w:t>Factual Background.</w:t>
      </w:r>
      <w:r>
        <w:rPr>
          <w:color w:val="000000" w:themeColor="text1"/>
          <w:szCs w:val="22"/>
        </w:rPr>
        <w:t xml:space="preserve">  </w:t>
      </w:r>
      <w:r w:rsidRPr="00475675" w:rsidR="001A28F3">
        <w:rPr>
          <w:color w:val="000000" w:themeColor="text1"/>
          <w:szCs w:val="22"/>
        </w:rPr>
        <w:t xml:space="preserve">On </w:t>
      </w:r>
      <w:r w:rsidRPr="00475675" w:rsidR="00AF288E">
        <w:rPr>
          <w:color w:val="000000" w:themeColor="text1"/>
          <w:szCs w:val="22"/>
        </w:rPr>
        <w:t>March 5, 2018</w:t>
      </w:r>
      <w:r w:rsidRPr="00475675" w:rsidR="001A28F3">
        <w:rPr>
          <w:color w:val="000000" w:themeColor="text1"/>
          <w:szCs w:val="22"/>
        </w:rPr>
        <w:t xml:space="preserve">, </w:t>
      </w:r>
      <w:r w:rsidRPr="00475675" w:rsidR="00F02DC3">
        <w:rPr>
          <w:color w:val="000000" w:themeColor="text1"/>
          <w:szCs w:val="22"/>
        </w:rPr>
        <w:t xml:space="preserve">a Commission </w:t>
      </w:r>
      <w:r w:rsidR="00B734BD">
        <w:rPr>
          <w:color w:val="000000" w:themeColor="text1"/>
          <w:szCs w:val="22"/>
        </w:rPr>
        <w:t xml:space="preserve">Field </w:t>
      </w:r>
      <w:r w:rsidRPr="00475675" w:rsidR="00F02DC3">
        <w:rPr>
          <w:color w:val="000000" w:themeColor="text1"/>
          <w:szCs w:val="22"/>
        </w:rPr>
        <w:t>Agent</w:t>
      </w:r>
      <w:r w:rsidRPr="00475675" w:rsidR="001A28F3">
        <w:rPr>
          <w:color w:val="000000" w:themeColor="text1"/>
          <w:szCs w:val="22"/>
        </w:rPr>
        <w:t xml:space="preserve"> began investigating </w:t>
      </w:r>
      <w:r w:rsidRPr="00475675" w:rsidR="00AF288E">
        <w:rPr>
          <w:color w:val="000000" w:themeColor="text1"/>
          <w:szCs w:val="22"/>
        </w:rPr>
        <w:t xml:space="preserve">a report </w:t>
      </w:r>
      <w:r w:rsidRPr="00475675" w:rsidR="00A958B6">
        <w:rPr>
          <w:color w:val="000000" w:themeColor="text1"/>
          <w:szCs w:val="22"/>
        </w:rPr>
        <w:t xml:space="preserve">of extinguished tower lighting at the </w:t>
      </w:r>
      <w:r w:rsidRPr="00475675" w:rsidR="006C2253">
        <w:rPr>
          <w:color w:val="000000" w:themeColor="text1"/>
          <w:szCs w:val="22"/>
        </w:rPr>
        <w:t xml:space="preserve">transmission </w:t>
      </w:r>
      <w:r w:rsidRPr="00475675" w:rsidR="00A958B6">
        <w:rPr>
          <w:color w:val="000000" w:themeColor="text1"/>
          <w:szCs w:val="22"/>
        </w:rPr>
        <w:t xml:space="preserve">site </w:t>
      </w:r>
      <w:r w:rsidRPr="00475675" w:rsidR="006C2253">
        <w:rPr>
          <w:color w:val="000000" w:themeColor="text1"/>
          <w:szCs w:val="22"/>
        </w:rPr>
        <w:t xml:space="preserve">for </w:t>
      </w:r>
      <w:r w:rsidRPr="00475675" w:rsidR="00A958B6">
        <w:rPr>
          <w:color w:val="000000" w:themeColor="text1"/>
          <w:szCs w:val="22"/>
        </w:rPr>
        <w:t>WABG-AM</w:t>
      </w:r>
      <w:r w:rsidRPr="00475675" w:rsidR="006C2253">
        <w:rPr>
          <w:color w:val="000000" w:themeColor="text1"/>
          <w:szCs w:val="22"/>
        </w:rPr>
        <w:t>, a</w:t>
      </w:r>
      <w:r w:rsidRPr="00475675" w:rsidR="000A639B">
        <w:rPr>
          <w:color w:val="000000" w:themeColor="text1"/>
          <w:szCs w:val="22"/>
        </w:rPr>
        <w:t>n AM radio station owned by SPB</w:t>
      </w:r>
      <w:r w:rsidRPr="00475675" w:rsidR="00212902">
        <w:rPr>
          <w:color w:val="000000" w:themeColor="text1"/>
          <w:szCs w:val="22"/>
        </w:rPr>
        <w:t xml:space="preserve"> located in Greenwood, MS</w:t>
      </w:r>
      <w:r w:rsidRPr="00475675" w:rsidR="001A28F3">
        <w:rPr>
          <w:color w:val="000000" w:themeColor="text1"/>
          <w:szCs w:val="22"/>
        </w:rPr>
        <w:t xml:space="preserve">. </w:t>
      </w:r>
      <w:r w:rsidRPr="00475675" w:rsidR="000A639B">
        <w:rPr>
          <w:color w:val="000000" w:themeColor="text1"/>
          <w:szCs w:val="22"/>
        </w:rPr>
        <w:t xml:space="preserve"> </w:t>
      </w:r>
      <w:bookmarkEnd w:id="4"/>
      <w:r w:rsidRPr="00475675" w:rsidR="00212902">
        <w:rPr>
          <w:color w:val="000000" w:themeColor="text1"/>
          <w:szCs w:val="22"/>
        </w:rPr>
        <w:t xml:space="preserve">The Agent determined that </w:t>
      </w:r>
      <w:r w:rsidRPr="00475675" w:rsidR="00DB2D4C">
        <w:rPr>
          <w:color w:val="000000" w:themeColor="text1"/>
          <w:szCs w:val="22"/>
        </w:rPr>
        <w:t xml:space="preserve">the </w:t>
      </w:r>
      <w:r w:rsidRPr="00475675" w:rsidR="009569BA">
        <w:rPr>
          <w:color w:val="000000" w:themeColor="text1"/>
          <w:szCs w:val="22"/>
        </w:rPr>
        <w:t xml:space="preserve">required </w:t>
      </w:r>
      <w:r w:rsidRPr="00475675" w:rsidR="00DB2D4C">
        <w:rPr>
          <w:color w:val="000000" w:themeColor="text1"/>
          <w:szCs w:val="22"/>
        </w:rPr>
        <w:t xml:space="preserve">lighting on </w:t>
      </w:r>
      <w:r w:rsidRPr="00475675" w:rsidR="00921475">
        <w:rPr>
          <w:color w:val="000000" w:themeColor="text1"/>
          <w:szCs w:val="22"/>
        </w:rPr>
        <w:t>antenna structure 1051859</w:t>
      </w:r>
      <w:r w:rsidRPr="00475675" w:rsidR="009569BA">
        <w:rPr>
          <w:color w:val="000000" w:themeColor="text1"/>
          <w:szCs w:val="22"/>
        </w:rPr>
        <w:t>,</w:t>
      </w:r>
      <w:r w:rsidRPr="00475675" w:rsidR="00921475">
        <w:rPr>
          <w:color w:val="000000" w:themeColor="text1"/>
          <w:szCs w:val="22"/>
        </w:rPr>
        <w:t xml:space="preserve"> owned by SPB</w:t>
      </w:r>
      <w:r w:rsidRPr="00475675" w:rsidR="009569BA">
        <w:rPr>
          <w:color w:val="000000" w:themeColor="text1"/>
          <w:szCs w:val="22"/>
        </w:rPr>
        <w:t>,</w:t>
      </w:r>
      <w:r w:rsidRPr="00475675" w:rsidR="00DB2D4C">
        <w:rPr>
          <w:color w:val="000000" w:themeColor="text1"/>
          <w:szCs w:val="22"/>
        </w:rPr>
        <w:t xml:space="preserve"> was not operational.</w:t>
      </w:r>
      <w:r w:rsidRPr="00475675" w:rsidR="000C160B">
        <w:rPr>
          <w:color w:val="000000" w:themeColor="text1"/>
          <w:szCs w:val="22"/>
        </w:rPr>
        <w:t xml:space="preserve"> </w:t>
      </w:r>
      <w:r w:rsidRPr="00475675" w:rsidR="00AE0904">
        <w:rPr>
          <w:color w:val="000000" w:themeColor="text1"/>
          <w:szCs w:val="22"/>
        </w:rPr>
        <w:t xml:space="preserve"> </w:t>
      </w:r>
      <w:r w:rsidRPr="00475675" w:rsidR="000C160B">
        <w:rPr>
          <w:color w:val="000000" w:themeColor="text1"/>
          <w:szCs w:val="22"/>
        </w:rPr>
        <w:t xml:space="preserve">On June 27, 2018, the Agent </w:t>
      </w:r>
      <w:r w:rsidRPr="00475675" w:rsidR="00F534CA">
        <w:rPr>
          <w:color w:val="000000" w:themeColor="text1"/>
          <w:szCs w:val="22"/>
        </w:rPr>
        <w:t xml:space="preserve">returned and again observed that antenna structure 1051859 was unlit.  </w:t>
      </w:r>
      <w:r w:rsidRPr="00475675" w:rsidR="004D3C67">
        <w:rPr>
          <w:color w:val="000000" w:themeColor="text1"/>
          <w:szCs w:val="22"/>
        </w:rPr>
        <w:t>On July 16, 2018</w:t>
      </w:r>
      <w:r w:rsidRPr="00475675" w:rsidR="005C6D93">
        <w:rPr>
          <w:color w:val="000000" w:themeColor="text1"/>
          <w:szCs w:val="22"/>
        </w:rPr>
        <w:t xml:space="preserve">, the </w:t>
      </w:r>
      <w:r w:rsidRPr="00475675" w:rsidR="00A20720">
        <w:rPr>
          <w:color w:val="000000" w:themeColor="text1"/>
          <w:szCs w:val="22"/>
        </w:rPr>
        <w:t xml:space="preserve">Enforcement Bureau sent a </w:t>
      </w:r>
      <w:r w:rsidRPr="00475675" w:rsidR="00A20720">
        <w:rPr>
          <w:color w:val="000000" w:themeColor="text1"/>
          <w:szCs w:val="22"/>
        </w:rPr>
        <w:t>Notice of Violation</w:t>
      </w:r>
      <w:r w:rsidRPr="00475675" w:rsidR="0046058A">
        <w:rPr>
          <w:color w:val="000000" w:themeColor="text1"/>
          <w:szCs w:val="22"/>
        </w:rPr>
        <w:t xml:space="preserve"> to the registered owner of antenna structure 1051859.</w:t>
      </w:r>
      <w:r>
        <w:rPr>
          <w:rStyle w:val="FootnoteReference"/>
          <w:szCs w:val="22"/>
        </w:rPr>
        <w:footnoteReference w:id="14"/>
      </w:r>
      <w:r w:rsidRPr="00475675" w:rsidR="0046058A">
        <w:rPr>
          <w:color w:val="000000" w:themeColor="text1"/>
          <w:szCs w:val="22"/>
        </w:rPr>
        <w:t xml:space="preserve">  </w:t>
      </w:r>
      <w:r w:rsidRPr="00475675" w:rsidR="00624211">
        <w:rPr>
          <w:color w:val="000000" w:themeColor="text1"/>
          <w:szCs w:val="22"/>
        </w:rPr>
        <w:t>On September 7, 2018</w:t>
      </w:r>
      <w:r w:rsidRPr="00475675" w:rsidR="00F37BDA">
        <w:rPr>
          <w:color w:val="000000" w:themeColor="text1"/>
          <w:szCs w:val="22"/>
        </w:rPr>
        <w:t xml:space="preserve"> SPB responded to the NOV stating that it was aware of the outage</w:t>
      </w:r>
      <w:r w:rsidRPr="00475675" w:rsidR="00CE502F">
        <w:rPr>
          <w:color w:val="000000" w:themeColor="text1"/>
          <w:szCs w:val="22"/>
        </w:rPr>
        <w:t xml:space="preserve"> and was working to repair the lighting on its tower.</w:t>
      </w:r>
      <w:r>
        <w:rPr>
          <w:rStyle w:val="FootnoteReference"/>
          <w:szCs w:val="22"/>
        </w:rPr>
        <w:footnoteReference w:id="15"/>
      </w:r>
      <w:r w:rsidRPr="00475675" w:rsidR="004942ED">
        <w:rPr>
          <w:color w:val="000000" w:themeColor="text1"/>
          <w:szCs w:val="22"/>
        </w:rPr>
        <w:t xml:space="preserve"> </w:t>
      </w:r>
      <w:r w:rsidRPr="00475675" w:rsidR="00AE0904">
        <w:rPr>
          <w:color w:val="000000" w:themeColor="text1"/>
          <w:szCs w:val="22"/>
        </w:rPr>
        <w:t xml:space="preserve"> </w:t>
      </w:r>
      <w:r w:rsidRPr="00475675" w:rsidR="004942ED">
        <w:rPr>
          <w:color w:val="000000" w:themeColor="text1"/>
          <w:szCs w:val="22"/>
        </w:rPr>
        <w:t xml:space="preserve">On </w:t>
      </w:r>
      <w:r w:rsidRPr="00475675" w:rsidR="004942ED">
        <w:t>January 11, 2021</w:t>
      </w:r>
      <w:r w:rsidRPr="00475675" w:rsidR="00951677">
        <w:t xml:space="preserve"> SPB sent a letter to the Commission stating that the issue with its tower lighting had been resolved.</w:t>
      </w:r>
      <w:r>
        <w:rPr>
          <w:rStyle w:val="FootnoteReference"/>
        </w:rPr>
        <w:footnoteReference w:id="16"/>
      </w:r>
      <w:r w:rsidRPr="00475675" w:rsidR="00951677">
        <w:rPr>
          <w:color w:val="000000" w:themeColor="text1"/>
          <w:szCs w:val="22"/>
        </w:rPr>
        <w:t xml:space="preserve">  </w:t>
      </w:r>
      <w:r w:rsidRPr="00475675" w:rsidR="007C6A70">
        <w:rPr>
          <w:color w:val="000000" w:themeColor="text1"/>
          <w:szCs w:val="22"/>
        </w:rPr>
        <w:t xml:space="preserve">During the course of the investigation, </w:t>
      </w:r>
      <w:r w:rsidR="00086F62">
        <w:rPr>
          <w:color w:val="000000" w:themeColor="text1"/>
          <w:szCs w:val="22"/>
        </w:rPr>
        <w:t>the Bureau</w:t>
      </w:r>
      <w:r w:rsidRPr="00475675" w:rsidR="007C6A70">
        <w:rPr>
          <w:color w:val="000000" w:themeColor="text1"/>
          <w:szCs w:val="22"/>
        </w:rPr>
        <w:t xml:space="preserve"> also determined that SPB failed to inform the Commission of </w:t>
      </w:r>
      <w:r w:rsidR="00086F62">
        <w:rPr>
          <w:color w:val="000000" w:themeColor="text1"/>
          <w:szCs w:val="22"/>
        </w:rPr>
        <w:t>a</w:t>
      </w:r>
      <w:r w:rsidRPr="00475675" w:rsidR="007C6A70">
        <w:rPr>
          <w:color w:val="000000" w:themeColor="text1"/>
          <w:szCs w:val="22"/>
        </w:rPr>
        <w:t xml:space="preserve"> change in ownership when it acquired </w:t>
      </w:r>
      <w:r w:rsidRPr="00475675" w:rsidR="00253D45">
        <w:rPr>
          <w:color w:val="000000" w:themeColor="text1"/>
          <w:szCs w:val="22"/>
        </w:rPr>
        <w:t>antenna structures 1051857, 1051858 and 1051859</w:t>
      </w:r>
      <w:r w:rsidRPr="00475675" w:rsidR="007C6A70">
        <w:rPr>
          <w:color w:val="000000" w:themeColor="text1"/>
          <w:szCs w:val="22"/>
        </w:rPr>
        <w:t>.</w:t>
      </w:r>
      <w:r>
        <w:rPr>
          <w:rStyle w:val="FootnoteReference"/>
          <w:szCs w:val="22"/>
        </w:rPr>
        <w:footnoteReference w:id="17"/>
      </w:r>
      <w:r w:rsidRPr="00475675" w:rsidR="007C6A70">
        <w:rPr>
          <w:color w:val="000000" w:themeColor="text1"/>
          <w:szCs w:val="22"/>
        </w:rPr>
        <w:t xml:space="preserve"> </w:t>
      </w:r>
      <w:r w:rsidR="00F60F11">
        <w:rPr>
          <w:color w:val="000000" w:themeColor="text1"/>
          <w:szCs w:val="22"/>
        </w:rPr>
        <w:t xml:space="preserve"> </w:t>
      </w:r>
      <w:r w:rsidR="008D761C">
        <w:rPr>
          <w:color w:val="000000" w:themeColor="text1"/>
          <w:szCs w:val="22"/>
        </w:rPr>
        <w:t>On July 12 and 14</w:t>
      </w:r>
      <w:r w:rsidR="0088599A">
        <w:rPr>
          <w:color w:val="000000" w:themeColor="text1"/>
          <w:szCs w:val="22"/>
        </w:rPr>
        <w:t xml:space="preserve">, 2021, </w:t>
      </w:r>
      <w:r w:rsidRPr="00F60F11" w:rsidR="00F60F11">
        <w:rPr>
          <w:color w:val="000000" w:themeColor="text1"/>
          <w:szCs w:val="22"/>
        </w:rPr>
        <w:t>SBP submitted financial documentation to the Enforcement Bureau, including federal tax returns for the years 2018-2020, to support a reduction of the Consent Decree’s civil penalty, based upon SBP’s limited ability to pay.</w:t>
      </w:r>
      <w:r>
        <w:rPr>
          <w:rStyle w:val="FootnoteReference"/>
          <w:szCs w:val="22"/>
        </w:rPr>
        <w:footnoteReference w:id="18"/>
      </w:r>
      <w:r w:rsidRPr="00F60F11" w:rsidR="00F60F11">
        <w:rPr>
          <w:color w:val="000000" w:themeColor="text1"/>
          <w:szCs w:val="22"/>
        </w:rPr>
        <w:t xml:space="preserve"> </w:t>
      </w:r>
      <w:r w:rsidRPr="00475675" w:rsidR="00253D45">
        <w:rPr>
          <w:color w:val="000000" w:themeColor="text1"/>
          <w:szCs w:val="22"/>
        </w:rPr>
        <w:t xml:space="preserve"> </w:t>
      </w:r>
      <w:r w:rsidRPr="00475675" w:rsidR="001A28F3">
        <w:rPr>
          <w:color w:val="000000" w:themeColor="text1"/>
          <w:szCs w:val="22"/>
        </w:rPr>
        <w:t>The Parties subsequently entered into settlement discussions and agree to the terms and conditions of this Consent Decree</w:t>
      </w:r>
      <w:bookmarkEnd w:id="5"/>
      <w:r w:rsidRPr="00475675">
        <w:rPr>
          <w:color w:val="000000" w:themeColor="text1"/>
          <w:szCs w:val="22"/>
        </w:rPr>
        <w:t>.</w:t>
      </w:r>
      <w:bookmarkEnd w:id="6"/>
    </w:p>
    <w:p w:rsidR="00F537EE" w:rsidRPr="00475675" w:rsidP="00BF449B" w14:paraId="18A0CF12" w14:textId="77777777">
      <w:pPr>
        <w:pStyle w:val="Heading1"/>
        <w:widowControl/>
        <w:rPr>
          <w:rFonts w:ascii="Times New Roman" w:hAnsi="Times New Roman"/>
          <w:color w:val="000000" w:themeColor="text1"/>
          <w:szCs w:val="22"/>
        </w:rPr>
      </w:pPr>
      <w:r w:rsidRPr="00475675">
        <w:rPr>
          <w:rFonts w:ascii="Times New Roman" w:hAnsi="Times New Roman"/>
          <w:color w:val="000000" w:themeColor="text1"/>
          <w:szCs w:val="22"/>
        </w:rPr>
        <w:t>TERMS OF AGREEMENT</w:t>
      </w:r>
    </w:p>
    <w:p w:rsidR="00F537EE" w:rsidRPr="00475675" w:rsidP="00BF449B" w14:paraId="6C34B52F" w14:textId="77777777">
      <w:pPr>
        <w:pStyle w:val="ParaNum"/>
        <w:widowControl/>
        <w:rPr>
          <w:color w:val="000000" w:themeColor="text1"/>
          <w:szCs w:val="22"/>
        </w:rPr>
      </w:pPr>
      <w:r w:rsidRPr="00475675">
        <w:rPr>
          <w:b/>
          <w:color w:val="000000" w:themeColor="text1"/>
          <w:szCs w:val="22"/>
          <w:u w:val="single"/>
        </w:rPr>
        <w:t>Adopting Order</w:t>
      </w:r>
      <w:r w:rsidRPr="00475675">
        <w:rPr>
          <w:color w:val="000000" w:themeColor="text1"/>
          <w:szCs w:val="22"/>
        </w:rPr>
        <w:t>.  The provisions of this Consent Decree shall be incorporated by the Bureau in an Adopting Order.</w:t>
      </w:r>
    </w:p>
    <w:p w:rsidR="00F537EE" w:rsidRPr="00475675" w:rsidP="00BF449B" w14:paraId="3D17CF80" w14:textId="77777777">
      <w:pPr>
        <w:pStyle w:val="ParaNum"/>
        <w:widowControl/>
        <w:rPr>
          <w:color w:val="000000" w:themeColor="text1"/>
          <w:szCs w:val="22"/>
        </w:rPr>
      </w:pPr>
      <w:r w:rsidRPr="00475675">
        <w:rPr>
          <w:b/>
          <w:color w:val="000000" w:themeColor="text1"/>
          <w:szCs w:val="22"/>
          <w:u w:val="single"/>
        </w:rPr>
        <w:t>Jurisdiction</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agrees that the Bureau has jurisdiction over it and the matters contained in this Consent Decree and has the authority to enter into and adopt this Consent Decree.</w:t>
      </w:r>
    </w:p>
    <w:p w:rsidR="00F537EE" w:rsidRPr="00475675" w:rsidP="00BF449B" w14:paraId="55802C0D" w14:textId="77777777">
      <w:pPr>
        <w:pStyle w:val="ParaNum"/>
        <w:widowControl/>
        <w:rPr>
          <w:color w:val="000000" w:themeColor="text1"/>
          <w:szCs w:val="22"/>
        </w:rPr>
      </w:pPr>
      <w:r w:rsidRPr="00475675">
        <w:rPr>
          <w:b/>
          <w:color w:val="000000" w:themeColor="text1"/>
          <w:szCs w:val="22"/>
          <w:u w:val="single"/>
        </w:rPr>
        <w:t>Effective Date; Violations</w:t>
      </w:r>
      <w:r w:rsidRPr="00475675">
        <w:rPr>
          <w:color w:val="000000" w:themeColor="text1"/>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F537EE" w:rsidRPr="00475675" w:rsidP="00BF449B" w14:paraId="3126E4A9" w14:textId="77777777">
      <w:pPr>
        <w:pStyle w:val="ParaNum"/>
        <w:widowControl/>
        <w:rPr>
          <w:color w:val="000000" w:themeColor="text1"/>
          <w:szCs w:val="22"/>
        </w:rPr>
      </w:pPr>
      <w:bookmarkStart w:id="7" w:name="_Ref65753168"/>
      <w:r w:rsidRPr="00475675">
        <w:rPr>
          <w:b/>
          <w:color w:val="000000" w:themeColor="text1"/>
          <w:szCs w:val="22"/>
          <w:u w:val="single"/>
        </w:rPr>
        <w:t>Termination of Investigation</w:t>
      </w:r>
      <w:r w:rsidRPr="00475675">
        <w:rPr>
          <w:color w:val="000000" w:themeColor="text1"/>
          <w:szCs w:val="22"/>
        </w:rPr>
        <w:t xml:space="preserve">.  In express reliance on the covenants and representations in this Consent Decree and to avoid further expenditure of public resources, the Bureau agrees to terminate the Investigation.  In consideration for the termination of the Investigation, </w:t>
      </w:r>
      <w:r w:rsidRPr="00475675" w:rsidR="00A45669">
        <w:rPr>
          <w:color w:val="000000" w:themeColor="text1"/>
          <w:szCs w:val="22"/>
        </w:rPr>
        <w:t>SPB</w:t>
      </w:r>
      <w:r w:rsidRPr="00475675">
        <w:rPr>
          <w:color w:val="000000" w:themeColor="text1"/>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w:t>
      </w:r>
      <w:r w:rsidRPr="00475675" w:rsidR="00A45669">
        <w:rPr>
          <w:color w:val="000000" w:themeColor="text1"/>
          <w:szCs w:val="22"/>
        </w:rPr>
        <w:t>SPB</w:t>
      </w:r>
      <w:r w:rsidRPr="00475675">
        <w:rPr>
          <w:color w:val="000000" w:themeColor="text1"/>
          <w:szCs w:val="22"/>
        </w:rPr>
        <w:t xml:space="preserve"> concerning the matters that were the subject of the Investigation, or to set for hearing the question of </w:t>
      </w:r>
      <w:r w:rsidRPr="00475675" w:rsidR="00A45669">
        <w:rPr>
          <w:color w:val="000000" w:themeColor="text1"/>
          <w:szCs w:val="22"/>
        </w:rPr>
        <w:t>SPB</w:t>
      </w:r>
      <w:r w:rsidR="00154F37">
        <w:rPr>
          <w:color w:val="000000" w:themeColor="text1"/>
          <w:szCs w:val="22"/>
        </w:rPr>
        <w:t>’</w:t>
      </w:r>
      <w:r w:rsidRPr="00475675">
        <w:rPr>
          <w:color w:val="000000" w:themeColor="text1"/>
          <w:szCs w:val="22"/>
        </w:rPr>
        <w:t>s basic qualifications to be a Commission licensee or hold Commission licenses or authorizations based on the matters that were the subject of the Investigation.</w:t>
      </w:r>
      <w:r>
        <w:rPr>
          <w:rStyle w:val="FootnoteReference"/>
          <w:color w:val="000000" w:themeColor="text1"/>
          <w:sz w:val="22"/>
          <w:szCs w:val="22"/>
        </w:rPr>
        <w:footnoteReference w:id="19"/>
      </w:r>
      <w:bookmarkEnd w:id="7"/>
    </w:p>
    <w:p w:rsidR="00F537EE" w:rsidRPr="00475675" w:rsidP="00BF449B" w14:paraId="3C1EFD7D" w14:textId="731D06B9">
      <w:pPr>
        <w:pStyle w:val="ParaNum"/>
        <w:widowControl/>
        <w:rPr>
          <w:color w:val="000000" w:themeColor="text1"/>
          <w:szCs w:val="22"/>
        </w:rPr>
      </w:pPr>
      <w:r w:rsidRPr="00475675">
        <w:rPr>
          <w:b/>
          <w:color w:val="000000" w:themeColor="text1"/>
          <w:szCs w:val="22"/>
          <w:u w:val="single"/>
        </w:rPr>
        <w:t>Admission of Liability</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admits for the purpose of this Consent Decree and for Commission civil enforcement purposes, and in express reliance on the provisions of paragraph</w:t>
      </w:r>
      <w:r w:rsidRPr="00475675" w:rsidR="00D5589B">
        <w:rPr>
          <w:color w:val="000000" w:themeColor="text1"/>
          <w:szCs w:val="22"/>
        </w:rPr>
        <w:t xml:space="preserve"> </w:t>
      </w:r>
      <w:r>
        <w:rPr>
          <w:color w:val="000000" w:themeColor="text1"/>
          <w:szCs w:val="22"/>
        </w:rPr>
        <w:fldChar w:fldCharType="begin"/>
      </w:r>
      <w:r>
        <w:rPr>
          <w:color w:val="000000" w:themeColor="text1"/>
          <w:szCs w:val="22"/>
        </w:rPr>
        <w:instrText xml:space="preserve"> REF _Ref65753168 \r \h </w:instrText>
      </w:r>
      <w:r>
        <w:rPr>
          <w:color w:val="000000" w:themeColor="text1"/>
          <w:szCs w:val="22"/>
        </w:rPr>
        <w:fldChar w:fldCharType="separate"/>
      </w:r>
      <w:r w:rsidR="00390728">
        <w:rPr>
          <w:color w:val="000000" w:themeColor="text1"/>
          <w:szCs w:val="22"/>
        </w:rPr>
        <w:t>8</w:t>
      </w:r>
      <w:r>
        <w:rPr>
          <w:color w:val="000000" w:themeColor="text1"/>
          <w:szCs w:val="22"/>
        </w:rPr>
        <w:fldChar w:fldCharType="end"/>
      </w:r>
      <w:r w:rsidRPr="00475675">
        <w:rPr>
          <w:color w:val="000000" w:themeColor="text1"/>
          <w:szCs w:val="22"/>
        </w:rPr>
        <w:t xml:space="preserve"> herein, that its actions described in paragraph </w:t>
      </w:r>
      <w:r>
        <w:rPr>
          <w:color w:val="000000" w:themeColor="text1"/>
          <w:szCs w:val="22"/>
        </w:rPr>
        <w:fldChar w:fldCharType="begin"/>
      </w:r>
      <w:r>
        <w:rPr>
          <w:color w:val="000000" w:themeColor="text1"/>
          <w:szCs w:val="22"/>
        </w:rPr>
        <w:instrText xml:space="preserve"> REF _Ref85539642 \r \h </w:instrText>
      </w:r>
      <w:r>
        <w:rPr>
          <w:color w:val="000000" w:themeColor="text1"/>
          <w:szCs w:val="22"/>
        </w:rPr>
        <w:fldChar w:fldCharType="separate"/>
      </w:r>
      <w:r w:rsidR="00390728">
        <w:rPr>
          <w:color w:val="000000" w:themeColor="text1"/>
          <w:szCs w:val="22"/>
        </w:rPr>
        <w:t>4</w:t>
      </w:r>
      <w:r>
        <w:rPr>
          <w:color w:val="000000" w:themeColor="text1"/>
          <w:szCs w:val="22"/>
        </w:rPr>
        <w:fldChar w:fldCharType="end"/>
      </w:r>
      <w:r w:rsidRPr="00475675" w:rsidR="00AD4115">
        <w:rPr>
          <w:color w:val="000000" w:themeColor="text1"/>
          <w:szCs w:val="22"/>
        </w:rPr>
        <w:t xml:space="preserve"> </w:t>
      </w:r>
      <w:r w:rsidRPr="00475675" w:rsidR="004422B3">
        <w:rPr>
          <w:color w:val="000000" w:themeColor="text1"/>
          <w:szCs w:val="22"/>
        </w:rPr>
        <w:t xml:space="preserve">that it </w:t>
      </w:r>
      <w:r w:rsidRPr="00475675">
        <w:rPr>
          <w:color w:val="000000" w:themeColor="text1"/>
          <w:szCs w:val="22"/>
        </w:rPr>
        <w:t xml:space="preserve">violated the </w:t>
      </w:r>
      <w:r w:rsidRPr="00475675" w:rsidR="00AD4115">
        <w:rPr>
          <w:color w:val="000000" w:themeColor="text1"/>
          <w:szCs w:val="22"/>
        </w:rPr>
        <w:t xml:space="preserve">Antenna Structure </w:t>
      </w:r>
      <w:r w:rsidRPr="00475675">
        <w:rPr>
          <w:color w:val="000000" w:themeColor="text1"/>
          <w:szCs w:val="22"/>
        </w:rPr>
        <w:t>Rules.</w:t>
      </w:r>
    </w:p>
    <w:p w:rsidR="00F537EE" w:rsidRPr="00475675" w:rsidP="00BF449B" w14:paraId="0BEF72F0" w14:textId="77777777">
      <w:pPr>
        <w:pStyle w:val="ParaNum"/>
        <w:widowControl/>
        <w:rPr>
          <w:color w:val="000000" w:themeColor="text1"/>
          <w:szCs w:val="22"/>
        </w:rPr>
      </w:pPr>
      <w:bookmarkStart w:id="8" w:name="_Ref379202869"/>
      <w:r w:rsidRPr="00475675">
        <w:rPr>
          <w:b/>
          <w:color w:val="000000" w:themeColor="text1"/>
          <w:szCs w:val="22"/>
          <w:u w:val="single"/>
        </w:rPr>
        <w:t>Compliance Officer</w:t>
      </w:r>
      <w:r w:rsidRPr="00475675">
        <w:rPr>
          <w:color w:val="000000" w:themeColor="text1"/>
          <w:szCs w:val="22"/>
        </w:rPr>
        <w:t xml:space="preserve">.  Within thirty (30) calendar days after the Effective Date, </w:t>
      </w:r>
      <w:r w:rsidRPr="00475675" w:rsidR="00A45669">
        <w:rPr>
          <w:color w:val="000000" w:themeColor="text1"/>
          <w:szCs w:val="22"/>
        </w:rPr>
        <w:t>SPB</w:t>
      </w:r>
      <w:r w:rsidRPr="00475675">
        <w:rPr>
          <w:color w:val="000000" w:themeColor="text1"/>
          <w:szCs w:val="22"/>
        </w:rPr>
        <w:t xml:space="preserve"> shall designate a senior corporate manager with the requisite corporate and organizational authority to serve as a Compliance Officer and to discharge the duties set forth below.  The person designated as the </w:t>
      </w:r>
      <w:r w:rsidRPr="00475675">
        <w:rPr>
          <w:color w:val="000000" w:themeColor="text1"/>
          <w:szCs w:val="22"/>
        </w:rPr>
        <w:t xml:space="preserve">Compliance Officer shall be responsible for developing, implementing, and administering the Compliance Plan and ensuring that </w:t>
      </w:r>
      <w:r w:rsidRPr="00475675" w:rsidR="00A45669">
        <w:rPr>
          <w:color w:val="000000" w:themeColor="text1"/>
          <w:szCs w:val="22"/>
        </w:rPr>
        <w:t>SPB</w:t>
      </w:r>
      <w:r w:rsidRPr="00475675">
        <w:rPr>
          <w:color w:val="000000" w:themeColor="text1"/>
          <w:szCs w:val="22"/>
        </w:rPr>
        <w:t xml:space="preserve"> complies with the terms and conditions of the Compliance Plan and this Consent Decree.  In addition to the general knowledge of the Communications Laws necessary to discharge his or her duties under this Consent Decree, the Compliance Officer shall have specific knowledge of the </w:t>
      </w:r>
      <w:r w:rsidRPr="00475675" w:rsidR="00E74133">
        <w:rPr>
          <w:color w:val="000000" w:themeColor="text1"/>
          <w:szCs w:val="22"/>
        </w:rPr>
        <w:t>Antenna Structure</w:t>
      </w:r>
      <w:r w:rsidRPr="00475675">
        <w:rPr>
          <w:color w:val="000000" w:themeColor="text1"/>
          <w:szCs w:val="22"/>
        </w:rPr>
        <w:t xml:space="preserve"> Rules prior to assuming his/her duties.</w:t>
      </w:r>
      <w:bookmarkEnd w:id="8"/>
    </w:p>
    <w:p w:rsidR="00F537EE" w:rsidRPr="00475675" w:rsidP="00BF449B" w14:paraId="7C192272" w14:textId="77777777">
      <w:pPr>
        <w:pStyle w:val="ParaNum"/>
        <w:widowControl/>
        <w:rPr>
          <w:color w:val="000000" w:themeColor="text1"/>
          <w:szCs w:val="22"/>
        </w:rPr>
      </w:pPr>
      <w:bookmarkStart w:id="9" w:name="_Ref357521857"/>
      <w:r w:rsidRPr="00475675">
        <w:rPr>
          <w:b/>
          <w:color w:val="000000" w:themeColor="text1"/>
          <w:szCs w:val="22"/>
          <w:u w:val="single"/>
        </w:rPr>
        <w:t>Compliance Plan</w:t>
      </w:r>
      <w:r w:rsidRPr="00475675">
        <w:rPr>
          <w:color w:val="000000" w:themeColor="text1"/>
          <w:szCs w:val="22"/>
        </w:rPr>
        <w:t xml:space="preserve">.  For purposes of settling the matters set forth herein, </w:t>
      </w:r>
      <w:r w:rsidRPr="00475675" w:rsidR="00A45669">
        <w:rPr>
          <w:color w:val="000000" w:themeColor="text1"/>
          <w:szCs w:val="22"/>
        </w:rPr>
        <w:t>SPB</w:t>
      </w:r>
      <w:r w:rsidRPr="00475675">
        <w:rPr>
          <w:color w:val="000000" w:themeColor="text1"/>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w:t>
      </w:r>
      <w:r w:rsidRPr="00475675" w:rsidR="00E74133">
        <w:rPr>
          <w:color w:val="000000" w:themeColor="text1"/>
          <w:szCs w:val="22"/>
        </w:rPr>
        <w:t>Antenna Structure Rules</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will implement, at a minimum, the following procedures:</w:t>
      </w:r>
      <w:bookmarkEnd w:id="9"/>
    </w:p>
    <w:p w:rsidR="00F537EE" w:rsidRPr="00475675" w:rsidP="00BF449B" w14:paraId="6B4B77A2" w14:textId="4B791134">
      <w:pPr>
        <w:widowControl/>
        <w:numPr>
          <w:ilvl w:val="0"/>
          <w:numId w:val="10"/>
        </w:numPr>
        <w:tabs>
          <w:tab w:val="clear" w:pos="1656"/>
        </w:tabs>
        <w:spacing w:after="120"/>
        <w:ind w:left="1886"/>
        <w:rPr>
          <w:color w:val="000000" w:themeColor="text1"/>
          <w:szCs w:val="22"/>
        </w:rPr>
      </w:pPr>
      <w:r w:rsidRPr="00475675">
        <w:rPr>
          <w:b/>
          <w:color w:val="000000" w:themeColor="text1"/>
          <w:szCs w:val="22"/>
          <w:u w:val="single"/>
        </w:rPr>
        <w:t>Operating Procedures</w:t>
      </w:r>
      <w:r w:rsidRPr="00475675">
        <w:rPr>
          <w:color w:val="000000" w:themeColor="text1"/>
          <w:szCs w:val="22"/>
        </w:rPr>
        <w:t xml:space="preserve">.  Within thirty (30) calendar days after the Effective Date, </w:t>
      </w:r>
      <w:r w:rsidRPr="00475675" w:rsidR="00A45669">
        <w:rPr>
          <w:color w:val="000000" w:themeColor="text1"/>
          <w:szCs w:val="22"/>
        </w:rPr>
        <w:t>SPB</w:t>
      </w:r>
      <w:r w:rsidRPr="00475675">
        <w:rPr>
          <w:color w:val="000000" w:themeColor="text1"/>
          <w:szCs w:val="22"/>
        </w:rPr>
        <w:t xml:space="preserve"> shall establish Operating Procedures that all Covered Employees must follow to help ensure </w:t>
      </w:r>
      <w:r w:rsidRPr="00475675" w:rsidR="00A45669">
        <w:rPr>
          <w:color w:val="000000" w:themeColor="text1"/>
          <w:szCs w:val="22"/>
        </w:rPr>
        <w:t>SPB</w:t>
      </w:r>
      <w:r w:rsidR="00154F37">
        <w:rPr>
          <w:color w:val="000000" w:themeColor="text1"/>
          <w:szCs w:val="22"/>
        </w:rPr>
        <w:t>’</w:t>
      </w:r>
      <w:r w:rsidRPr="00475675">
        <w:rPr>
          <w:color w:val="000000" w:themeColor="text1"/>
          <w:szCs w:val="22"/>
        </w:rPr>
        <w:t xml:space="preserve">s compliance with the </w:t>
      </w:r>
      <w:r w:rsidRPr="00475675" w:rsidR="00E74133">
        <w:rPr>
          <w:color w:val="000000" w:themeColor="text1"/>
          <w:szCs w:val="22"/>
        </w:rPr>
        <w:t xml:space="preserve">Antenna Structure </w:t>
      </w:r>
      <w:r w:rsidRPr="00475675">
        <w:rPr>
          <w:color w:val="000000" w:themeColor="text1"/>
          <w:szCs w:val="22"/>
        </w:rPr>
        <w:t xml:space="preserve">Rules.  </w:t>
      </w:r>
      <w:r w:rsidRPr="00475675" w:rsidR="00A45669">
        <w:rPr>
          <w:color w:val="000000" w:themeColor="text1"/>
          <w:szCs w:val="22"/>
        </w:rPr>
        <w:t>SPB</w:t>
      </w:r>
      <w:r w:rsidR="00154F37">
        <w:rPr>
          <w:color w:val="000000" w:themeColor="text1"/>
          <w:szCs w:val="22"/>
        </w:rPr>
        <w:t>’</w:t>
      </w:r>
      <w:r w:rsidRPr="00475675">
        <w:rPr>
          <w:color w:val="000000" w:themeColor="text1"/>
          <w:szCs w:val="22"/>
        </w:rPr>
        <w:t xml:space="preserve">s Operating Procedures shall include internal procedures and policies specifically designed to ensure that it complies with the </w:t>
      </w:r>
      <w:r w:rsidRPr="00475675" w:rsidR="00E74133">
        <w:rPr>
          <w:color w:val="000000" w:themeColor="text1"/>
          <w:szCs w:val="22"/>
        </w:rPr>
        <w:t xml:space="preserve">Antenna Structure </w:t>
      </w:r>
      <w:r w:rsidRPr="00475675">
        <w:rPr>
          <w:color w:val="000000" w:themeColor="text1"/>
          <w:szCs w:val="22"/>
        </w:rPr>
        <w:t xml:space="preserve">Rules.  </w:t>
      </w:r>
      <w:r w:rsidRPr="00475675" w:rsidR="00A45669">
        <w:rPr>
          <w:color w:val="000000" w:themeColor="text1"/>
          <w:szCs w:val="22"/>
        </w:rPr>
        <w:t>SPB</w:t>
      </w:r>
      <w:r w:rsidRPr="00475675">
        <w:rPr>
          <w:color w:val="000000" w:themeColor="text1"/>
          <w:szCs w:val="22"/>
        </w:rPr>
        <w:t xml:space="preserve"> shall also develop a Compliance Checklist that describes the steps that a Covered Employee must follow to ensure compliance with the </w:t>
      </w:r>
      <w:r w:rsidRPr="00475675" w:rsidR="00E74133">
        <w:rPr>
          <w:color w:val="000000" w:themeColor="text1"/>
          <w:szCs w:val="22"/>
        </w:rPr>
        <w:t>Antenna Structure Rules</w:t>
      </w:r>
      <w:r w:rsidRPr="00475675">
        <w:rPr>
          <w:color w:val="000000" w:themeColor="text1"/>
          <w:szCs w:val="22"/>
        </w:rPr>
        <w:t>.</w:t>
      </w:r>
      <w:r w:rsidRPr="00475675" w:rsidR="00B2668E">
        <w:rPr>
          <w:color w:val="000000" w:themeColor="text1"/>
          <w:szCs w:val="22"/>
        </w:rPr>
        <w:t xml:space="preserve"> </w:t>
      </w:r>
      <w:r w:rsidRPr="00475675" w:rsidR="000808C4">
        <w:rPr>
          <w:color w:val="000000" w:themeColor="text1"/>
          <w:szCs w:val="22"/>
        </w:rPr>
        <w:t xml:space="preserve"> </w:t>
      </w:r>
      <w:r w:rsidRPr="00475675" w:rsidR="00B2668E">
        <w:rPr>
          <w:color w:val="000000" w:themeColor="text1"/>
          <w:szCs w:val="22"/>
        </w:rPr>
        <w:t xml:space="preserve">In furtherance of its obligations under section 17.47 of the </w:t>
      </w:r>
      <w:r w:rsidRPr="00475675" w:rsidR="009569BA">
        <w:rPr>
          <w:color w:val="000000" w:themeColor="text1"/>
          <w:szCs w:val="22"/>
        </w:rPr>
        <w:t>R</w:t>
      </w:r>
      <w:r w:rsidRPr="00475675" w:rsidR="00B2668E">
        <w:rPr>
          <w:color w:val="000000" w:themeColor="text1"/>
          <w:szCs w:val="22"/>
        </w:rPr>
        <w:t xml:space="preserve">ules, SPB agrees to </w:t>
      </w:r>
      <w:r w:rsidRPr="00475675" w:rsidR="001D441A">
        <w:rPr>
          <w:color w:val="000000" w:themeColor="text1"/>
          <w:szCs w:val="22"/>
        </w:rPr>
        <w:t xml:space="preserve">create a log </w:t>
      </w:r>
      <w:r w:rsidRPr="00475675" w:rsidR="000A7374">
        <w:rPr>
          <w:color w:val="000000" w:themeColor="text1"/>
          <w:szCs w:val="22"/>
        </w:rPr>
        <w:t xml:space="preserve">of </w:t>
      </w:r>
      <w:r w:rsidRPr="00475675" w:rsidR="001D441A">
        <w:rPr>
          <w:color w:val="000000" w:themeColor="text1"/>
          <w:szCs w:val="22"/>
        </w:rPr>
        <w:t>its daily tower observations</w:t>
      </w:r>
      <w:r w:rsidRPr="00475675" w:rsidR="000A7374">
        <w:rPr>
          <w:color w:val="000000" w:themeColor="text1"/>
          <w:szCs w:val="22"/>
        </w:rPr>
        <w:t xml:space="preserve"> indicating that the </w:t>
      </w:r>
      <w:r w:rsidRPr="00475675" w:rsidR="00142FB6">
        <w:rPr>
          <w:color w:val="000000" w:themeColor="text1"/>
          <w:szCs w:val="22"/>
        </w:rPr>
        <w:t xml:space="preserve">required </w:t>
      </w:r>
      <w:r w:rsidRPr="00475675" w:rsidR="000A7374">
        <w:rPr>
          <w:color w:val="000000" w:themeColor="text1"/>
          <w:szCs w:val="22"/>
        </w:rPr>
        <w:t>lighting on Antenna Structure 1051859</w:t>
      </w:r>
      <w:r w:rsidRPr="00475675" w:rsidR="00142FB6">
        <w:rPr>
          <w:color w:val="000000" w:themeColor="text1"/>
          <w:szCs w:val="22"/>
        </w:rPr>
        <w:t xml:space="preserve"> is functional</w:t>
      </w:r>
      <w:r w:rsidRPr="00475675" w:rsidR="000A7374">
        <w:rPr>
          <w:color w:val="000000" w:themeColor="text1"/>
          <w:szCs w:val="22"/>
        </w:rPr>
        <w:t xml:space="preserve">. </w:t>
      </w:r>
      <w:r w:rsidRPr="00475675" w:rsidR="00B8095B">
        <w:rPr>
          <w:color w:val="000000" w:themeColor="text1"/>
          <w:szCs w:val="22"/>
        </w:rPr>
        <w:t xml:space="preserve"> SPB agrees to include this log with </w:t>
      </w:r>
      <w:r w:rsidRPr="00475675" w:rsidR="000808C4">
        <w:rPr>
          <w:color w:val="000000" w:themeColor="text1"/>
          <w:szCs w:val="22"/>
        </w:rPr>
        <w:t>each compliance report submitted pursuant to paragraph</w:t>
      </w:r>
      <w:r>
        <w:rPr>
          <w:color w:val="000000" w:themeColor="text1"/>
          <w:szCs w:val="22"/>
        </w:rPr>
        <w:t xml:space="preserve"> </w:t>
      </w:r>
      <w:r>
        <w:rPr>
          <w:color w:val="000000" w:themeColor="text1"/>
          <w:szCs w:val="22"/>
        </w:rPr>
        <w:fldChar w:fldCharType="begin"/>
      </w:r>
      <w:r>
        <w:rPr>
          <w:color w:val="000000" w:themeColor="text1"/>
          <w:szCs w:val="22"/>
        </w:rPr>
        <w:instrText xml:space="preserve"> REF _Ref379202892 \r \h </w:instrText>
      </w:r>
      <w:r>
        <w:rPr>
          <w:color w:val="000000" w:themeColor="text1"/>
          <w:szCs w:val="22"/>
        </w:rPr>
        <w:fldChar w:fldCharType="separate"/>
      </w:r>
      <w:r w:rsidR="00390728">
        <w:rPr>
          <w:color w:val="000000" w:themeColor="text1"/>
          <w:szCs w:val="22"/>
        </w:rPr>
        <w:t>13</w:t>
      </w:r>
      <w:r>
        <w:rPr>
          <w:color w:val="000000" w:themeColor="text1"/>
          <w:szCs w:val="22"/>
        </w:rPr>
        <w:fldChar w:fldCharType="end"/>
      </w:r>
      <w:r w:rsidR="000808C4">
        <w:rPr>
          <w:color w:val="000000" w:themeColor="text1"/>
          <w:szCs w:val="22"/>
        </w:rPr>
        <w:t>.</w:t>
      </w:r>
      <w:r w:rsidRPr="00475675" w:rsidR="00F83D1C">
        <w:rPr>
          <w:color w:val="000000" w:themeColor="text1"/>
          <w:szCs w:val="22"/>
        </w:rPr>
        <w:t xml:space="preserve">  In l</w:t>
      </w:r>
      <w:r w:rsidRPr="00475675" w:rsidR="00B921F0">
        <w:rPr>
          <w:color w:val="000000" w:themeColor="text1"/>
          <w:szCs w:val="22"/>
        </w:rPr>
        <w:t>i</w:t>
      </w:r>
      <w:r w:rsidRPr="00475675" w:rsidR="00F83D1C">
        <w:rPr>
          <w:color w:val="000000" w:themeColor="text1"/>
          <w:szCs w:val="22"/>
        </w:rPr>
        <w:t xml:space="preserve">eu of providing this log, SPB may submit a statement </w:t>
      </w:r>
      <w:r w:rsidRPr="00475675" w:rsidR="00795C95">
        <w:rPr>
          <w:color w:val="000000" w:themeColor="text1"/>
          <w:szCs w:val="22"/>
        </w:rPr>
        <w:t xml:space="preserve">with each compliance report indicating </w:t>
      </w:r>
      <w:r w:rsidRPr="00475675" w:rsidR="00F83D1C">
        <w:rPr>
          <w:color w:val="000000" w:themeColor="text1"/>
          <w:szCs w:val="22"/>
        </w:rPr>
        <w:t xml:space="preserve">that it has provided and properly maintained an automatic alarm system </w:t>
      </w:r>
      <w:r w:rsidRPr="00475675" w:rsidR="00023199">
        <w:rPr>
          <w:color w:val="000000" w:themeColor="text1"/>
          <w:szCs w:val="22"/>
        </w:rPr>
        <w:t xml:space="preserve">for Antenna Structure 1051859 </w:t>
      </w:r>
      <w:r w:rsidRPr="00475675" w:rsidR="00F83D1C">
        <w:rPr>
          <w:color w:val="000000" w:themeColor="text1"/>
          <w:szCs w:val="22"/>
        </w:rPr>
        <w:t xml:space="preserve">designed to detect any failure of </w:t>
      </w:r>
      <w:r w:rsidRPr="00475675" w:rsidR="00747707">
        <w:rPr>
          <w:color w:val="000000" w:themeColor="text1"/>
          <w:szCs w:val="22"/>
        </w:rPr>
        <w:t>the required lighting on Antenna Structure 1051859</w:t>
      </w:r>
      <w:r w:rsidRPr="00475675" w:rsidR="00F83D1C">
        <w:rPr>
          <w:color w:val="000000" w:themeColor="text1"/>
          <w:szCs w:val="22"/>
        </w:rPr>
        <w:t xml:space="preserve"> and to provide indication of such failure to </w:t>
      </w:r>
      <w:r w:rsidRPr="00475675" w:rsidR="00CD4E7E">
        <w:rPr>
          <w:color w:val="000000" w:themeColor="text1"/>
          <w:szCs w:val="22"/>
        </w:rPr>
        <w:t>SPB</w:t>
      </w:r>
      <w:r w:rsidRPr="00475675" w:rsidR="00F83D1C">
        <w:rPr>
          <w:color w:val="000000" w:themeColor="text1"/>
          <w:szCs w:val="22"/>
        </w:rPr>
        <w:t>.</w:t>
      </w:r>
      <w:r w:rsidRPr="00475675" w:rsidR="00007B52">
        <w:rPr>
          <w:color w:val="000000" w:themeColor="text1"/>
          <w:szCs w:val="22"/>
        </w:rPr>
        <w:t xml:space="preserve"> </w:t>
      </w:r>
      <w:r w:rsidR="004C0445">
        <w:rPr>
          <w:color w:val="000000" w:themeColor="text1"/>
          <w:szCs w:val="22"/>
        </w:rPr>
        <w:t xml:space="preserve"> </w:t>
      </w:r>
      <w:r w:rsidRPr="00475675" w:rsidR="00007B52">
        <w:rPr>
          <w:color w:val="000000" w:themeColor="text1"/>
          <w:szCs w:val="22"/>
        </w:rPr>
        <w:t>Finally</w:t>
      </w:r>
      <w:r w:rsidRPr="00475675" w:rsidR="007C6A70">
        <w:rPr>
          <w:color w:val="000000" w:themeColor="text1"/>
          <w:szCs w:val="22"/>
        </w:rPr>
        <w:t>,</w:t>
      </w:r>
      <w:r w:rsidRPr="00475675" w:rsidR="00007B52">
        <w:rPr>
          <w:color w:val="000000" w:themeColor="text1"/>
          <w:szCs w:val="22"/>
        </w:rPr>
        <w:t xml:space="preserve"> </w:t>
      </w:r>
      <w:r w:rsidRPr="00475675" w:rsidR="007C6A70">
        <w:rPr>
          <w:color w:val="000000" w:themeColor="text1"/>
          <w:szCs w:val="22"/>
        </w:rPr>
        <w:t>within thirty (30) calendar days after the Effective Date, SPB must file an ownership change in the Commission</w:t>
      </w:r>
      <w:r w:rsidR="00154F37">
        <w:rPr>
          <w:color w:val="000000" w:themeColor="text1"/>
          <w:szCs w:val="22"/>
        </w:rPr>
        <w:t>’</w:t>
      </w:r>
      <w:r w:rsidRPr="00475675" w:rsidR="007C6A70">
        <w:rPr>
          <w:color w:val="000000" w:themeColor="text1"/>
          <w:szCs w:val="22"/>
        </w:rPr>
        <w:t>s Antenna Structure Registration (ASR) system for antenna structures 1051857, 1051858 and 1051859.</w:t>
      </w:r>
      <w:r>
        <w:rPr>
          <w:rStyle w:val="FootnoteReference"/>
          <w:szCs w:val="22"/>
        </w:rPr>
        <w:footnoteReference w:id="20"/>
      </w:r>
    </w:p>
    <w:p w:rsidR="00F537EE" w:rsidRPr="00475675" w:rsidP="00BF449B" w14:paraId="49396462" w14:textId="77777777">
      <w:pPr>
        <w:widowControl/>
        <w:numPr>
          <w:ilvl w:val="0"/>
          <w:numId w:val="10"/>
        </w:numPr>
        <w:tabs>
          <w:tab w:val="clear" w:pos="1656"/>
        </w:tabs>
        <w:spacing w:after="120"/>
        <w:ind w:left="1886"/>
        <w:rPr>
          <w:color w:val="000000" w:themeColor="text1"/>
          <w:szCs w:val="22"/>
        </w:rPr>
      </w:pPr>
      <w:r w:rsidRPr="00475675">
        <w:rPr>
          <w:b/>
          <w:color w:val="000000" w:themeColor="text1"/>
          <w:szCs w:val="22"/>
          <w:u w:val="single"/>
        </w:rPr>
        <w:t>Compliance Manual</w:t>
      </w:r>
      <w:r w:rsidRPr="00475675">
        <w:rPr>
          <w:color w:val="000000" w:themeColor="text1"/>
          <w:szCs w:val="22"/>
        </w:rPr>
        <w:t xml:space="preserve">.  Within sixty (60) calendar days after the Effective Date, the Compliance Officer shall develop and distribute a Compliance Manual to all Covered Employees.  The Compliance Manual shall explain the </w:t>
      </w:r>
      <w:r w:rsidRPr="00475675" w:rsidR="00E74133">
        <w:rPr>
          <w:color w:val="000000" w:themeColor="text1"/>
          <w:szCs w:val="22"/>
        </w:rPr>
        <w:t>Antenna Structure Rules</w:t>
      </w:r>
      <w:r w:rsidRPr="00475675">
        <w:rPr>
          <w:color w:val="000000" w:themeColor="text1"/>
          <w:szCs w:val="22"/>
        </w:rPr>
        <w:t xml:space="preserve"> and set forth the Operating Procedures that Covered Employees shall follow to help ensure </w:t>
      </w:r>
      <w:r w:rsidRPr="00475675" w:rsidR="00A45669">
        <w:rPr>
          <w:color w:val="000000" w:themeColor="text1"/>
          <w:szCs w:val="22"/>
        </w:rPr>
        <w:t>SPB</w:t>
      </w:r>
      <w:r w:rsidR="00154F37">
        <w:rPr>
          <w:color w:val="000000" w:themeColor="text1"/>
          <w:szCs w:val="22"/>
        </w:rPr>
        <w:t>’</w:t>
      </w:r>
      <w:r w:rsidRPr="00475675">
        <w:rPr>
          <w:color w:val="000000" w:themeColor="text1"/>
          <w:szCs w:val="22"/>
        </w:rPr>
        <w:t xml:space="preserve">s compliance with the </w:t>
      </w:r>
      <w:r w:rsidRPr="00475675" w:rsidR="00E74133">
        <w:rPr>
          <w:color w:val="000000" w:themeColor="text1"/>
          <w:szCs w:val="22"/>
        </w:rPr>
        <w:t>Antenna Structure Rules</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shall periodically review and revise the Compliance Manual as necessary to ensure that the information set forth therein remains current and accurate.  </w:t>
      </w:r>
      <w:r w:rsidRPr="00475675" w:rsidR="00A45669">
        <w:rPr>
          <w:color w:val="000000" w:themeColor="text1"/>
          <w:szCs w:val="22"/>
        </w:rPr>
        <w:t>SPB</w:t>
      </w:r>
      <w:r w:rsidRPr="00475675">
        <w:rPr>
          <w:color w:val="000000" w:themeColor="text1"/>
          <w:szCs w:val="22"/>
        </w:rPr>
        <w:t xml:space="preserve"> shall distribute any revisions to the Compliance Manual promptly to all Covered Employees.</w:t>
      </w:r>
    </w:p>
    <w:p w:rsidR="00F537EE" w:rsidRPr="00475675" w:rsidP="00BF449B" w14:paraId="39CCD80C" w14:textId="56B54C6C">
      <w:pPr>
        <w:widowControl/>
        <w:numPr>
          <w:ilvl w:val="0"/>
          <w:numId w:val="10"/>
        </w:numPr>
        <w:tabs>
          <w:tab w:val="clear" w:pos="1656"/>
        </w:tabs>
        <w:spacing w:after="120"/>
        <w:ind w:left="1886"/>
        <w:rPr>
          <w:color w:val="000000" w:themeColor="text1"/>
          <w:szCs w:val="22"/>
        </w:rPr>
      </w:pPr>
      <w:r w:rsidRPr="00475675">
        <w:rPr>
          <w:b/>
          <w:color w:val="000000" w:themeColor="text1"/>
          <w:szCs w:val="22"/>
          <w:u w:val="single"/>
        </w:rPr>
        <w:t>Compliance Training Program</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shall establish and implement a Compliance Training Program on compliance with the </w:t>
      </w:r>
      <w:r w:rsidRPr="00475675" w:rsidR="00E74133">
        <w:rPr>
          <w:color w:val="000000" w:themeColor="text1"/>
          <w:szCs w:val="22"/>
        </w:rPr>
        <w:t>Antenna Structure Rules</w:t>
      </w:r>
      <w:r w:rsidRPr="00475675">
        <w:rPr>
          <w:color w:val="000000" w:themeColor="text1"/>
          <w:szCs w:val="22"/>
        </w:rPr>
        <w:t xml:space="preserve"> and the Operating Procedures.  As part of the Compliance Training Program, Covered Employees shall be advised of </w:t>
      </w:r>
      <w:r w:rsidRPr="00475675" w:rsidR="00A45669">
        <w:rPr>
          <w:color w:val="000000" w:themeColor="text1"/>
          <w:szCs w:val="22"/>
        </w:rPr>
        <w:t>SPB</w:t>
      </w:r>
      <w:r w:rsidR="00154F37">
        <w:rPr>
          <w:color w:val="000000" w:themeColor="text1"/>
          <w:szCs w:val="22"/>
        </w:rPr>
        <w:t>’</w:t>
      </w:r>
      <w:r w:rsidRPr="00475675">
        <w:rPr>
          <w:color w:val="000000" w:themeColor="text1"/>
          <w:szCs w:val="22"/>
        </w:rPr>
        <w:t xml:space="preserve">s obligation to report any noncompliance with the </w:t>
      </w:r>
      <w:r w:rsidRPr="00475675" w:rsidR="00E74133">
        <w:rPr>
          <w:color w:val="000000" w:themeColor="text1"/>
          <w:szCs w:val="22"/>
        </w:rPr>
        <w:t>Antenna Structure Rules</w:t>
      </w:r>
      <w:r w:rsidRPr="00475675">
        <w:rPr>
          <w:color w:val="000000" w:themeColor="text1"/>
          <w:szCs w:val="22"/>
        </w:rPr>
        <w:t xml:space="preserve"> under paragraph </w:t>
      </w:r>
      <w:r>
        <w:rPr>
          <w:color w:val="000000" w:themeColor="text1"/>
          <w:szCs w:val="22"/>
        </w:rPr>
        <w:fldChar w:fldCharType="begin"/>
      </w:r>
      <w:r>
        <w:rPr>
          <w:color w:val="000000" w:themeColor="text1"/>
          <w:szCs w:val="22"/>
        </w:rPr>
        <w:instrText xml:space="preserve"> REF _Ref85539745 \r \h </w:instrText>
      </w:r>
      <w:r>
        <w:rPr>
          <w:color w:val="000000" w:themeColor="text1"/>
          <w:szCs w:val="22"/>
        </w:rPr>
        <w:fldChar w:fldCharType="separate"/>
      </w:r>
      <w:r w:rsidR="00390728">
        <w:rPr>
          <w:color w:val="000000" w:themeColor="text1"/>
          <w:szCs w:val="22"/>
        </w:rPr>
        <w:t>12</w:t>
      </w:r>
      <w:r>
        <w:rPr>
          <w:color w:val="000000" w:themeColor="text1"/>
          <w:szCs w:val="22"/>
        </w:rPr>
        <w:fldChar w:fldCharType="end"/>
      </w:r>
      <w:r w:rsidRPr="00475675">
        <w:rPr>
          <w:color w:val="000000" w:themeColor="text1"/>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w:t>
      </w:r>
      <w:r w:rsidRPr="00475675">
        <w:rPr>
          <w:color w:val="000000" w:themeColor="text1"/>
          <w:szCs w:val="22"/>
        </w:rPr>
        <w:t xml:space="preserve">becomes a Covered Employee.  </w:t>
      </w:r>
      <w:r w:rsidRPr="00475675" w:rsidR="00A45669">
        <w:rPr>
          <w:color w:val="000000" w:themeColor="text1"/>
          <w:szCs w:val="22"/>
        </w:rPr>
        <w:t>SPB</w:t>
      </w:r>
      <w:r w:rsidRPr="00475675">
        <w:rPr>
          <w:color w:val="000000" w:themeColor="text1"/>
          <w:szCs w:val="22"/>
        </w:rPr>
        <w:t xml:space="preserve"> shall repeat compliance training on an annual basis, and shall periodically review and revise the Compliance Training Program as necessary to ensure that it remains current and complete and to enhance its effectiveness.</w:t>
      </w:r>
    </w:p>
    <w:p w:rsidR="00F537EE" w:rsidRPr="00475675" w:rsidP="00BF449B" w14:paraId="0289130A" w14:textId="77777777">
      <w:pPr>
        <w:pStyle w:val="ParaNum"/>
        <w:widowControl/>
        <w:rPr>
          <w:color w:val="000000" w:themeColor="text1"/>
          <w:szCs w:val="22"/>
        </w:rPr>
      </w:pPr>
      <w:bookmarkStart w:id="10" w:name="_Ref321323028"/>
      <w:bookmarkStart w:id="11" w:name="_Ref65753876"/>
      <w:bookmarkStart w:id="12" w:name="_Ref85539745"/>
      <w:r w:rsidRPr="00475675">
        <w:rPr>
          <w:b/>
          <w:color w:val="000000" w:themeColor="text1"/>
          <w:szCs w:val="22"/>
          <w:u w:val="single"/>
        </w:rPr>
        <w:t>Reporting Noncompliance</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shall report any noncompliance with the </w:t>
      </w:r>
      <w:r w:rsidRPr="00475675" w:rsidR="00E74133">
        <w:rPr>
          <w:color w:val="000000" w:themeColor="text1"/>
          <w:szCs w:val="22"/>
        </w:rPr>
        <w:t>Antenna Structure Rules</w:t>
      </w:r>
      <w:r w:rsidRPr="00475675">
        <w:rPr>
          <w:color w:val="000000" w:themeColor="text1"/>
          <w:szCs w:val="22"/>
        </w:rPr>
        <w:t xml:space="preserve"> and with the terms and conditions of this Consent Decree within fifteen (15) calendar days after discovery of such noncompliance.  Such reports shall include a detailed explanation of:  (i) each instance of noncompliance; (ii) the steps that </w:t>
      </w:r>
      <w:r w:rsidRPr="00475675" w:rsidR="00A45669">
        <w:rPr>
          <w:color w:val="000000" w:themeColor="text1"/>
          <w:szCs w:val="22"/>
        </w:rPr>
        <w:t>SPB</w:t>
      </w:r>
      <w:r w:rsidRPr="00475675">
        <w:rPr>
          <w:color w:val="000000" w:themeColor="text1"/>
          <w:szCs w:val="22"/>
        </w:rPr>
        <w:t xml:space="preserve"> has taken or will take to remedy such noncompliance; (iii) the schedule on which such remedial actions will be taken; and (iv) the steps that </w:t>
      </w:r>
      <w:r w:rsidRPr="00475675" w:rsidR="00A45669">
        <w:rPr>
          <w:color w:val="000000" w:themeColor="text1"/>
          <w:szCs w:val="22"/>
        </w:rPr>
        <w:t>SPB</w:t>
      </w:r>
      <w:r w:rsidRPr="00475675">
        <w:rPr>
          <w:color w:val="000000" w:themeColor="text1"/>
          <w:szCs w:val="22"/>
        </w:rPr>
        <w:t xml:space="preserve"> has taken or will take to prevent the recurrence of any such noncompliance.  </w:t>
      </w:r>
      <w:bookmarkEnd w:id="10"/>
      <w:r w:rsidRPr="00475675">
        <w:rPr>
          <w:color w:val="000000" w:themeColor="text1"/>
          <w:szCs w:val="22"/>
        </w:rPr>
        <w:t xml:space="preserve">All reports of noncompliance shall be submitted to the Office of the Field Director, Enforcement Bureau, Federal Communications Commission, 45 L Street NE, Washington, DC 20554, with a copy submitted electronically to </w:t>
      </w:r>
      <w:hyperlink r:id="rId10" w:history="1">
        <w:r w:rsidRPr="00996D8D" w:rsidR="00E52AD8">
          <w:rPr>
            <w:rStyle w:val="Hyperlink"/>
            <w:szCs w:val="22"/>
          </w:rPr>
          <w:t>field@fcc.gov</w:t>
        </w:r>
      </w:hyperlink>
      <w:r w:rsidR="00E52AD8">
        <w:rPr>
          <w:color w:val="000000" w:themeColor="text1"/>
          <w:szCs w:val="22"/>
        </w:rPr>
        <w:t xml:space="preserve"> </w:t>
      </w:r>
      <w:r w:rsidRPr="00475675">
        <w:rPr>
          <w:color w:val="000000" w:themeColor="text1"/>
          <w:szCs w:val="22"/>
        </w:rPr>
        <w:t>and David Marks at</w:t>
      </w:r>
      <w:bookmarkEnd w:id="11"/>
      <w:r w:rsidR="00E52AD8">
        <w:rPr>
          <w:color w:val="000000" w:themeColor="text1"/>
          <w:szCs w:val="22"/>
        </w:rPr>
        <w:t xml:space="preserve"> </w:t>
      </w:r>
      <w:hyperlink r:id="rId11" w:history="1">
        <w:r w:rsidRPr="00E52AD8" w:rsidR="00E52AD8">
          <w:rPr>
            <w:rStyle w:val="Hyperlink"/>
            <w:szCs w:val="22"/>
          </w:rPr>
          <w:t>david.marks@fcc.gov</w:t>
        </w:r>
      </w:hyperlink>
      <w:r w:rsidR="00E52AD8">
        <w:rPr>
          <w:color w:val="000000" w:themeColor="text1"/>
          <w:szCs w:val="22"/>
        </w:rPr>
        <w:t>.</w:t>
      </w:r>
      <w:bookmarkEnd w:id="12"/>
    </w:p>
    <w:p w:rsidR="00F537EE" w:rsidRPr="00475675" w:rsidP="00BF449B" w14:paraId="5FAC0F78" w14:textId="77777777">
      <w:pPr>
        <w:pStyle w:val="ParaNum"/>
        <w:widowControl/>
        <w:rPr>
          <w:caps/>
          <w:color w:val="000000" w:themeColor="text1"/>
          <w:szCs w:val="22"/>
        </w:rPr>
      </w:pPr>
      <w:bookmarkStart w:id="13" w:name="_Ref379202892"/>
      <w:r w:rsidRPr="00475675">
        <w:rPr>
          <w:b/>
          <w:color w:val="000000" w:themeColor="text1"/>
          <w:szCs w:val="22"/>
          <w:u w:val="single"/>
        </w:rPr>
        <w:t>Compliance Reports</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shall file compliance reports with the Commission ninety (90) calendar days after the Effective Date, twelve (12) months after the Effective Date, twenty-four (24) months after the Effective Date, and thirty-six (36) months after the Effective Date.</w:t>
      </w:r>
      <w:bookmarkEnd w:id="13"/>
      <w:r w:rsidRPr="00475675">
        <w:rPr>
          <w:color w:val="000000" w:themeColor="text1"/>
          <w:szCs w:val="22"/>
        </w:rPr>
        <w:t xml:space="preserve"> </w:t>
      </w:r>
    </w:p>
    <w:p w:rsidR="00F537EE" w:rsidRPr="00475675" w:rsidP="00BF449B" w14:paraId="66DA4835" w14:textId="64D6E20A">
      <w:pPr>
        <w:widowControl/>
        <w:numPr>
          <w:ilvl w:val="0"/>
          <w:numId w:val="11"/>
        </w:numPr>
        <w:tabs>
          <w:tab w:val="clear" w:pos="1782"/>
        </w:tabs>
        <w:spacing w:after="120"/>
        <w:ind w:left="1886"/>
        <w:rPr>
          <w:color w:val="000000" w:themeColor="text1"/>
          <w:szCs w:val="22"/>
        </w:rPr>
      </w:pPr>
      <w:r w:rsidRPr="00475675">
        <w:rPr>
          <w:color w:val="000000" w:themeColor="text1"/>
          <w:szCs w:val="22"/>
        </w:rPr>
        <w:t xml:space="preserve">Each Compliance Report shall include a detailed description of </w:t>
      </w:r>
      <w:r w:rsidRPr="00475675" w:rsidR="00A45669">
        <w:rPr>
          <w:color w:val="000000" w:themeColor="text1"/>
          <w:szCs w:val="22"/>
        </w:rPr>
        <w:t>SPB</w:t>
      </w:r>
      <w:r w:rsidR="00154F37">
        <w:rPr>
          <w:color w:val="000000" w:themeColor="text1"/>
          <w:szCs w:val="22"/>
        </w:rPr>
        <w:t>’</w:t>
      </w:r>
      <w:r w:rsidRPr="00475675">
        <w:rPr>
          <w:color w:val="000000" w:themeColor="text1"/>
          <w:szCs w:val="22"/>
        </w:rPr>
        <w:t xml:space="preserve">s efforts during the relevant period to comply with the terms and conditions of this Consent Decree and the </w:t>
      </w:r>
      <w:r w:rsidRPr="00475675" w:rsidR="00E74133">
        <w:rPr>
          <w:color w:val="000000" w:themeColor="text1"/>
          <w:szCs w:val="22"/>
        </w:rPr>
        <w:t>Antenna Structure Rules</w:t>
      </w:r>
      <w:r w:rsidRPr="00475675">
        <w:rPr>
          <w:color w:val="000000" w:themeColor="text1"/>
          <w:szCs w:val="22"/>
        </w:rPr>
        <w:t xml:space="preserve">.  In addition, each Compliance Report shall include a certification by the Compliance Officer, as an agent of and on behalf of </w:t>
      </w:r>
      <w:r w:rsidRPr="00475675" w:rsidR="00A45669">
        <w:rPr>
          <w:color w:val="000000" w:themeColor="text1"/>
          <w:szCs w:val="22"/>
        </w:rPr>
        <w:t>SPB</w:t>
      </w:r>
      <w:r w:rsidRPr="00475675">
        <w:rPr>
          <w:color w:val="000000" w:themeColor="text1"/>
          <w:szCs w:val="22"/>
        </w:rPr>
        <w:t xml:space="preserve">, stating that the Compliance Officer has personal knowledge that </w:t>
      </w:r>
      <w:r w:rsidRPr="00475675" w:rsidR="00A45669">
        <w:rPr>
          <w:color w:val="000000" w:themeColor="text1"/>
          <w:szCs w:val="22"/>
        </w:rPr>
        <w:t>SPB</w:t>
      </w:r>
      <w:r w:rsidRPr="00475675">
        <w:rPr>
          <w:color w:val="000000" w:themeColor="text1"/>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color w:val="000000" w:themeColor="text1"/>
          <w:szCs w:val="22"/>
        </w:rPr>
        <w:fldChar w:fldCharType="begin"/>
      </w:r>
      <w:r>
        <w:rPr>
          <w:color w:val="000000" w:themeColor="text1"/>
          <w:szCs w:val="22"/>
        </w:rPr>
        <w:instrText xml:space="preserve"> REF _Ref85539745 \r \h </w:instrText>
      </w:r>
      <w:r>
        <w:rPr>
          <w:color w:val="000000" w:themeColor="text1"/>
          <w:szCs w:val="22"/>
        </w:rPr>
        <w:fldChar w:fldCharType="separate"/>
      </w:r>
      <w:r w:rsidR="00390728">
        <w:rPr>
          <w:color w:val="000000" w:themeColor="text1"/>
          <w:szCs w:val="22"/>
        </w:rPr>
        <w:t>12</w:t>
      </w:r>
      <w:r>
        <w:rPr>
          <w:color w:val="000000" w:themeColor="text1"/>
          <w:szCs w:val="22"/>
        </w:rPr>
        <w:fldChar w:fldCharType="end"/>
      </w:r>
      <w:r w:rsidRPr="00475675" w:rsidR="00072838">
        <w:rPr>
          <w:color w:val="000000" w:themeColor="text1"/>
          <w:szCs w:val="22"/>
        </w:rPr>
        <w:t xml:space="preserve"> </w:t>
      </w:r>
      <w:r w:rsidRPr="00475675">
        <w:rPr>
          <w:color w:val="000000" w:themeColor="text1"/>
          <w:szCs w:val="22"/>
        </w:rPr>
        <w:t>of this Consent Decree.</w:t>
      </w:r>
    </w:p>
    <w:p w:rsidR="00F537EE" w:rsidRPr="00475675" w:rsidP="00BF449B" w14:paraId="5F111363" w14:textId="77777777">
      <w:pPr>
        <w:widowControl/>
        <w:numPr>
          <w:ilvl w:val="0"/>
          <w:numId w:val="11"/>
        </w:numPr>
        <w:tabs>
          <w:tab w:val="clear" w:pos="1782"/>
        </w:tabs>
        <w:spacing w:after="120"/>
        <w:ind w:left="1886"/>
        <w:rPr>
          <w:color w:val="000000" w:themeColor="text1"/>
          <w:szCs w:val="22"/>
        </w:rPr>
      </w:pPr>
      <w:r w:rsidRPr="00475675">
        <w:rPr>
          <w:color w:val="000000" w:themeColor="text1"/>
          <w:szCs w:val="22"/>
        </w:rPr>
        <w:t>The Compliance Officer</w:t>
      </w:r>
      <w:r w:rsidR="00154F37">
        <w:rPr>
          <w:color w:val="000000" w:themeColor="text1"/>
          <w:szCs w:val="22"/>
        </w:rPr>
        <w:t>’</w:t>
      </w:r>
      <w:r w:rsidRPr="00475675">
        <w:rPr>
          <w:color w:val="000000" w:themeColor="text1"/>
          <w:szCs w:val="22"/>
        </w:rPr>
        <w:t>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color w:val="000000" w:themeColor="text1"/>
          <w:sz w:val="22"/>
          <w:szCs w:val="22"/>
        </w:rPr>
        <w:footnoteReference w:id="21"/>
      </w:r>
    </w:p>
    <w:p w:rsidR="00F537EE" w:rsidRPr="00475675" w:rsidP="00BF449B" w14:paraId="2D2199A7" w14:textId="77777777">
      <w:pPr>
        <w:widowControl/>
        <w:numPr>
          <w:ilvl w:val="0"/>
          <w:numId w:val="11"/>
        </w:numPr>
        <w:tabs>
          <w:tab w:val="clear" w:pos="1782"/>
        </w:tabs>
        <w:spacing w:after="120"/>
        <w:ind w:left="1886"/>
        <w:rPr>
          <w:color w:val="000000" w:themeColor="text1"/>
          <w:szCs w:val="22"/>
        </w:rPr>
      </w:pPr>
      <w:r w:rsidRPr="00475675">
        <w:rPr>
          <w:color w:val="000000" w:themeColor="text1"/>
          <w:szCs w:val="22"/>
        </w:rPr>
        <w:t xml:space="preserve">If the Compliance Officer cannot provide the requisite certification, the Compliance Officer, as an agent of and on behalf of </w:t>
      </w:r>
      <w:r w:rsidRPr="00475675" w:rsidR="00A45669">
        <w:rPr>
          <w:color w:val="000000" w:themeColor="text1"/>
          <w:szCs w:val="22"/>
        </w:rPr>
        <w:t>SPB</w:t>
      </w:r>
      <w:r w:rsidRPr="00475675">
        <w:rPr>
          <w:color w:val="000000" w:themeColor="text1"/>
          <w:szCs w:val="22"/>
        </w:rPr>
        <w:t xml:space="preserve">, shall provide the Commission with a detailed explanation of the reason(s) why and describe fully:  (i) each instance of noncompliance; (ii) the steps that </w:t>
      </w:r>
      <w:r w:rsidRPr="00475675" w:rsidR="00A45669">
        <w:rPr>
          <w:color w:val="000000" w:themeColor="text1"/>
          <w:szCs w:val="22"/>
        </w:rPr>
        <w:t>SPB</w:t>
      </w:r>
      <w:r w:rsidRPr="00475675">
        <w:rPr>
          <w:color w:val="000000" w:themeColor="text1"/>
          <w:szCs w:val="22"/>
        </w:rPr>
        <w:t xml:space="preserve"> has taken or will take to remedy such noncompliance, including the schedule on which proposed remedial actions will be taken; and (iii) the steps that </w:t>
      </w:r>
      <w:r w:rsidRPr="00475675" w:rsidR="00A45669">
        <w:rPr>
          <w:color w:val="000000" w:themeColor="text1"/>
          <w:szCs w:val="22"/>
        </w:rPr>
        <w:t>SPB</w:t>
      </w:r>
      <w:r w:rsidRPr="00475675">
        <w:rPr>
          <w:color w:val="000000" w:themeColor="text1"/>
          <w:szCs w:val="22"/>
        </w:rPr>
        <w:t xml:space="preserve"> has taken or will take to prevent the recurrence of any such noncompliance, including the schedule on which such preventive action will be taken.</w:t>
      </w:r>
    </w:p>
    <w:p w:rsidR="00F537EE" w:rsidRPr="00475675" w:rsidP="00BF449B" w14:paraId="7D106997" w14:textId="77777777">
      <w:pPr>
        <w:pStyle w:val="ListParagraph"/>
        <w:numPr>
          <w:ilvl w:val="0"/>
          <w:numId w:val="11"/>
        </w:numPr>
        <w:spacing w:after="120"/>
        <w:ind w:left="1786"/>
        <w:rPr>
          <w:snapToGrid w:val="0"/>
          <w:color w:val="000000" w:themeColor="text1"/>
          <w:kern w:val="28"/>
          <w:sz w:val="22"/>
          <w:szCs w:val="22"/>
        </w:rPr>
      </w:pPr>
      <w:r w:rsidRPr="00475675">
        <w:rPr>
          <w:color w:val="000000" w:themeColor="text1"/>
          <w:sz w:val="22"/>
          <w:szCs w:val="22"/>
        </w:rPr>
        <w:t xml:space="preserve">All Compliance Reports shall be submitted </w:t>
      </w:r>
      <w:r w:rsidRPr="00475675">
        <w:rPr>
          <w:snapToGrid w:val="0"/>
          <w:color w:val="000000" w:themeColor="text1"/>
          <w:kern w:val="28"/>
          <w:sz w:val="22"/>
          <w:szCs w:val="22"/>
        </w:rPr>
        <w:t xml:space="preserve">shall be submitted to the Office of the Field Director, Enforcement Bureau, Federal Communications Commission, 45 L Street NE, Washington, DC 20554, with a copy submitted electronically to </w:t>
      </w:r>
      <w:hyperlink r:id="rId10" w:history="1">
        <w:r w:rsidRPr="00996D8D" w:rsidR="00A26716">
          <w:rPr>
            <w:rStyle w:val="Hyperlink"/>
            <w:snapToGrid w:val="0"/>
            <w:kern w:val="28"/>
            <w:sz w:val="22"/>
            <w:szCs w:val="22"/>
          </w:rPr>
          <w:t>field@fcc.gov</w:t>
        </w:r>
      </w:hyperlink>
      <w:r w:rsidR="00A26716">
        <w:rPr>
          <w:snapToGrid w:val="0"/>
          <w:color w:val="000000" w:themeColor="text1"/>
          <w:kern w:val="28"/>
          <w:sz w:val="22"/>
          <w:szCs w:val="22"/>
        </w:rPr>
        <w:t xml:space="preserve"> </w:t>
      </w:r>
      <w:r w:rsidRPr="00475675">
        <w:rPr>
          <w:snapToGrid w:val="0"/>
          <w:color w:val="000000" w:themeColor="text1"/>
          <w:kern w:val="28"/>
          <w:sz w:val="22"/>
          <w:szCs w:val="22"/>
        </w:rPr>
        <w:t xml:space="preserve">and David Marks at </w:t>
      </w:r>
      <w:hyperlink r:id="rId12" w:history="1">
        <w:r w:rsidRPr="00996D8D" w:rsidR="00E52AD8">
          <w:rPr>
            <w:rStyle w:val="Hyperlink"/>
            <w:snapToGrid w:val="0"/>
            <w:kern w:val="28"/>
            <w:sz w:val="22"/>
            <w:szCs w:val="22"/>
          </w:rPr>
          <w:t>david.marks@fcc.gov</w:t>
        </w:r>
      </w:hyperlink>
      <w:r w:rsidRPr="00475675">
        <w:rPr>
          <w:snapToGrid w:val="0"/>
          <w:color w:val="000000" w:themeColor="text1"/>
          <w:kern w:val="28"/>
          <w:sz w:val="22"/>
          <w:szCs w:val="22"/>
        </w:rPr>
        <w:t>.</w:t>
      </w:r>
    </w:p>
    <w:p w:rsidR="00F537EE" w:rsidRPr="00475675" w:rsidP="00BF449B" w14:paraId="79AFC275" w14:textId="654CAA46">
      <w:pPr>
        <w:pStyle w:val="ParaNum"/>
        <w:widowControl/>
        <w:rPr>
          <w:color w:val="000000" w:themeColor="text1"/>
          <w:szCs w:val="22"/>
        </w:rPr>
      </w:pPr>
      <w:r w:rsidRPr="00475675">
        <w:rPr>
          <w:b/>
          <w:color w:val="000000" w:themeColor="text1"/>
          <w:szCs w:val="22"/>
          <w:u w:val="single"/>
        </w:rPr>
        <w:t>Termination Date</w:t>
      </w:r>
      <w:r w:rsidRPr="00475675">
        <w:rPr>
          <w:color w:val="000000" w:themeColor="text1"/>
          <w:szCs w:val="22"/>
        </w:rPr>
        <w:t xml:space="preserve">. </w:t>
      </w:r>
      <w:r w:rsidRPr="00475675">
        <w:rPr>
          <w:b/>
          <w:color w:val="000000" w:themeColor="text1"/>
          <w:szCs w:val="22"/>
        </w:rPr>
        <w:t xml:space="preserve"> </w:t>
      </w:r>
      <w:r w:rsidRPr="00475675">
        <w:rPr>
          <w:color w:val="000000" w:themeColor="text1"/>
          <w:szCs w:val="22"/>
        </w:rPr>
        <w:t xml:space="preserve">Unless stated otherwise, the requirements set forth in paragraphs </w:t>
      </w:r>
      <w:r>
        <w:rPr>
          <w:color w:val="000000" w:themeColor="text1"/>
          <w:szCs w:val="22"/>
        </w:rPr>
        <w:fldChar w:fldCharType="begin"/>
      </w:r>
      <w:r>
        <w:rPr>
          <w:color w:val="000000" w:themeColor="text1"/>
          <w:szCs w:val="22"/>
        </w:rPr>
        <w:instrText xml:space="preserve"> REF _Ref379202869 \r \h </w:instrText>
      </w:r>
      <w:r>
        <w:rPr>
          <w:color w:val="000000" w:themeColor="text1"/>
          <w:szCs w:val="22"/>
        </w:rPr>
        <w:fldChar w:fldCharType="separate"/>
      </w:r>
      <w:r w:rsidR="00390728">
        <w:rPr>
          <w:color w:val="000000" w:themeColor="text1"/>
          <w:szCs w:val="22"/>
        </w:rPr>
        <w:t>10</w:t>
      </w:r>
      <w:r>
        <w:rPr>
          <w:color w:val="000000" w:themeColor="text1"/>
          <w:szCs w:val="22"/>
        </w:rPr>
        <w:fldChar w:fldCharType="end"/>
      </w:r>
      <w:r w:rsidRPr="00475675">
        <w:rPr>
          <w:color w:val="000000" w:themeColor="text1"/>
          <w:szCs w:val="22"/>
        </w:rPr>
        <w:t xml:space="preserve"> through </w:t>
      </w:r>
      <w:r>
        <w:rPr>
          <w:color w:val="000000" w:themeColor="text1"/>
          <w:szCs w:val="22"/>
        </w:rPr>
        <w:fldChar w:fldCharType="begin"/>
      </w:r>
      <w:r>
        <w:rPr>
          <w:color w:val="000000" w:themeColor="text1"/>
          <w:szCs w:val="22"/>
        </w:rPr>
        <w:instrText xml:space="preserve"> REF _Ref379202892 \r \h </w:instrText>
      </w:r>
      <w:r>
        <w:rPr>
          <w:color w:val="000000" w:themeColor="text1"/>
          <w:szCs w:val="22"/>
        </w:rPr>
        <w:fldChar w:fldCharType="separate"/>
      </w:r>
      <w:r w:rsidR="00390728">
        <w:rPr>
          <w:color w:val="000000" w:themeColor="text1"/>
          <w:szCs w:val="22"/>
        </w:rPr>
        <w:t>13</w:t>
      </w:r>
      <w:r>
        <w:rPr>
          <w:color w:val="000000" w:themeColor="text1"/>
          <w:szCs w:val="22"/>
        </w:rPr>
        <w:fldChar w:fldCharType="end"/>
      </w:r>
      <w:r w:rsidRPr="00475675">
        <w:rPr>
          <w:color w:val="000000" w:themeColor="text1"/>
          <w:szCs w:val="22"/>
        </w:rPr>
        <w:t xml:space="preserve"> this Consent Decree shall expire thirty-six (36) months after the Effective Date.  </w:t>
      </w:r>
    </w:p>
    <w:p w:rsidR="00F537EE" w:rsidRPr="00475675" w:rsidP="00BF449B" w14:paraId="66C40567" w14:textId="77777777">
      <w:pPr>
        <w:pStyle w:val="ParaNum"/>
        <w:widowControl/>
        <w:rPr>
          <w:color w:val="000000" w:themeColor="text1"/>
          <w:szCs w:val="22"/>
        </w:rPr>
      </w:pPr>
      <w:bookmarkStart w:id="14" w:name="_Ref66091124"/>
      <w:bookmarkStart w:id="15" w:name="_Ref357521957"/>
      <w:r w:rsidRPr="00475675">
        <w:rPr>
          <w:b/>
          <w:iCs/>
          <w:color w:val="000000" w:themeColor="text1"/>
          <w:szCs w:val="22"/>
          <w:u w:val="single"/>
        </w:rPr>
        <w:t>Civil Penalty</w:t>
      </w:r>
      <w:r w:rsidRPr="00475675">
        <w:rPr>
          <w:iCs/>
          <w:color w:val="000000" w:themeColor="text1"/>
          <w:szCs w:val="22"/>
        </w:rPr>
        <w:t>.</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will pay a civil penalty to the United States Treasury in the amount of </w:t>
      </w:r>
      <w:r w:rsidR="00FD207B">
        <w:rPr>
          <w:color w:val="000000" w:themeColor="text1"/>
          <w:szCs w:val="22"/>
        </w:rPr>
        <w:t>One</w:t>
      </w:r>
      <w:r w:rsidRPr="00475675">
        <w:rPr>
          <w:color w:val="000000" w:themeColor="text1"/>
          <w:szCs w:val="22"/>
        </w:rPr>
        <w:t xml:space="preserve"> Thousand</w:t>
      </w:r>
      <w:r w:rsidR="00FD207B">
        <w:rPr>
          <w:color w:val="000000" w:themeColor="text1"/>
          <w:szCs w:val="22"/>
        </w:rPr>
        <w:t xml:space="preserve"> Four Hundred</w:t>
      </w:r>
      <w:r w:rsidRPr="00475675">
        <w:rPr>
          <w:color w:val="000000" w:themeColor="text1"/>
          <w:szCs w:val="22"/>
        </w:rPr>
        <w:t xml:space="preserve"> Dollars ($</w:t>
      </w:r>
      <w:r w:rsidRPr="00475675" w:rsidR="001C68CC">
        <w:rPr>
          <w:color w:val="000000" w:themeColor="text1"/>
          <w:szCs w:val="22"/>
        </w:rPr>
        <w:t>1</w:t>
      </w:r>
      <w:r w:rsidRPr="00475675" w:rsidR="00547056">
        <w:rPr>
          <w:color w:val="000000" w:themeColor="text1"/>
          <w:szCs w:val="22"/>
        </w:rPr>
        <w:t>,400</w:t>
      </w:r>
      <w:r w:rsidRPr="00475675">
        <w:rPr>
          <w:color w:val="000000" w:themeColor="text1"/>
          <w:szCs w:val="22"/>
        </w:rPr>
        <w:t xml:space="preserve">).  </w:t>
      </w:r>
      <w:r w:rsidRPr="00475675">
        <w:rPr>
          <w:iCs/>
          <w:color w:val="000000" w:themeColor="text1"/>
          <w:szCs w:val="22"/>
        </w:rPr>
        <w:t xml:space="preserve">Such payment shall be made in one (1) initial </w:t>
      </w:r>
      <w:r w:rsidRPr="00475675">
        <w:rPr>
          <w:iCs/>
          <w:color w:val="000000" w:themeColor="text1"/>
          <w:szCs w:val="22"/>
        </w:rPr>
        <w:t xml:space="preserve">installment payment in the amount of </w:t>
      </w:r>
      <w:r w:rsidRPr="00475675" w:rsidR="002539B8">
        <w:rPr>
          <w:iCs/>
          <w:color w:val="000000" w:themeColor="text1"/>
          <w:szCs w:val="22"/>
        </w:rPr>
        <w:t>Thirty</w:t>
      </w:r>
      <w:r w:rsidRPr="00475675">
        <w:rPr>
          <w:iCs/>
          <w:color w:val="000000" w:themeColor="text1"/>
          <w:szCs w:val="22"/>
        </w:rPr>
        <w:t>-Five Dollars ($3</w:t>
      </w:r>
      <w:r w:rsidRPr="00475675" w:rsidR="0042404D">
        <w:rPr>
          <w:iCs/>
          <w:color w:val="000000" w:themeColor="text1"/>
          <w:szCs w:val="22"/>
        </w:rPr>
        <w:t>5</w:t>
      </w:r>
      <w:r w:rsidRPr="00475675">
        <w:rPr>
          <w:iCs/>
          <w:color w:val="000000" w:themeColor="text1"/>
          <w:szCs w:val="22"/>
        </w:rPr>
        <w:t xml:space="preserve">) and thirty-five (35) equal installments in the amount of </w:t>
      </w:r>
      <w:r w:rsidRPr="00475675" w:rsidR="002539B8">
        <w:rPr>
          <w:iCs/>
          <w:color w:val="000000" w:themeColor="text1"/>
          <w:szCs w:val="22"/>
        </w:rPr>
        <w:t>Thirty-Nine</w:t>
      </w:r>
      <w:r w:rsidRPr="00475675">
        <w:rPr>
          <w:iCs/>
          <w:color w:val="000000" w:themeColor="text1"/>
          <w:szCs w:val="22"/>
        </w:rPr>
        <w:t xml:space="preserve"> Dollars ($</w:t>
      </w:r>
      <w:r w:rsidRPr="00475675" w:rsidR="0042404D">
        <w:rPr>
          <w:iCs/>
          <w:color w:val="000000" w:themeColor="text1"/>
          <w:szCs w:val="22"/>
        </w:rPr>
        <w:t>39</w:t>
      </w:r>
      <w:r w:rsidRPr="00475675">
        <w:rPr>
          <w:iCs/>
          <w:color w:val="000000" w:themeColor="text1"/>
          <w:szCs w:val="22"/>
        </w:rPr>
        <w:t xml:space="preserve">). The Initial Installment Payment in the amount of </w:t>
      </w:r>
      <w:r w:rsidRPr="00475675" w:rsidR="002539B8">
        <w:rPr>
          <w:iCs/>
          <w:color w:val="000000" w:themeColor="text1"/>
          <w:szCs w:val="22"/>
        </w:rPr>
        <w:t>Thirty</w:t>
      </w:r>
      <w:r w:rsidRPr="00475675">
        <w:rPr>
          <w:iCs/>
          <w:color w:val="000000" w:themeColor="text1"/>
          <w:szCs w:val="22"/>
        </w:rPr>
        <w:t xml:space="preserve">-Five Dollars ($35) is due within thirty (30) days of the Effective Date.  Thereafter, subsequent Installment Payments of </w:t>
      </w:r>
      <w:r w:rsidRPr="00475675" w:rsidR="002539B8">
        <w:rPr>
          <w:iCs/>
          <w:color w:val="000000" w:themeColor="text1"/>
          <w:szCs w:val="22"/>
        </w:rPr>
        <w:t>Thirty-Nine</w:t>
      </w:r>
      <w:r w:rsidRPr="00475675">
        <w:rPr>
          <w:iCs/>
          <w:color w:val="000000" w:themeColor="text1"/>
          <w:szCs w:val="22"/>
        </w:rPr>
        <w:t xml:space="preserve"> Dollars ($3</w:t>
      </w:r>
      <w:r w:rsidRPr="00475675" w:rsidR="002539B8">
        <w:rPr>
          <w:iCs/>
          <w:color w:val="000000" w:themeColor="text1"/>
          <w:szCs w:val="22"/>
        </w:rPr>
        <w:t>9</w:t>
      </w:r>
      <w:r w:rsidRPr="00475675">
        <w:rPr>
          <w:iCs/>
          <w:color w:val="000000" w:themeColor="text1"/>
          <w:szCs w:val="22"/>
        </w:rPr>
        <w:t xml:space="preserve">) will be due on be due and payable monthly on or before the 20th of each month for </w:t>
      </w:r>
      <w:r w:rsidRPr="00475675">
        <w:rPr>
          <w:color w:val="000000" w:themeColor="text1"/>
          <w:szCs w:val="22"/>
        </w:rPr>
        <w:t>thirty-five (35) months</w:t>
      </w:r>
      <w:r w:rsidRPr="00475675">
        <w:rPr>
          <w:iCs/>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acknowledges and agrees that upon execution of this Consent Decree, the Civil Penalty </w:t>
      </w:r>
      <w:r w:rsidRPr="00475675">
        <w:rPr>
          <w:iCs/>
          <w:color w:val="000000" w:themeColor="text1"/>
          <w:szCs w:val="22"/>
        </w:rPr>
        <w:t>and each Installment Payment shall</w:t>
      </w:r>
      <w:r w:rsidRPr="00475675">
        <w:rPr>
          <w:color w:val="000000" w:themeColor="text1"/>
          <w:szCs w:val="22"/>
        </w:rPr>
        <w:t xml:space="preserve"> become a “Claim” or “Debt” as defined in 31 U.S.C. § 3701(b)(1).</w:t>
      </w:r>
      <w:r>
        <w:rPr>
          <w:rStyle w:val="FootnoteReference"/>
          <w:color w:val="000000" w:themeColor="text1"/>
          <w:sz w:val="22"/>
          <w:szCs w:val="22"/>
        </w:rPr>
        <w:footnoteReference w:id="22"/>
      </w:r>
      <w:r w:rsidRPr="00475675">
        <w:rPr>
          <w:color w:val="000000" w:themeColor="text1"/>
          <w:szCs w:val="22"/>
        </w:rPr>
        <w:t xml:space="preserve">  Upon an Event of Default, all procedures for collection as permitted by law may, at the Commission</w:t>
      </w:r>
      <w:r w:rsidR="00154F37">
        <w:rPr>
          <w:color w:val="000000" w:themeColor="text1"/>
          <w:szCs w:val="22"/>
        </w:rPr>
        <w:t>’</w:t>
      </w:r>
      <w:r w:rsidRPr="00475675">
        <w:rPr>
          <w:color w:val="000000" w:themeColor="text1"/>
          <w:szCs w:val="22"/>
        </w:rPr>
        <w:t xml:space="preserve">s discretion, be initiated.  </w:t>
      </w:r>
      <w:r w:rsidRPr="00475675" w:rsidR="00A45669">
        <w:rPr>
          <w:color w:val="000000" w:themeColor="text1"/>
          <w:szCs w:val="22"/>
        </w:rPr>
        <w:t>SPB</w:t>
      </w:r>
      <w:r w:rsidRPr="00475675">
        <w:rPr>
          <w:color w:val="000000" w:themeColor="text1"/>
          <w:szCs w:val="22"/>
        </w:rPr>
        <w:t xml:space="preserve"> shall send electronic notification of payment to </w:t>
      </w:r>
      <w:hyperlink r:id="rId13" w:history="1">
        <w:r w:rsidRPr="006620E7">
          <w:rPr>
            <w:rStyle w:val="Hyperlink"/>
            <w:szCs w:val="22"/>
          </w:rPr>
          <w:t>field@fcc.gov</w:t>
        </w:r>
      </w:hyperlink>
      <w:r w:rsidRPr="006620E7">
        <w:rPr>
          <w:color w:val="000000" w:themeColor="text1"/>
          <w:szCs w:val="22"/>
        </w:rPr>
        <w:t xml:space="preserve">, David Marks at </w:t>
      </w:r>
      <w:hyperlink r:id="rId14" w:history="1">
        <w:r w:rsidRPr="00996D8D" w:rsidR="006620E7">
          <w:rPr>
            <w:rStyle w:val="Hyperlink"/>
            <w:szCs w:val="22"/>
          </w:rPr>
          <w:t>david.marks@fcc.gov</w:t>
        </w:r>
      </w:hyperlink>
      <w:r w:rsidR="006620E7">
        <w:rPr>
          <w:color w:val="000000" w:themeColor="text1"/>
          <w:szCs w:val="22"/>
        </w:rPr>
        <w:t xml:space="preserve"> o</w:t>
      </w:r>
      <w:r w:rsidRPr="00475675">
        <w:rPr>
          <w:color w:val="000000" w:themeColor="text1"/>
          <w:szCs w:val="22"/>
        </w:rPr>
        <w:t>n the date said payment is made.  Payment of the Civil Penalty must be made by credit card, ACH (Automated Clearing House) debit from a bank account using the Commission</w:t>
      </w:r>
      <w:r w:rsidR="00154F37">
        <w:rPr>
          <w:color w:val="000000" w:themeColor="text1"/>
          <w:szCs w:val="22"/>
        </w:rPr>
        <w:t>’</w:t>
      </w:r>
      <w:r w:rsidRPr="00475675">
        <w:rPr>
          <w:color w:val="000000" w:themeColor="text1"/>
          <w:szCs w:val="22"/>
        </w:rPr>
        <w:t>s Fee Filer (the Commission</w:t>
      </w:r>
      <w:r w:rsidR="00154F37">
        <w:rPr>
          <w:color w:val="000000" w:themeColor="text1"/>
          <w:szCs w:val="22"/>
        </w:rPr>
        <w:t>’</w:t>
      </w:r>
      <w:r w:rsidRPr="00475675">
        <w:rPr>
          <w:color w:val="000000" w:themeColor="text1"/>
          <w:szCs w:val="22"/>
        </w:rPr>
        <w:t>s online payment system),</w:t>
      </w:r>
      <w:r>
        <w:rPr>
          <w:rStyle w:val="FootnoteReference"/>
          <w:color w:val="000000" w:themeColor="text1"/>
          <w:sz w:val="22"/>
          <w:szCs w:val="22"/>
        </w:rPr>
        <w:footnoteReference w:id="23"/>
      </w:r>
      <w:r w:rsidRPr="00475675">
        <w:rPr>
          <w:color w:val="000000" w:themeColor="text1"/>
          <w:szCs w:val="22"/>
        </w:rPr>
        <w:t xml:space="preserve"> or by wire transfer.  The Commission no longer accepts Civil Penalty payments by check or money order.  Below are instructions that payors should follow based on the form of payment selected:</w:t>
      </w:r>
      <w:r>
        <w:rPr>
          <w:color w:val="000000" w:themeColor="text1"/>
          <w:szCs w:val="22"/>
          <w:vertAlign w:val="superscript"/>
        </w:rPr>
        <w:footnoteReference w:id="24"/>
      </w:r>
      <w:bookmarkEnd w:id="14"/>
      <w:r w:rsidRPr="00475675">
        <w:rPr>
          <w:color w:val="000000" w:themeColor="text1"/>
          <w:szCs w:val="22"/>
        </w:rPr>
        <w:t xml:space="preserve"> </w:t>
      </w:r>
    </w:p>
    <w:p w:rsidR="00F537EE" w:rsidRPr="00475675" w:rsidP="00BF449B" w14:paraId="091026D9" w14:textId="77777777">
      <w:pPr>
        <w:widowControl/>
        <w:numPr>
          <w:ilvl w:val="0"/>
          <w:numId w:val="12"/>
        </w:numPr>
        <w:spacing w:after="120"/>
        <w:rPr>
          <w:color w:val="000000" w:themeColor="text1"/>
          <w:szCs w:val="22"/>
        </w:rPr>
      </w:pPr>
      <w:r w:rsidRPr="00475675">
        <w:rPr>
          <w:color w:val="000000" w:themeColor="text1"/>
          <w:szCs w:val="22"/>
        </w:rPr>
        <w:t xml:space="preserve">Payment by wire transfer must be made to ABA Number 021030004, receiving bank TREAS/NYC, and Account Number 27000001.  A completed Form 159 must be faxed to the Federal Communications Commission at 202-418-2843 or e-mailed to </w:t>
      </w:r>
      <w:hyperlink r:id="rId15" w:history="1">
        <w:r w:rsidRPr="008D23CF" w:rsidR="00DD2F78">
          <w:rPr>
            <w:rStyle w:val="Hyperlink"/>
            <w:szCs w:val="22"/>
          </w:rPr>
          <w:t>RROGWireFaxes@fcc.gov</w:t>
        </w:r>
      </w:hyperlink>
      <w:r w:rsidRPr="00475675">
        <w:rPr>
          <w:color w:val="000000" w:themeColor="text1"/>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color w:val="000000" w:themeColor="text1"/>
          <w:sz w:val="22"/>
          <w:szCs w:val="22"/>
        </w:rPr>
        <w:footnoteReference w:id="25"/>
      </w:r>
      <w:r w:rsidRPr="00475675">
        <w:rPr>
          <w:color w:val="000000" w:themeColor="text1"/>
          <w:szCs w:val="22"/>
        </w:rPr>
        <w:t xml:space="preserve">  For additional detail and wire transfer instructions, go to </w:t>
      </w:r>
      <w:hyperlink r:id="rId16" w:history="1">
        <w:r w:rsidRPr="00475675">
          <w:rPr>
            <w:rStyle w:val="Hyperlink"/>
            <w:rFonts w:eastAsia="Calibri"/>
            <w:color w:val="000000" w:themeColor="text1"/>
            <w:kern w:val="0"/>
            <w:szCs w:val="22"/>
          </w:rPr>
          <w:t>https://www.fcc.gov/licensing-databases/fees/wire-transfer</w:t>
        </w:r>
      </w:hyperlink>
      <w:r w:rsidRPr="00475675">
        <w:rPr>
          <w:color w:val="000000" w:themeColor="text1"/>
          <w:szCs w:val="22"/>
        </w:rPr>
        <w:t xml:space="preserve">.  </w:t>
      </w:r>
    </w:p>
    <w:p w:rsidR="00F537EE" w:rsidRPr="00475675" w:rsidP="00BF449B" w14:paraId="4BAF11EC" w14:textId="77777777">
      <w:pPr>
        <w:widowControl/>
        <w:numPr>
          <w:ilvl w:val="0"/>
          <w:numId w:val="12"/>
        </w:numPr>
        <w:spacing w:after="120"/>
        <w:rPr>
          <w:color w:val="000000" w:themeColor="text1"/>
          <w:szCs w:val="22"/>
        </w:rPr>
      </w:pPr>
      <w:r w:rsidRPr="00475675">
        <w:rPr>
          <w:color w:val="000000" w:themeColor="text1"/>
          <w:szCs w:val="22"/>
        </w:rPr>
        <w:t>Payment by credit card must be made by using the Commission</w:t>
      </w:r>
      <w:r w:rsidR="00154F37">
        <w:rPr>
          <w:color w:val="000000" w:themeColor="text1"/>
          <w:szCs w:val="22"/>
        </w:rPr>
        <w:t>’</w:t>
      </w:r>
      <w:r w:rsidRPr="00475675">
        <w:rPr>
          <w:color w:val="000000" w:themeColor="text1"/>
          <w:szCs w:val="22"/>
        </w:rPr>
        <w:t xml:space="preserve">s Fee Filer website at </w:t>
      </w:r>
      <w:hyperlink r:id="rId17" w:history="1">
        <w:r w:rsidRPr="00475675">
          <w:rPr>
            <w:rStyle w:val="Hyperlink"/>
            <w:color w:val="000000" w:themeColor="text1"/>
            <w:szCs w:val="22"/>
          </w:rPr>
          <w:t>https://apps.fcc.gov/FeeFiler/login.cfm</w:t>
        </w:r>
      </w:hyperlink>
      <w:r w:rsidRPr="00475675">
        <w:rPr>
          <w:color w:val="000000" w:themeColor="text1"/>
          <w:szCs w:val="22"/>
        </w:rPr>
        <w:t xml:space="preserve">.  To pay by credit card, log-in using the FRN captioned above.  If payment must be split across FRNs, complete this process for each FRN.  Next, select “Pay bills” on the Fee Filer Menu, and select the bill number associated with the </w:t>
      </w:r>
      <w:r w:rsidRPr="00475675" w:rsidR="009569BA">
        <w:rPr>
          <w:color w:val="000000" w:themeColor="text1"/>
          <w:szCs w:val="22"/>
        </w:rPr>
        <w:t>CD</w:t>
      </w:r>
      <w:r w:rsidRPr="00475675">
        <w:rPr>
          <w:color w:val="000000" w:themeColor="text1"/>
          <w:szCs w:val="22"/>
        </w:rPr>
        <w:t xml:space="preserve"> Acct. No. – the bill number is the </w:t>
      </w:r>
      <w:r w:rsidRPr="00475675" w:rsidR="006275A3">
        <w:rPr>
          <w:color w:val="000000" w:themeColor="text1"/>
          <w:szCs w:val="22"/>
        </w:rPr>
        <w:t>CD</w:t>
      </w:r>
      <w:r w:rsidRPr="00475675">
        <w:rPr>
          <w:color w:val="000000" w:themeColor="text1"/>
          <w:szCs w:val="22"/>
        </w:rPr>
        <w:t xml:space="preserve"> Acct. No. with the first two digits excluded – and then choose the “Pay by Credit Card” option.  IMPORTANT NOTE: there is a $24,999.99 limit on credit card transactions.</w:t>
      </w:r>
    </w:p>
    <w:p w:rsidR="00F537EE" w:rsidRPr="00475675" w:rsidP="00BF449B" w14:paraId="164F6254" w14:textId="77777777">
      <w:pPr>
        <w:widowControl/>
        <w:numPr>
          <w:ilvl w:val="0"/>
          <w:numId w:val="12"/>
        </w:numPr>
        <w:spacing w:after="120"/>
        <w:rPr>
          <w:color w:val="000000" w:themeColor="text1"/>
          <w:szCs w:val="22"/>
        </w:rPr>
      </w:pPr>
      <w:r w:rsidRPr="00475675">
        <w:rPr>
          <w:color w:val="000000" w:themeColor="text1"/>
          <w:szCs w:val="22"/>
        </w:rPr>
        <w:t>Payment by ACH must be made by using the Commission</w:t>
      </w:r>
      <w:r w:rsidR="00154F37">
        <w:rPr>
          <w:color w:val="000000" w:themeColor="text1"/>
          <w:szCs w:val="22"/>
        </w:rPr>
        <w:t>’</w:t>
      </w:r>
      <w:r w:rsidRPr="00475675">
        <w:rPr>
          <w:color w:val="000000" w:themeColor="text1"/>
          <w:szCs w:val="22"/>
        </w:rPr>
        <w:t xml:space="preserve">s Fee Filer website at </w:t>
      </w:r>
      <w:hyperlink r:id="rId17" w:history="1">
        <w:r w:rsidRPr="00475675">
          <w:rPr>
            <w:rStyle w:val="Hyperlink"/>
            <w:rFonts w:eastAsia="Calibri"/>
            <w:color w:val="000000" w:themeColor="text1"/>
            <w:kern w:val="0"/>
            <w:szCs w:val="22"/>
          </w:rPr>
          <w:t>https://apps.fcc.gov/FeeFiler/login.cfm</w:t>
        </w:r>
      </w:hyperlink>
      <w:r w:rsidRPr="00475675">
        <w:rPr>
          <w:color w:val="000000" w:themeColor="text1"/>
          <w:szCs w:val="22"/>
        </w:rPr>
        <w:t xml:space="preserve">.  To pay by ACH, log in using the FRN captioned above.  If payment must be split across FRNs, complete this process for each FRN.  Next, select “Pay bills” on the Fee Filer Menu and then select the bill number associated with the </w:t>
      </w:r>
      <w:r w:rsidRPr="00475675" w:rsidR="009569BA">
        <w:rPr>
          <w:color w:val="000000" w:themeColor="text1"/>
          <w:szCs w:val="22"/>
        </w:rPr>
        <w:t>CD</w:t>
      </w:r>
      <w:r w:rsidRPr="00475675">
        <w:rPr>
          <w:color w:val="000000" w:themeColor="text1"/>
          <w:szCs w:val="22"/>
        </w:rPr>
        <w:t xml:space="preserve"> Acct. No. – the bill number is the </w:t>
      </w:r>
      <w:r w:rsidRPr="00475675" w:rsidR="006275A3">
        <w:rPr>
          <w:color w:val="000000" w:themeColor="text1"/>
          <w:szCs w:val="22"/>
        </w:rPr>
        <w:t>CD</w:t>
      </w:r>
      <w:r w:rsidRPr="00475675">
        <w:rPr>
          <w:color w:val="000000" w:themeColor="text1"/>
          <w:szCs w:val="22"/>
        </w:rPr>
        <w:t xml:space="preserve"> Acct. No. with the first two digits excluded (e.g., </w:t>
      </w:r>
      <w:r w:rsidRPr="00475675" w:rsidR="006275A3">
        <w:rPr>
          <w:color w:val="000000" w:themeColor="text1"/>
          <w:szCs w:val="22"/>
        </w:rPr>
        <w:t>CD</w:t>
      </w:r>
      <w:r w:rsidRPr="00475675">
        <w:rPr>
          <w:color w:val="000000" w:themeColor="text1"/>
          <w:szCs w:val="22"/>
        </w:rPr>
        <w:t xml:space="preserve"> 1912345678 = FCC bill Number 12345678)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537EE" w:rsidRPr="00B734BD" w:rsidP="00B734BD" w14:paraId="7E7BF0F3" w14:textId="77777777">
      <w:pPr>
        <w:pStyle w:val="ParaNum"/>
        <w:widowControl/>
        <w:rPr>
          <w:color w:val="000000" w:themeColor="text1"/>
          <w:szCs w:val="22"/>
        </w:rPr>
      </w:pPr>
      <w:r w:rsidRPr="00B734BD">
        <w:rPr>
          <w:b/>
          <w:iCs/>
          <w:color w:val="000000" w:themeColor="text1"/>
          <w:szCs w:val="22"/>
          <w:u w:val="single"/>
        </w:rPr>
        <w:t>Event of Default</w:t>
      </w:r>
      <w:r w:rsidRPr="00B734BD">
        <w:rPr>
          <w:color w:val="000000" w:themeColor="text1"/>
          <w:szCs w:val="22"/>
        </w:rPr>
        <w:t xml:space="preserve">.  </w:t>
      </w:r>
      <w:r w:rsidRPr="00B734BD" w:rsidR="00A45669">
        <w:rPr>
          <w:color w:val="000000" w:themeColor="text1"/>
          <w:szCs w:val="22"/>
        </w:rPr>
        <w:t>SPB</w:t>
      </w:r>
      <w:r w:rsidRPr="00B734BD">
        <w:rPr>
          <w:color w:val="000000" w:themeColor="text1"/>
          <w:szCs w:val="22"/>
        </w:rPr>
        <w:t xml:space="preserve"> agrees that an Event of Default shall occur upon </w:t>
      </w:r>
      <w:r w:rsidRPr="00B734BD" w:rsidR="00B734BD">
        <w:rPr>
          <w:color w:val="000000" w:themeColor="text1"/>
          <w:szCs w:val="22"/>
        </w:rPr>
        <w:t xml:space="preserve">(a) </w:t>
      </w:r>
      <w:r w:rsidRPr="00B734BD">
        <w:rPr>
          <w:color w:val="000000" w:themeColor="text1"/>
          <w:szCs w:val="22"/>
        </w:rPr>
        <w:t xml:space="preserve">the failure by </w:t>
      </w:r>
      <w:r w:rsidRPr="00B734BD" w:rsidR="00A45669">
        <w:rPr>
          <w:color w:val="000000" w:themeColor="text1"/>
          <w:szCs w:val="22"/>
        </w:rPr>
        <w:t>SPB</w:t>
      </w:r>
      <w:r w:rsidRPr="00B734BD">
        <w:rPr>
          <w:color w:val="000000" w:themeColor="text1"/>
          <w:szCs w:val="22"/>
        </w:rPr>
        <w:t xml:space="preserve"> to pay the full amount of the Civil Penalty </w:t>
      </w:r>
      <w:r w:rsidRPr="00B734BD">
        <w:rPr>
          <w:iCs/>
          <w:color w:val="000000" w:themeColor="text1"/>
          <w:szCs w:val="22"/>
        </w:rPr>
        <w:t>or any Installment Payment on</w:t>
      </w:r>
      <w:r w:rsidRPr="00B734BD">
        <w:rPr>
          <w:color w:val="000000" w:themeColor="text1"/>
          <w:szCs w:val="22"/>
        </w:rPr>
        <w:t xml:space="preserve"> or before the due date specified in this Consent Decree</w:t>
      </w:r>
      <w:r w:rsidRPr="00B734BD" w:rsidR="00B734BD">
        <w:rPr>
          <w:color w:val="000000" w:themeColor="text1"/>
          <w:szCs w:val="22"/>
        </w:rPr>
        <w:t xml:space="preserve">, or (b) </w:t>
      </w:r>
      <w:r w:rsidRPr="00B734BD" w:rsidR="00B734BD">
        <w:rPr>
          <w:rFonts w:ascii="TimesNewRoman" w:hAnsi="TimesNewRoman" w:cs="TimesNewRoman"/>
          <w:snapToGrid/>
          <w:kern w:val="0"/>
          <w:szCs w:val="22"/>
        </w:rPr>
        <w:t xml:space="preserve">the release of an order by the Commission finding that SPB </w:t>
      </w:r>
      <w:r w:rsidRPr="00B734BD" w:rsidR="00B734BD">
        <w:rPr>
          <w:rFonts w:ascii="TimesNewRoman" w:hAnsi="TimesNewRoman" w:cs="TimesNewRoman"/>
          <w:snapToGrid/>
          <w:kern w:val="0"/>
          <w:szCs w:val="22"/>
        </w:rPr>
        <w:t>materially misstated its financial condition in the documents produced to support SBP</w:t>
      </w:r>
      <w:r w:rsidR="00154F37">
        <w:rPr>
          <w:rFonts w:ascii="TimesNewRoman" w:hAnsi="TimesNewRoman" w:cs="TimesNewRoman"/>
          <w:snapToGrid/>
          <w:kern w:val="0"/>
          <w:szCs w:val="22"/>
        </w:rPr>
        <w:t>’</w:t>
      </w:r>
      <w:r w:rsidRPr="00B734BD" w:rsidR="00B734BD">
        <w:rPr>
          <w:rFonts w:ascii="TimesNewRoman" w:hAnsi="TimesNewRoman" w:cs="TimesNewRoman"/>
          <w:snapToGrid/>
          <w:kern w:val="0"/>
          <w:szCs w:val="22"/>
        </w:rPr>
        <w:t>s claim of inability to pay</w:t>
      </w:r>
      <w:r w:rsidRPr="00B734BD">
        <w:rPr>
          <w:color w:val="000000" w:themeColor="text1"/>
          <w:szCs w:val="22"/>
        </w:rPr>
        <w:t>.</w:t>
      </w:r>
    </w:p>
    <w:p w:rsidR="00F537EE" w:rsidRPr="00475675" w:rsidP="00BF449B" w14:paraId="73D7A292" w14:textId="77777777">
      <w:pPr>
        <w:pStyle w:val="ParaNum"/>
        <w:widowControl/>
        <w:rPr>
          <w:color w:val="000000" w:themeColor="text1"/>
          <w:szCs w:val="22"/>
        </w:rPr>
      </w:pPr>
      <w:r w:rsidRPr="00475675">
        <w:rPr>
          <w:b/>
          <w:color w:val="000000" w:themeColor="text1"/>
          <w:szCs w:val="22"/>
          <w:u w:val="single"/>
        </w:rPr>
        <w:t>Interest, Charges for Collection, and Acceleration of Maturity Date</w:t>
      </w:r>
      <w:r w:rsidRPr="00475675">
        <w:rPr>
          <w:color w:val="000000" w:themeColor="text1"/>
          <w:szCs w:val="22"/>
        </w:rPr>
        <w:t xml:space="preserve">.  After an Event of Default has occurred under this Consent Decree, the then unpaid amount of the Civil Penalty </w:t>
      </w:r>
      <w:r w:rsidRPr="00475675">
        <w:rPr>
          <w:iCs/>
          <w:color w:val="000000" w:themeColor="text1"/>
          <w:szCs w:val="22"/>
        </w:rPr>
        <w:t>or any Installment Payment</w:t>
      </w:r>
      <w:r w:rsidRPr="00475675">
        <w:rPr>
          <w:color w:val="000000" w:themeColor="text1"/>
          <w:szCs w:val="22"/>
        </w:rPr>
        <w:t xml:space="preserve"> shall accrue interest, computed using the U.S. Prime Rate in effect on the date of the Event of Default plus 4.75%, from the date of the Event of Default until payment in full.  Upon an Event of Default, the then unpaid amount of the Civil Penalty or any Installment Payment, together with interest, any penalties permitted and/or required by the law, including but not limited to 31 U.S.C. § 3717 and administrative charges, plus the costs of collection, litigation, and attorneys</w:t>
      </w:r>
      <w:r w:rsidR="00F62216">
        <w:rPr>
          <w:color w:val="000000" w:themeColor="text1"/>
          <w:szCs w:val="22"/>
        </w:rPr>
        <w:t>’</w:t>
      </w:r>
      <w:r w:rsidR="00852F3C">
        <w:rPr>
          <w:color w:val="000000" w:themeColor="text1"/>
          <w:szCs w:val="22"/>
        </w:rPr>
        <w:t xml:space="preserve"> </w:t>
      </w:r>
      <w:r w:rsidRPr="00475675">
        <w:rPr>
          <w:color w:val="000000" w:themeColor="text1"/>
          <w:szCs w:val="22"/>
        </w:rPr>
        <w:t xml:space="preserve">fees, shall become immediately due and payable, without notice, presentment, demand, protest, or notice of protest of any kind, all of which are waived by </w:t>
      </w:r>
      <w:r w:rsidRPr="00475675" w:rsidR="00A45669">
        <w:rPr>
          <w:color w:val="000000" w:themeColor="text1"/>
          <w:szCs w:val="22"/>
        </w:rPr>
        <w:t>SPB</w:t>
      </w:r>
      <w:r w:rsidRPr="00475675">
        <w:rPr>
          <w:color w:val="000000" w:themeColor="text1"/>
          <w:szCs w:val="22"/>
        </w:rPr>
        <w:t>.</w:t>
      </w:r>
    </w:p>
    <w:bookmarkEnd w:id="15"/>
    <w:p w:rsidR="00F537EE" w:rsidRPr="00475675" w:rsidP="00BF449B" w14:paraId="3284A477" w14:textId="77777777">
      <w:pPr>
        <w:pStyle w:val="ParaNum"/>
        <w:widowControl/>
        <w:rPr>
          <w:color w:val="000000" w:themeColor="text1"/>
          <w:szCs w:val="22"/>
        </w:rPr>
      </w:pPr>
      <w:r w:rsidRPr="00475675">
        <w:rPr>
          <w:b/>
          <w:color w:val="000000" w:themeColor="text1"/>
          <w:szCs w:val="22"/>
          <w:u w:val="single"/>
        </w:rPr>
        <w:t>Waivers</w:t>
      </w:r>
      <w:r w:rsidRPr="00475675">
        <w:rPr>
          <w:color w:val="000000" w:themeColor="text1"/>
          <w:szCs w:val="22"/>
        </w:rPr>
        <w:t xml:space="preserve">.  As of the Effective Date, </w:t>
      </w:r>
      <w:r w:rsidRPr="00475675" w:rsidR="00A45669">
        <w:rPr>
          <w:color w:val="000000" w:themeColor="text1"/>
          <w:szCs w:val="22"/>
        </w:rPr>
        <w:t>SPB</w:t>
      </w:r>
      <w:r w:rsidRPr="00475675">
        <w:rPr>
          <w:color w:val="000000" w:themeColor="text1"/>
          <w:szCs w:val="22"/>
        </w:rPr>
        <w:t xml:space="preserve"> waives any and all rights it may have to seek administrative or judicial reconsideration, review, appeal or stay, or to otherwise challenge or contest the validity of this Consent Decree and the Adopting Order.  </w:t>
      </w:r>
      <w:r w:rsidRPr="00475675" w:rsidR="00A45669">
        <w:rPr>
          <w:color w:val="000000" w:themeColor="text1"/>
          <w:szCs w:val="22"/>
        </w:rPr>
        <w:t>SPB</w:t>
      </w:r>
      <w:r w:rsidRPr="00475675">
        <w:rPr>
          <w:color w:val="000000" w:themeColor="text1"/>
          <w:szCs w:val="22"/>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Pr="00475675" w:rsidR="00A45669">
        <w:rPr>
          <w:color w:val="000000" w:themeColor="text1"/>
          <w:szCs w:val="22"/>
        </w:rPr>
        <w:t>SPB</w:t>
      </w:r>
      <w:r w:rsidRPr="00475675">
        <w:rPr>
          <w:color w:val="000000" w:themeColor="text1"/>
          <w:szCs w:val="22"/>
        </w:rPr>
        <w:t xml:space="preserve"> nor the Commission shall contest the validity of the Consent Decree or the Adopting Order, and </w:t>
      </w:r>
      <w:r w:rsidRPr="00475675" w:rsidR="00A45669">
        <w:rPr>
          <w:color w:val="000000" w:themeColor="text1"/>
          <w:szCs w:val="22"/>
        </w:rPr>
        <w:t>SPB</w:t>
      </w:r>
      <w:r w:rsidRPr="00475675">
        <w:rPr>
          <w:color w:val="000000" w:themeColor="text1"/>
          <w:szCs w:val="22"/>
        </w:rPr>
        <w:t xml:space="preserve"> shall waive any statutory right to a trial </w:t>
      </w:r>
      <w:r w:rsidRPr="00475675">
        <w:rPr>
          <w:i/>
          <w:color w:val="000000" w:themeColor="text1"/>
          <w:szCs w:val="22"/>
        </w:rPr>
        <w:t>de novo</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hereby agrees to waive any claims it may otherwise have under the Equal Access to Justice Act</w:t>
      </w:r>
      <w:r>
        <w:rPr>
          <w:rStyle w:val="FootnoteReference"/>
          <w:color w:val="000000" w:themeColor="text1"/>
          <w:sz w:val="22"/>
          <w:szCs w:val="22"/>
        </w:rPr>
        <w:footnoteReference w:id="26"/>
      </w:r>
      <w:r w:rsidRPr="00475675">
        <w:rPr>
          <w:color w:val="000000" w:themeColor="text1"/>
          <w:szCs w:val="22"/>
        </w:rPr>
        <w:t xml:space="preserve"> relating to the matters addressed in this Consent Decree.</w:t>
      </w:r>
    </w:p>
    <w:p w:rsidR="00F537EE" w:rsidRPr="00475675" w:rsidP="00BF449B" w14:paraId="25A63296" w14:textId="77777777">
      <w:pPr>
        <w:pStyle w:val="ParaNum"/>
        <w:widowControl/>
        <w:rPr>
          <w:color w:val="000000" w:themeColor="text1"/>
          <w:szCs w:val="22"/>
        </w:rPr>
      </w:pPr>
      <w:r w:rsidRPr="00475675">
        <w:rPr>
          <w:b/>
          <w:color w:val="000000" w:themeColor="text1"/>
          <w:szCs w:val="22"/>
          <w:u w:val="single"/>
        </w:rPr>
        <w:t>Severability</w:t>
      </w:r>
      <w:r w:rsidRPr="00475675">
        <w:rPr>
          <w:color w:val="000000" w:themeColor="text1"/>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537EE" w:rsidRPr="00475675" w:rsidP="00BF449B" w14:paraId="73EF77A9" w14:textId="77777777">
      <w:pPr>
        <w:pStyle w:val="ParaNum"/>
        <w:widowControl/>
        <w:rPr>
          <w:color w:val="000000" w:themeColor="text1"/>
          <w:szCs w:val="22"/>
        </w:rPr>
      </w:pPr>
      <w:r w:rsidRPr="00475675">
        <w:rPr>
          <w:b/>
          <w:color w:val="000000" w:themeColor="text1"/>
          <w:szCs w:val="22"/>
          <w:u w:val="single"/>
        </w:rPr>
        <w:t>Invalidity</w:t>
      </w:r>
      <w:r w:rsidRPr="00475675">
        <w:rPr>
          <w:color w:val="000000" w:themeColor="text1"/>
          <w:szCs w:val="22"/>
        </w:rPr>
        <w:t>.  In the event that this Consent Decree in its entirety is rendered invalid by any court of competent jurisdiction, it shall become null and void and may not be used in any manner in any legal proceeding.</w:t>
      </w:r>
    </w:p>
    <w:p w:rsidR="00F537EE" w:rsidRPr="00475675" w:rsidP="00BF449B" w14:paraId="44CE8010" w14:textId="77777777">
      <w:pPr>
        <w:pStyle w:val="ParaNum"/>
        <w:widowControl/>
        <w:rPr>
          <w:color w:val="000000" w:themeColor="text1"/>
          <w:szCs w:val="22"/>
        </w:rPr>
      </w:pPr>
      <w:r w:rsidRPr="00475675">
        <w:rPr>
          <w:b/>
          <w:color w:val="000000" w:themeColor="text1"/>
          <w:szCs w:val="22"/>
          <w:u w:val="single"/>
        </w:rPr>
        <w:t>Subsequent Rule or Order</w:t>
      </w:r>
      <w:r w:rsidRPr="00475675">
        <w:rPr>
          <w:color w:val="000000" w:themeColor="text1"/>
          <w:szCs w:val="22"/>
        </w:rPr>
        <w:t xml:space="preserve">.  The Parties agree that if any provision of the Consent Decree conflicts with any subsequent Rule or order adopted by the Commission (except an order specifically intended to revise the terms of this Consent Decree to which </w:t>
      </w:r>
      <w:r w:rsidRPr="00475675" w:rsidR="00A45669">
        <w:rPr>
          <w:color w:val="000000" w:themeColor="text1"/>
          <w:szCs w:val="22"/>
        </w:rPr>
        <w:t>SPB</w:t>
      </w:r>
      <w:r w:rsidRPr="00475675">
        <w:rPr>
          <w:color w:val="000000" w:themeColor="text1"/>
          <w:szCs w:val="22"/>
        </w:rPr>
        <w:t xml:space="preserve"> does not expressly consent) that provision will be superseded by such Rule or order.</w:t>
      </w:r>
    </w:p>
    <w:p w:rsidR="00F537EE" w:rsidRPr="00475675" w:rsidP="00BF449B" w14:paraId="4113AE6B" w14:textId="77777777">
      <w:pPr>
        <w:pStyle w:val="ParaNum"/>
        <w:widowControl/>
        <w:rPr>
          <w:color w:val="000000" w:themeColor="text1"/>
          <w:szCs w:val="22"/>
        </w:rPr>
      </w:pPr>
      <w:r w:rsidRPr="00475675">
        <w:rPr>
          <w:b/>
          <w:color w:val="000000" w:themeColor="text1"/>
          <w:szCs w:val="22"/>
          <w:u w:val="single"/>
        </w:rPr>
        <w:t>Successors and Assigns</w:t>
      </w:r>
      <w:r w:rsidRPr="00475675">
        <w:rPr>
          <w:color w:val="000000" w:themeColor="text1"/>
          <w:szCs w:val="22"/>
        </w:rPr>
        <w:t xml:space="preserve">.  </w:t>
      </w:r>
      <w:r w:rsidRPr="00475675" w:rsidR="00A45669">
        <w:rPr>
          <w:color w:val="000000" w:themeColor="text1"/>
          <w:szCs w:val="22"/>
        </w:rPr>
        <w:t>SPB</w:t>
      </w:r>
      <w:r w:rsidRPr="00475675">
        <w:rPr>
          <w:color w:val="000000" w:themeColor="text1"/>
          <w:szCs w:val="22"/>
        </w:rPr>
        <w:t xml:space="preserve"> agrees that the provisions of this Consent Decree shall be binding on its successors, assigns, and transferees.</w:t>
      </w:r>
    </w:p>
    <w:p w:rsidR="00F537EE" w:rsidRPr="00475675" w:rsidP="00BF449B" w14:paraId="2B171916" w14:textId="77777777">
      <w:pPr>
        <w:pStyle w:val="ParaNum"/>
        <w:widowControl/>
        <w:rPr>
          <w:color w:val="000000" w:themeColor="text1"/>
          <w:szCs w:val="22"/>
        </w:rPr>
      </w:pPr>
      <w:r w:rsidRPr="00475675">
        <w:rPr>
          <w:b/>
          <w:color w:val="000000" w:themeColor="text1"/>
          <w:szCs w:val="22"/>
          <w:u w:val="single"/>
        </w:rPr>
        <w:t>Final Settlement</w:t>
      </w:r>
      <w:r w:rsidRPr="00475675">
        <w:rPr>
          <w:color w:val="000000" w:themeColor="text1"/>
          <w:szCs w:val="22"/>
        </w:rPr>
        <w:t xml:space="preserve">.  The Parties agree and acknowledge that this Consent Decree shall constitute a final settlement between the Parties with respect to the Investigation. </w:t>
      </w:r>
    </w:p>
    <w:p w:rsidR="00F537EE" w:rsidRPr="00475675" w:rsidP="00BF449B" w14:paraId="302A2F25" w14:textId="77777777">
      <w:pPr>
        <w:pStyle w:val="ParaNum"/>
        <w:widowControl/>
        <w:rPr>
          <w:color w:val="000000" w:themeColor="text1"/>
          <w:szCs w:val="22"/>
        </w:rPr>
      </w:pPr>
      <w:r w:rsidRPr="00475675">
        <w:rPr>
          <w:b/>
          <w:color w:val="000000" w:themeColor="text1"/>
          <w:szCs w:val="22"/>
          <w:u w:val="single"/>
        </w:rPr>
        <w:t>Modifications</w:t>
      </w:r>
      <w:r w:rsidRPr="00475675">
        <w:rPr>
          <w:color w:val="000000" w:themeColor="text1"/>
          <w:szCs w:val="22"/>
        </w:rPr>
        <w:t>.  This Consent Decree cannot be modified without the advance written consent of both Parties.</w:t>
      </w:r>
    </w:p>
    <w:p w:rsidR="00F537EE" w:rsidRPr="00475675" w:rsidP="00BF449B" w14:paraId="5D5F6339" w14:textId="77777777">
      <w:pPr>
        <w:pStyle w:val="ParaNum"/>
        <w:widowControl/>
        <w:rPr>
          <w:color w:val="000000" w:themeColor="text1"/>
          <w:szCs w:val="22"/>
        </w:rPr>
      </w:pPr>
      <w:r w:rsidRPr="00475675">
        <w:rPr>
          <w:b/>
          <w:color w:val="000000" w:themeColor="text1"/>
          <w:szCs w:val="22"/>
          <w:u w:val="single"/>
        </w:rPr>
        <w:t>Paragraph Headings</w:t>
      </w:r>
      <w:r w:rsidRPr="00475675">
        <w:rPr>
          <w:color w:val="000000" w:themeColor="text1"/>
          <w:szCs w:val="22"/>
        </w:rPr>
        <w:t>.  The headings of the paragraphs in this Consent Decree are inserted for convenience only and are not intended to affect the meaning or interpretation of this Consent Decree.</w:t>
      </w:r>
    </w:p>
    <w:p w:rsidR="00B1581F" w:rsidRPr="00191F1C" w:rsidP="00BF449B" w14:paraId="2F6E782C" w14:textId="77777777">
      <w:pPr>
        <w:pStyle w:val="ParaNum"/>
        <w:widowControl/>
        <w:rPr>
          <w:color w:val="000000" w:themeColor="text1"/>
          <w:szCs w:val="22"/>
        </w:rPr>
      </w:pPr>
      <w:r w:rsidRPr="00475675">
        <w:rPr>
          <w:b/>
          <w:color w:val="000000" w:themeColor="text1"/>
          <w:szCs w:val="22"/>
          <w:u w:val="single"/>
        </w:rPr>
        <w:t>Authorized Representative</w:t>
      </w:r>
      <w:r w:rsidRPr="00475675">
        <w:rPr>
          <w:color w:val="000000" w:themeColor="text1"/>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537EE" w:rsidRPr="00475675" w:rsidP="0099261C" w14:paraId="3C04EA21" w14:textId="77777777">
      <w:pPr>
        <w:pStyle w:val="ParaNum"/>
        <w:keepNext/>
        <w:widowControl/>
        <w:rPr>
          <w:color w:val="000000" w:themeColor="text1"/>
          <w:szCs w:val="22"/>
        </w:rPr>
      </w:pPr>
      <w:r w:rsidRPr="00475675">
        <w:rPr>
          <w:b/>
          <w:color w:val="000000" w:themeColor="text1"/>
          <w:szCs w:val="22"/>
          <w:u w:val="single"/>
        </w:rPr>
        <w:t>Counterparts</w:t>
      </w:r>
      <w:r w:rsidRPr="00475675">
        <w:rPr>
          <w:color w:val="000000" w:themeColor="text1"/>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F537EE" w:rsidRPr="00475675" w:rsidP="00BF449B" w14:paraId="2396CC08" w14:textId="77777777">
      <w:pPr>
        <w:keepNext/>
        <w:keepLines/>
        <w:widowControl/>
        <w:rPr>
          <w:color w:val="000000" w:themeColor="text1"/>
          <w:szCs w:val="22"/>
        </w:rPr>
      </w:pPr>
    </w:p>
    <w:p w:rsidR="00F537EE" w:rsidRPr="00475675" w:rsidP="00BF449B" w14:paraId="6B1E12CA" w14:textId="77777777">
      <w:pPr>
        <w:keepNext/>
        <w:keepLines/>
        <w:widowControl/>
        <w:rPr>
          <w:color w:val="000000" w:themeColor="text1"/>
          <w:szCs w:val="22"/>
        </w:rPr>
      </w:pPr>
    </w:p>
    <w:p w:rsidR="00F537EE" w:rsidRPr="00475675" w:rsidP="00BF449B" w14:paraId="7BC3BEF3" w14:textId="77777777">
      <w:pPr>
        <w:keepNext/>
        <w:keepLines/>
        <w:widowControl/>
        <w:rPr>
          <w:color w:val="000000" w:themeColor="text1"/>
          <w:szCs w:val="22"/>
        </w:rPr>
      </w:pPr>
      <w:r w:rsidRPr="00475675">
        <w:rPr>
          <w:color w:val="000000" w:themeColor="text1"/>
          <w:szCs w:val="22"/>
        </w:rPr>
        <w:t>________________________________</w:t>
      </w:r>
    </w:p>
    <w:p w:rsidR="00DD2F78" w:rsidRPr="00DF40F1" w:rsidP="00DD2F78" w14:paraId="1F815BF4" w14:textId="77777777">
      <w:pPr>
        <w:keepNext/>
        <w:keepLines/>
        <w:widowControl/>
        <w:rPr>
          <w:color w:val="0D0D0D" w:themeColor="text1" w:themeTint="F2"/>
          <w:szCs w:val="22"/>
        </w:rPr>
      </w:pPr>
      <w:r w:rsidRPr="00DF40F1">
        <w:rPr>
          <w:color w:val="0D0D0D" w:themeColor="text1" w:themeTint="F2"/>
          <w:szCs w:val="22"/>
        </w:rPr>
        <w:t>Michael Carowitz</w:t>
      </w:r>
    </w:p>
    <w:p w:rsidR="00DD2F78" w:rsidRPr="00DF40F1" w:rsidP="00DD2F78" w14:paraId="40B153DE" w14:textId="77777777">
      <w:pPr>
        <w:keepNext/>
        <w:keepLines/>
        <w:widowControl/>
        <w:rPr>
          <w:color w:val="0D0D0D" w:themeColor="text1" w:themeTint="F2"/>
          <w:szCs w:val="22"/>
        </w:rPr>
      </w:pPr>
      <w:r w:rsidRPr="00DF40F1">
        <w:rPr>
          <w:color w:val="0D0D0D" w:themeColor="text1" w:themeTint="F2"/>
          <w:szCs w:val="22"/>
        </w:rPr>
        <w:t>Deputy Chief</w:t>
      </w:r>
    </w:p>
    <w:p w:rsidR="00DD2F78" w:rsidRPr="00DF40F1" w:rsidP="00DD2F78" w14:paraId="6DEB3646" w14:textId="77777777">
      <w:pPr>
        <w:keepNext/>
        <w:keepLines/>
        <w:widowControl/>
        <w:rPr>
          <w:color w:val="0D0D0D" w:themeColor="text1" w:themeTint="F2"/>
          <w:szCs w:val="22"/>
        </w:rPr>
      </w:pPr>
      <w:r w:rsidRPr="00DF40F1">
        <w:rPr>
          <w:color w:val="0D0D0D" w:themeColor="text1" w:themeTint="F2"/>
          <w:szCs w:val="22"/>
        </w:rPr>
        <w:t>Enforcement Bureau</w:t>
      </w:r>
    </w:p>
    <w:p w:rsidR="00F537EE" w:rsidRPr="00475675" w:rsidP="00BF449B" w14:paraId="738E1855" w14:textId="77777777">
      <w:pPr>
        <w:keepNext/>
        <w:keepLines/>
        <w:widowControl/>
        <w:rPr>
          <w:color w:val="000000" w:themeColor="text1"/>
          <w:szCs w:val="22"/>
        </w:rPr>
      </w:pPr>
    </w:p>
    <w:p w:rsidR="00F537EE" w:rsidRPr="00475675" w:rsidP="00BF449B" w14:paraId="2D486D4A" w14:textId="77777777">
      <w:pPr>
        <w:keepNext/>
        <w:keepLines/>
        <w:widowControl/>
        <w:rPr>
          <w:color w:val="000000" w:themeColor="text1"/>
          <w:szCs w:val="22"/>
        </w:rPr>
      </w:pPr>
    </w:p>
    <w:p w:rsidR="00F537EE" w:rsidRPr="00475675" w:rsidP="00BF449B" w14:paraId="4E9585D3" w14:textId="77777777">
      <w:pPr>
        <w:keepNext/>
        <w:keepLines/>
        <w:widowControl/>
        <w:rPr>
          <w:color w:val="000000" w:themeColor="text1"/>
          <w:szCs w:val="22"/>
        </w:rPr>
      </w:pPr>
      <w:r w:rsidRPr="00475675">
        <w:rPr>
          <w:color w:val="000000" w:themeColor="text1"/>
          <w:szCs w:val="22"/>
        </w:rPr>
        <w:t>________________________________</w:t>
      </w:r>
    </w:p>
    <w:p w:rsidR="00F537EE" w:rsidRPr="00475675" w:rsidP="00BF449B" w14:paraId="593BD69A" w14:textId="77777777">
      <w:pPr>
        <w:keepNext/>
        <w:keepLines/>
        <w:widowControl/>
        <w:rPr>
          <w:color w:val="000000" w:themeColor="text1"/>
          <w:szCs w:val="22"/>
        </w:rPr>
      </w:pPr>
      <w:r w:rsidRPr="00475675">
        <w:rPr>
          <w:color w:val="000000" w:themeColor="text1"/>
          <w:szCs w:val="22"/>
        </w:rPr>
        <w:t>Date</w:t>
      </w:r>
    </w:p>
    <w:p w:rsidR="00F537EE" w:rsidRPr="00475675" w:rsidP="00BF449B" w14:paraId="67A4C1D0" w14:textId="77777777">
      <w:pPr>
        <w:keepNext/>
        <w:keepLines/>
        <w:widowControl/>
        <w:rPr>
          <w:color w:val="000000" w:themeColor="text1"/>
          <w:szCs w:val="22"/>
        </w:rPr>
      </w:pPr>
    </w:p>
    <w:p w:rsidR="00F537EE" w:rsidRPr="00475675" w:rsidP="00BF449B" w14:paraId="36AC29AC" w14:textId="77777777">
      <w:pPr>
        <w:keepLines/>
        <w:widowControl/>
        <w:rPr>
          <w:color w:val="000000" w:themeColor="text1"/>
          <w:szCs w:val="22"/>
        </w:rPr>
      </w:pPr>
    </w:p>
    <w:p w:rsidR="00F537EE" w:rsidRPr="00475675" w:rsidP="00BF449B" w14:paraId="05C76E8D" w14:textId="77777777">
      <w:pPr>
        <w:keepLines/>
        <w:widowControl/>
        <w:rPr>
          <w:color w:val="000000" w:themeColor="text1"/>
          <w:szCs w:val="22"/>
        </w:rPr>
      </w:pPr>
    </w:p>
    <w:p w:rsidR="00F537EE" w:rsidRPr="00475675" w:rsidP="00BF449B" w14:paraId="4EE8BA23" w14:textId="77777777">
      <w:pPr>
        <w:keepLines/>
        <w:widowControl/>
        <w:rPr>
          <w:color w:val="000000" w:themeColor="text1"/>
          <w:szCs w:val="22"/>
        </w:rPr>
      </w:pPr>
      <w:r w:rsidRPr="00475675">
        <w:rPr>
          <w:color w:val="000000" w:themeColor="text1"/>
          <w:szCs w:val="22"/>
        </w:rPr>
        <w:t>________________________________</w:t>
      </w:r>
    </w:p>
    <w:p w:rsidR="00F537EE" w:rsidRPr="00475675" w:rsidP="00BF449B" w14:paraId="5139C348" w14:textId="77777777">
      <w:pPr>
        <w:keepLines/>
        <w:widowControl/>
        <w:rPr>
          <w:color w:val="000000" w:themeColor="text1"/>
          <w:szCs w:val="22"/>
        </w:rPr>
      </w:pPr>
      <w:r w:rsidRPr="00475675">
        <w:rPr>
          <w:color w:val="000000" w:themeColor="text1"/>
          <w:szCs w:val="22"/>
        </w:rPr>
        <w:t>Bennie J. Wells</w:t>
      </w:r>
    </w:p>
    <w:p w:rsidR="00F537EE" w:rsidRPr="00475675" w:rsidP="00BF449B" w14:paraId="30057095" w14:textId="77777777">
      <w:pPr>
        <w:keepLines/>
        <w:widowControl/>
        <w:rPr>
          <w:color w:val="000000" w:themeColor="text1"/>
          <w:szCs w:val="22"/>
        </w:rPr>
      </w:pPr>
      <w:r w:rsidRPr="00475675">
        <w:rPr>
          <w:color w:val="000000" w:themeColor="text1"/>
          <w:szCs w:val="22"/>
        </w:rPr>
        <w:t>Owner</w:t>
      </w:r>
    </w:p>
    <w:p w:rsidR="00F537EE" w:rsidRPr="00475675" w:rsidP="00BF449B" w14:paraId="5BBCCC49" w14:textId="77777777">
      <w:pPr>
        <w:keepLines/>
        <w:widowControl/>
        <w:rPr>
          <w:color w:val="000000" w:themeColor="text1"/>
          <w:szCs w:val="22"/>
        </w:rPr>
      </w:pPr>
      <w:r w:rsidRPr="00475675">
        <w:rPr>
          <w:color w:val="000000" w:themeColor="text1"/>
          <w:szCs w:val="22"/>
        </w:rPr>
        <w:t>SPB, LLC</w:t>
      </w:r>
    </w:p>
    <w:p w:rsidR="00F537EE" w:rsidRPr="00475675" w:rsidP="00BF449B" w14:paraId="74F5E349" w14:textId="77777777">
      <w:pPr>
        <w:keepLines/>
        <w:widowControl/>
        <w:rPr>
          <w:color w:val="000000" w:themeColor="text1"/>
          <w:szCs w:val="22"/>
        </w:rPr>
      </w:pPr>
    </w:p>
    <w:p w:rsidR="00F537EE" w:rsidRPr="00475675" w:rsidP="00BF449B" w14:paraId="181D4E66" w14:textId="77777777">
      <w:pPr>
        <w:keepLines/>
        <w:widowControl/>
        <w:rPr>
          <w:color w:val="000000" w:themeColor="text1"/>
          <w:szCs w:val="22"/>
        </w:rPr>
      </w:pPr>
      <w:r w:rsidRPr="00475675">
        <w:rPr>
          <w:color w:val="000000" w:themeColor="text1"/>
          <w:szCs w:val="22"/>
        </w:rPr>
        <w:t>________________________________</w:t>
      </w:r>
    </w:p>
    <w:p w:rsidR="00412FC5" w:rsidRPr="002B40F2" w:rsidP="00EA2697" w14:paraId="375561AB" w14:textId="77777777">
      <w:pPr>
        <w:keepLines/>
        <w:widowControl/>
        <w:rPr>
          <w:color w:val="000000" w:themeColor="text1"/>
          <w:szCs w:val="22"/>
        </w:rPr>
      </w:pPr>
      <w:r w:rsidRPr="00475675">
        <w:rPr>
          <w:color w:val="000000" w:themeColor="text1"/>
          <w:szCs w:val="22"/>
        </w:rPr>
        <w:t>Date</w:t>
      </w:r>
    </w:p>
    <w:sectPr w:rsidSect="00154F37">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79C6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C881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411F" w14:paraId="316FE3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81D4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6F62" w14:paraId="6190A2F4" w14:textId="77777777">
      <w:r>
        <w:separator/>
      </w:r>
    </w:p>
  </w:footnote>
  <w:footnote w:type="continuationSeparator" w:id="1">
    <w:p w:rsidR="00086F62" w:rsidP="00C721AC" w14:paraId="13A16138" w14:textId="77777777">
      <w:pPr>
        <w:spacing w:before="120"/>
        <w:rPr>
          <w:sz w:val="20"/>
        </w:rPr>
      </w:pPr>
      <w:r>
        <w:rPr>
          <w:sz w:val="20"/>
        </w:rPr>
        <w:separator/>
      </w:r>
    </w:p>
  </w:footnote>
  <w:footnote w:type="continuationNotice" w:id="2">
    <w:p w:rsidR="00086F62" w:rsidP="00C721AC" w14:paraId="01160804" w14:textId="77777777">
      <w:pPr>
        <w:jc w:val="right"/>
        <w:rPr>
          <w:sz w:val="20"/>
        </w:rPr>
      </w:pPr>
      <w:r>
        <w:rPr>
          <w:sz w:val="20"/>
        </w:rPr>
        <w:t>(continued….)</w:t>
      </w:r>
    </w:p>
  </w:footnote>
  <w:footnote w:id="3">
    <w:p w:rsidR="00625B2F" w:rsidP="00F11647" w14:paraId="08B2FFDD" w14:textId="77777777">
      <w:pPr>
        <w:pStyle w:val="FootnoteText"/>
        <w:widowControl w:val="0"/>
      </w:pPr>
      <w:r>
        <w:rPr>
          <w:rStyle w:val="FootnoteReference"/>
        </w:rPr>
        <w:footnoteRef/>
      </w:r>
      <w:r>
        <w:t xml:space="preserve"> </w:t>
      </w:r>
      <w:r w:rsidR="00A45669">
        <w:t>SPB, LLC</w:t>
      </w:r>
      <w:r>
        <w:t xml:space="preserve">, Response to Notice of </w:t>
      </w:r>
      <w:r w:rsidR="008261D7">
        <w:t>Violation</w:t>
      </w:r>
      <w:r>
        <w:t xml:space="preserve"> (</w:t>
      </w:r>
      <w:r w:rsidR="008261D7">
        <w:t>Sept.</w:t>
      </w:r>
      <w:r>
        <w:t xml:space="preserve"> 7, 20</w:t>
      </w:r>
      <w:r w:rsidR="008261D7">
        <w:t>18</w:t>
      </w:r>
      <w:r>
        <w:t xml:space="preserve">) (on file in </w:t>
      </w:r>
      <w:r w:rsidRPr="00F417EE">
        <w:t>EB-FIELDSCR-</w:t>
      </w:r>
      <w:r w:rsidRPr="008261D7" w:rsidR="008261D7">
        <w:t>18-00026264</w:t>
      </w:r>
      <w:r>
        <w:t>).</w:t>
      </w:r>
    </w:p>
  </w:footnote>
  <w:footnote w:id="4">
    <w:p w:rsidR="002D01F0" w:rsidRPr="00D84548" w:rsidP="002D01F0" w14:paraId="560E6387" w14:textId="77777777">
      <w:pPr>
        <w:pStyle w:val="FootnoteText"/>
        <w:tabs>
          <w:tab w:val="left" w:pos="2207"/>
        </w:tabs>
      </w:pPr>
      <w:r w:rsidRPr="00ED5746">
        <w:rPr>
          <w:rStyle w:val="FootnoteReference"/>
        </w:rPr>
        <w:footnoteRef/>
      </w:r>
      <w:r w:rsidRPr="00D84548">
        <w:t xml:space="preserve"> </w:t>
      </w:r>
      <w:r w:rsidRPr="00D84548">
        <w:rPr>
          <w:szCs w:val="22"/>
        </w:rPr>
        <w:t>47 U.S.C. § </w:t>
      </w:r>
      <w:r>
        <w:rPr>
          <w:szCs w:val="22"/>
        </w:rPr>
        <w:t>303(q).</w:t>
      </w:r>
    </w:p>
  </w:footnote>
  <w:footnote w:id="5">
    <w:p w:rsidR="002D01F0" w:rsidRPr="00D84548" w:rsidP="002D01F0" w14:paraId="010D0C43" w14:textId="77777777">
      <w:pPr>
        <w:pStyle w:val="FootnoteText"/>
      </w:pPr>
      <w:r w:rsidRPr="00D84548">
        <w:rPr>
          <w:rStyle w:val="FootnoteReference"/>
        </w:rPr>
        <w:footnoteRef/>
      </w:r>
      <w:r w:rsidRPr="00D84548">
        <w:t xml:space="preserve"> </w:t>
      </w:r>
      <w:r>
        <w:rPr>
          <w:szCs w:val="22"/>
        </w:rPr>
        <w:t>47 CFR</w:t>
      </w:r>
      <w:r w:rsidRPr="00D84548">
        <w:rPr>
          <w:szCs w:val="22"/>
        </w:rPr>
        <w:t xml:space="preserve"> §</w:t>
      </w:r>
      <w:r w:rsidRPr="00D84548" w:rsidR="00E52AD8">
        <w:rPr>
          <w:szCs w:val="22"/>
        </w:rPr>
        <w:t>§</w:t>
      </w:r>
      <w:r w:rsidRPr="00D84548">
        <w:rPr>
          <w:szCs w:val="22"/>
        </w:rPr>
        <w:t xml:space="preserve"> </w:t>
      </w:r>
      <w:r>
        <w:rPr>
          <w:szCs w:val="22"/>
        </w:rPr>
        <w:t>17.</w:t>
      </w:r>
      <w:r w:rsidR="00602982">
        <w:rPr>
          <w:szCs w:val="22"/>
        </w:rPr>
        <w:t>23</w:t>
      </w:r>
      <w:r w:rsidR="00E52AD8">
        <w:rPr>
          <w:szCs w:val="22"/>
        </w:rPr>
        <w:t>, 17.47. 17.57.</w:t>
      </w:r>
    </w:p>
  </w:footnote>
  <w:footnote w:id="6">
    <w:p w:rsidR="00CD621F" w:rsidRPr="00F74D07" w:rsidP="00F11647" w14:paraId="6C9C0E20" w14:textId="77777777">
      <w:pPr>
        <w:pStyle w:val="FootnoteText"/>
        <w:widowControl w:val="0"/>
      </w:pPr>
      <w:r>
        <w:rPr>
          <w:rStyle w:val="FootnoteReference"/>
        </w:rPr>
        <w:footnoteRef/>
      </w:r>
      <w:r>
        <w:t xml:space="preserve"> </w:t>
      </w:r>
      <w:r>
        <w:rPr>
          <w:i/>
        </w:rPr>
        <w:t xml:space="preserve">See </w:t>
      </w:r>
      <w:r>
        <w:t>47 CFR § 1.93(b).</w:t>
      </w:r>
    </w:p>
  </w:footnote>
  <w:footnote w:id="7">
    <w:p w:rsidR="00CD621F" w:rsidRPr="00D84548" w:rsidP="00F11647" w14:paraId="39D6CCC6" w14:textId="77777777">
      <w:pPr>
        <w:pStyle w:val="FootnoteText"/>
        <w:widowControl w:val="0"/>
      </w:pPr>
      <w:r w:rsidRPr="00D84548">
        <w:rPr>
          <w:rStyle w:val="FootnoteReference"/>
        </w:rPr>
        <w:footnoteRef/>
      </w:r>
      <w:r w:rsidRPr="00D84548">
        <w:t xml:space="preserve"> </w:t>
      </w:r>
      <w:r w:rsidRPr="00D84548">
        <w:rPr>
          <w:szCs w:val="22"/>
        </w:rPr>
        <w:t>47 U.S.C. §§ 154(i), 503(b)</w:t>
      </w:r>
      <w:r>
        <w:rPr>
          <w:szCs w:val="22"/>
        </w:rPr>
        <w:t>.</w:t>
      </w:r>
    </w:p>
  </w:footnote>
  <w:footnote w:id="8">
    <w:p w:rsidR="00CD621F" w:rsidP="00F11647" w14:paraId="007AA392" w14:textId="77777777">
      <w:pPr>
        <w:pStyle w:val="FootnoteText"/>
        <w:widowControl w:val="0"/>
      </w:pPr>
      <w:r w:rsidRPr="00D84548">
        <w:rPr>
          <w:rStyle w:val="FootnoteReference"/>
        </w:rPr>
        <w:footnoteRef/>
      </w:r>
      <w:r w:rsidRPr="00D84548">
        <w:t xml:space="preserve"> </w:t>
      </w:r>
      <w:r>
        <w:rPr>
          <w:szCs w:val="22"/>
        </w:rPr>
        <w:t>47 CFR</w:t>
      </w:r>
      <w:r w:rsidRPr="00D84548">
        <w:rPr>
          <w:szCs w:val="22"/>
        </w:rPr>
        <w:t xml:space="preserve"> §§ 0.111, 0.311.</w:t>
      </w:r>
    </w:p>
  </w:footnote>
  <w:footnote w:id="9">
    <w:p w:rsidR="005F121E" w:rsidRPr="00A2152D" w:rsidP="005F121E" w14:paraId="7BE1D122" w14:textId="77777777">
      <w:pPr>
        <w:pStyle w:val="FootnoteText"/>
      </w:pPr>
      <w:r>
        <w:rPr>
          <w:rStyle w:val="FootnoteReference"/>
        </w:rPr>
        <w:footnoteRef/>
      </w:r>
      <w:r w:rsidRPr="00A2152D">
        <w:t xml:space="preserve"> 47 U.S.C. § 30</w:t>
      </w:r>
      <w:r>
        <w:t>3(q).</w:t>
      </w:r>
    </w:p>
  </w:footnote>
  <w:footnote w:id="10">
    <w:p w:rsidR="005F121E" w:rsidRPr="00A2152D" w:rsidP="005F121E" w14:paraId="2120EEEE" w14:textId="77777777">
      <w:pPr>
        <w:pStyle w:val="FootnoteText"/>
      </w:pPr>
      <w:r w:rsidRPr="00A2152D">
        <w:rPr>
          <w:rStyle w:val="FootnoteReference"/>
        </w:rPr>
        <w:footnoteRef/>
      </w:r>
      <w:r w:rsidRPr="00A2152D">
        <w:t xml:space="preserve"> 47 CFR §</w:t>
      </w:r>
      <w:r>
        <w:t xml:space="preserve"> 17.23</w:t>
      </w:r>
    </w:p>
  </w:footnote>
  <w:footnote w:id="11">
    <w:p w:rsidR="00F537EE" w:rsidP="00F537EE" w14:paraId="077ADCEF"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2">
    <w:p w:rsidR="00BB5A36" w14:paraId="0F7A6058" w14:textId="77777777">
      <w:pPr>
        <w:pStyle w:val="FootnoteText"/>
      </w:pPr>
      <w:r>
        <w:rPr>
          <w:rStyle w:val="FootnoteReference"/>
        </w:rPr>
        <w:footnoteRef/>
      </w:r>
      <w:r w:rsidRPr="00A2152D">
        <w:t xml:space="preserve"> 47 CFR §</w:t>
      </w:r>
      <w:r>
        <w:t xml:space="preserve"> 17.47.</w:t>
      </w:r>
    </w:p>
  </w:footnote>
  <w:footnote w:id="13">
    <w:p w:rsidR="00BB5A36" w14:paraId="64CEC730" w14:textId="77777777">
      <w:pPr>
        <w:pStyle w:val="FootnoteText"/>
      </w:pPr>
      <w:r>
        <w:rPr>
          <w:rStyle w:val="FootnoteReference"/>
        </w:rPr>
        <w:footnoteRef/>
      </w:r>
      <w:r>
        <w:t xml:space="preserve"> </w:t>
      </w:r>
      <w:r w:rsidRPr="00A2152D">
        <w:t>47 CFR §</w:t>
      </w:r>
      <w:r>
        <w:t xml:space="preserve"> 17.57.</w:t>
      </w:r>
    </w:p>
  </w:footnote>
  <w:footnote w:id="14">
    <w:p w:rsidR="0078070B" w:rsidRPr="006877B8" w:rsidP="00037240" w14:paraId="6BBC779E" w14:textId="77777777">
      <w:pPr>
        <w:pStyle w:val="FootnoteText"/>
        <w:keepLines/>
        <w:rPr>
          <w:rFonts w:ascii="Source Sans Pro" w:hAnsi="Source Sans Pro"/>
          <w:color w:val="000000"/>
          <w:sz w:val="24"/>
          <w:szCs w:val="24"/>
        </w:rPr>
      </w:pPr>
      <w:r>
        <w:rPr>
          <w:rStyle w:val="FootnoteReference"/>
        </w:rPr>
        <w:footnoteRef/>
      </w:r>
      <w:r>
        <w:t xml:space="preserve"> </w:t>
      </w:r>
      <w:r w:rsidRPr="006877B8">
        <w:rPr>
          <w:i/>
          <w:iCs/>
        </w:rPr>
        <w:t xml:space="preserve">See </w:t>
      </w:r>
      <w:r w:rsidRPr="006877B8" w:rsidR="001E0033">
        <w:rPr>
          <w:i/>
          <w:iCs/>
        </w:rPr>
        <w:t>Greenwood Broadcasting Group</w:t>
      </w:r>
      <w:r w:rsidRPr="006877B8" w:rsidR="002B32EB">
        <w:t>,</w:t>
      </w:r>
      <w:r w:rsidRPr="006877B8" w:rsidR="002A07E0">
        <w:rPr>
          <w:color w:val="000000"/>
        </w:rPr>
        <w:t xml:space="preserve"> </w:t>
      </w:r>
      <w:r w:rsidRPr="006877B8" w:rsidR="006877B8">
        <w:rPr>
          <w:color w:val="000000"/>
        </w:rPr>
        <w:t xml:space="preserve">Notice of Violation, </w:t>
      </w:r>
      <w:r w:rsidRPr="00F644EB" w:rsidR="002A07E0">
        <w:rPr>
          <w:color w:val="000000"/>
        </w:rPr>
        <w:t>EB-FIELDSCR-18-00026</w:t>
      </w:r>
      <w:r w:rsidR="001B138F">
        <w:rPr>
          <w:color w:val="000000"/>
        </w:rPr>
        <w:t>264</w:t>
      </w:r>
      <w:r w:rsidRPr="00F644EB" w:rsidR="002A07E0">
        <w:rPr>
          <w:color w:val="000000"/>
        </w:rPr>
        <w:t>, 2018</w:t>
      </w:r>
      <w:r w:rsidRPr="006877B8" w:rsidR="006877B8">
        <w:rPr>
          <w:color w:val="000000"/>
        </w:rPr>
        <w:t xml:space="preserve"> </w:t>
      </w:r>
      <w:r w:rsidRPr="00F644EB" w:rsidR="002A07E0">
        <w:rPr>
          <w:color w:val="000000"/>
        </w:rPr>
        <w:t>WL 345506 (</w:t>
      </w:r>
      <w:r w:rsidRPr="006877B8" w:rsidR="002B32EB">
        <w:t xml:space="preserve">EB </w:t>
      </w:r>
      <w:r w:rsidRPr="006877B8" w:rsidR="006877B8">
        <w:t xml:space="preserve">July 16, </w:t>
      </w:r>
      <w:r w:rsidRPr="006877B8" w:rsidR="002B32EB">
        <w:t>2018)</w:t>
      </w:r>
      <w:r w:rsidRPr="006877B8" w:rsidR="00D76463">
        <w:t xml:space="preserve"> (NOV)</w:t>
      </w:r>
      <w:r w:rsidRPr="006877B8" w:rsidR="002B32EB">
        <w:t xml:space="preserve">.  </w:t>
      </w:r>
      <w:r w:rsidRPr="006877B8" w:rsidR="00AF77A4">
        <w:t xml:space="preserve">Greenwood Broadcasting Group is the previous owner of </w:t>
      </w:r>
      <w:r w:rsidRPr="006877B8" w:rsidR="00AF77A4">
        <w:rPr>
          <w:color w:val="000000" w:themeColor="text1"/>
        </w:rPr>
        <w:t>antenna structure 1051859</w:t>
      </w:r>
      <w:r w:rsidRPr="006877B8" w:rsidR="00D76463">
        <w:rPr>
          <w:color w:val="000000" w:themeColor="text1"/>
        </w:rPr>
        <w:t xml:space="preserve"> and was listed as the owner in the Commission</w:t>
      </w:r>
      <w:r w:rsidR="00154F37">
        <w:rPr>
          <w:color w:val="000000" w:themeColor="text1"/>
        </w:rPr>
        <w:t>’</w:t>
      </w:r>
      <w:r w:rsidRPr="006877B8" w:rsidR="00D76463">
        <w:rPr>
          <w:color w:val="000000" w:themeColor="text1"/>
        </w:rPr>
        <w:t xml:space="preserve">s </w:t>
      </w:r>
      <w:r w:rsidR="006877B8">
        <w:rPr>
          <w:color w:val="000000" w:themeColor="text1"/>
        </w:rPr>
        <w:t>A</w:t>
      </w:r>
      <w:r w:rsidRPr="006877B8" w:rsidR="00D76463">
        <w:rPr>
          <w:color w:val="000000" w:themeColor="text1"/>
        </w:rPr>
        <w:t xml:space="preserve">ntenna </w:t>
      </w:r>
      <w:r w:rsidR="006877B8">
        <w:rPr>
          <w:color w:val="000000" w:themeColor="text1"/>
        </w:rPr>
        <w:t>S</w:t>
      </w:r>
      <w:r w:rsidRPr="006877B8" w:rsidR="00D76463">
        <w:rPr>
          <w:color w:val="000000" w:themeColor="text1"/>
        </w:rPr>
        <w:t>tructure</w:t>
      </w:r>
      <w:r w:rsidR="006877B8">
        <w:rPr>
          <w:color w:val="000000" w:themeColor="text1"/>
        </w:rPr>
        <w:t xml:space="preserve"> Registration</w:t>
      </w:r>
      <w:r w:rsidRPr="006877B8" w:rsidR="00D76463">
        <w:rPr>
          <w:color w:val="000000" w:themeColor="text1"/>
        </w:rPr>
        <w:t xml:space="preserve"> database at the time of the NOV.  Upon receipt of the NOV, Greenwood forwarded the NOV to SPB, LLC</w:t>
      </w:r>
      <w:r w:rsidR="009569BA">
        <w:rPr>
          <w:color w:val="000000" w:themeColor="text1"/>
        </w:rPr>
        <w:t xml:space="preserve"> for a response.</w:t>
      </w:r>
    </w:p>
  </w:footnote>
  <w:footnote w:id="15">
    <w:p w:rsidR="00902205" w14:paraId="3845D9EA" w14:textId="1FBC24FA">
      <w:pPr>
        <w:pStyle w:val="FootnoteText"/>
      </w:pPr>
      <w:r>
        <w:rPr>
          <w:rStyle w:val="FootnoteReference"/>
        </w:rPr>
        <w:footnoteRef/>
      </w:r>
      <w:r>
        <w:t xml:space="preserve"> </w:t>
      </w:r>
      <w:r w:rsidRPr="00A23E40">
        <w:rPr>
          <w:i/>
          <w:iCs/>
        </w:rPr>
        <w:t>See</w:t>
      </w:r>
      <w:r>
        <w:t xml:space="preserve"> Letter from Be</w:t>
      </w:r>
      <w:r w:rsidR="001052F1">
        <w:t>n</w:t>
      </w:r>
      <w:r>
        <w:t>nie J. Wells, owner WABG-AM, to Ronald Ramage, Director Region Two, Enforcement Bureau</w:t>
      </w:r>
      <w:r w:rsidR="00A23E40">
        <w:t xml:space="preserve"> (Sept. 7, 2018) (on file</w:t>
      </w:r>
      <w:r w:rsidRPr="00A23E40" w:rsidR="00A23E40">
        <w:rPr>
          <w:color w:val="000000"/>
        </w:rPr>
        <w:t xml:space="preserve"> </w:t>
      </w:r>
      <w:r w:rsidRPr="00F644EB" w:rsidR="00A23E40">
        <w:rPr>
          <w:color w:val="000000"/>
        </w:rPr>
        <w:t>EB-FIELDSCR-18-00026</w:t>
      </w:r>
      <w:r w:rsidR="001B138F">
        <w:rPr>
          <w:color w:val="000000"/>
        </w:rPr>
        <w:t>264</w:t>
      </w:r>
      <w:r w:rsidR="00A23E40">
        <w:rPr>
          <w:color w:val="000000"/>
        </w:rPr>
        <w:t>).</w:t>
      </w:r>
    </w:p>
  </w:footnote>
  <w:footnote w:id="16">
    <w:p w:rsidR="001A28F3" w14:paraId="6AC5C70A" w14:textId="5E6AFD08">
      <w:pPr>
        <w:pStyle w:val="FootnoteText"/>
      </w:pPr>
      <w:r>
        <w:rPr>
          <w:rStyle w:val="FootnoteReference"/>
        </w:rPr>
        <w:footnoteRef/>
      </w:r>
      <w:r>
        <w:t xml:space="preserve"> </w:t>
      </w:r>
      <w:r w:rsidRPr="00A23E40">
        <w:rPr>
          <w:i/>
          <w:iCs/>
        </w:rPr>
        <w:t>See</w:t>
      </w:r>
      <w:r>
        <w:t xml:space="preserve"> Letter from Bennie J. Wells, owner WABG-AM, to Dedrick R</w:t>
      </w:r>
      <w:r w:rsidRPr="001A28F3">
        <w:t>oybiskie</w:t>
      </w:r>
      <w:r>
        <w:t>, Enforcement Bureau (Jan. 11, 2018) (on file</w:t>
      </w:r>
      <w:r w:rsidRPr="00A23E40">
        <w:rPr>
          <w:color w:val="000000"/>
        </w:rPr>
        <w:t xml:space="preserve"> </w:t>
      </w:r>
      <w:r w:rsidRPr="00F644EB">
        <w:rPr>
          <w:color w:val="000000"/>
        </w:rPr>
        <w:t>EB-FIELDSCR-18-00026</w:t>
      </w:r>
      <w:r w:rsidR="001B138F">
        <w:rPr>
          <w:color w:val="000000"/>
        </w:rPr>
        <w:t>264</w:t>
      </w:r>
      <w:r>
        <w:rPr>
          <w:color w:val="000000"/>
        </w:rPr>
        <w:t>).</w:t>
      </w:r>
    </w:p>
  </w:footnote>
  <w:footnote w:id="17">
    <w:p w:rsidR="00253D45" w14:paraId="4071AD17" w14:textId="77777777">
      <w:pPr>
        <w:pStyle w:val="FootnoteText"/>
      </w:pPr>
      <w:r>
        <w:rPr>
          <w:rStyle w:val="FootnoteReference"/>
        </w:rPr>
        <w:footnoteRef/>
      </w:r>
      <w:r>
        <w:t xml:space="preserve"> </w:t>
      </w:r>
      <w:r w:rsidRPr="00A43FD8">
        <w:rPr>
          <w:i/>
          <w:iCs/>
        </w:rPr>
        <w:t>See</w:t>
      </w:r>
      <w:r>
        <w:t xml:space="preserve"> 47 CFR </w:t>
      </w:r>
      <w:r w:rsidRPr="001B63BB">
        <w:rPr>
          <w:szCs w:val="22"/>
        </w:rPr>
        <w:t>§</w:t>
      </w:r>
      <w:r>
        <w:rPr>
          <w:szCs w:val="22"/>
        </w:rPr>
        <w:t xml:space="preserve"> 17.57</w:t>
      </w:r>
      <w:r w:rsidR="003F3809">
        <w:rPr>
          <w:szCs w:val="22"/>
        </w:rPr>
        <w:t xml:space="preserve">. </w:t>
      </w:r>
      <w:r w:rsidR="00DD2F78">
        <w:rPr>
          <w:szCs w:val="22"/>
        </w:rPr>
        <w:t xml:space="preserve"> </w:t>
      </w:r>
      <w:r w:rsidR="00086F62">
        <w:t>The Commission</w:t>
      </w:r>
      <w:r w:rsidR="00154F37">
        <w:t>’</w:t>
      </w:r>
      <w:r w:rsidR="00086F62">
        <w:t>s Antenna Structure Registration database currently lists the previous owner, Greenwood Broadcasting, as the owner of these</w:t>
      </w:r>
      <w:r w:rsidR="003F3809">
        <w:t xml:space="preserve"> antenna</w:t>
      </w:r>
      <w:r w:rsidR="00086F62">
        <w:t xml:space="preserve"> structures.  </w:t>
      </w:r>
      <w:r w:rsidRPr="00154F37" w:rsidR="00154F37">
        <w:rPr>
          <w:i/>
          <w:iCs/>
        </w:rPr>
        <w:t>See</w:t>
      </w:r>
      <w:r w:rsidR="00154F37">
        <w:t xml:space="preserve"> </w:t>
      </w:r>
      <w:r w:rsidR="00921EDF">
        <w:t>FCC</w:t>
      </w:r>
      <w:r w:rsidR="00EB17A4">
        <w:t xml:space="preserve">, </w:t>
      </w:r>
      <w:r w:rsidR="00154F37">
        <w:t>Antenna Structure Registration</w:t>
      </w:r>
      <w:r w:rsidR="00921EDF">
        <w:t xml:space="preserve"> database,</w:t>
      </w:r>
      <w:r w:rsidR="00A77C4B">
        <w:t xml:space="preserve"> </w:t>
      </w:r>
      <w:hyperlink r:id="rId1" w:history="1">
        <w:r w:rsidRPr="00A77C4B" w:rsidR="00A77C4B">
          <w:rPr>
            <w:rStyle w:val="Hyperlink"/>
          </w:rPr>
          <w:t>https://wireless2.fcc.gov/UlsApp/AsrSearch/asrAdvancedSearch.jsp</w:t>
        </w:r>
      </w:hyperlink>
      <w:r w:rsidRPr="00A77C4B" w:rsidR="00A77C4B">
        <w:t xml:space="preserve"> </w:t>
      </w:r>
      <w:r w:rsidR="00154F37">
        <w:t>(</w:t>
      </w:r>
      <w:r w:rsidR="00EB17A4">
        <w:t>l</w:t>
      </w:r>
      <w:r w:rsidR="00154F37">
        <w:t>ast visited Oct</w:t>
      </w:r>
      <w:r w:rsidR="00EB17A4">
        <w:t>.</w:t>
      </w:r>
      <w:r w:rsidR="00154F37">
        <w:t xml:space="preserve"> 5, 2021). </w:t>
      </w:r>
    </w:p>
  </w:footnote>
  <w:footnote w:id="18">
    <w:p w:rsidR="00F60F11" w14:paraId="640A18E8" w14:textId="77777777">
      <w:pPr>
        <w:pStyle w:val="FootnoteText"/>
      </w:pPr>
      <w:r>
        <w:rPr>
          <w:rStyle w:val="FootnoteReference"/>
        </w:rPr>
        <w:footnoteRef/>
      </w:r>
      <w:r>
        <w:t xml:space="preserve"> </w:t>
      </w:r>
      <w:r w:rsidRPr="00F60F11">
        <w:t>The $1,400 civil penalty set forth in the Consent Decree reflects consideration of SBP’s demonstrated inability to pay the otherwise required amount.</w:t>
      </w:r>
    </w:p>
  </w:footnote>
  <w:footnote w:id="19">
    <w:p w:rsidR="00F537EE" w:rsidP="00F537EE" w14:paraId="726A560B"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20">
    <w:p w:rsidR="00253D45" w:rsidRPr="00191F1C" w14:paraId="7473D50F" w14:textId="77777777">
      <w:pPr>
        <w:pStyle w:val="FootnoteText"/>
      </w:pPr>
      <w:r>
        <w:rPr>
          <w:rStyle w:val="FootnoteReference"/>
        </w:rPr>
        <w:footnoteRef/>
      </w:r>
      <w:r>
        <w:t xml:space="preserve"> Instructions to file an antenna structure ownership change can be found on the Commission</w:t>
      </w:r>
      <w:r w:rsidR="00154F37">
        <w:t>’</w:t>
      </w:r>
      <w:r>
        <w:t xml:space="preserve">s website at </w:t>
      </w:r>
      <w:hyperlink r:id="rId2" w:history="1">
        <w:r w:rsidRPr="002573E5" w:rsidR="00086F62">
          <w:rPr>
            <w:rStyle w:val="Hyperlink"/>
          </w:rPr>
          <w:t>https://docs.fcc.gov/public/attachments/DA-19-69A1.pdf</w:t>
        </w:r>
      </w:hyperlink>
      <w:r>
        <w:t>.</w:t>
      </w:r>
      <w:r w:rsidR="00086F62">
        <w:t xml:space="preserve">  </w:t>
      </w:r>
      <w:r w:rsidRPr="00EA2697" w:rsidR="00086F62">
        <w:rPr>
          <w:i/>
          <w:iCs/>
        </w:rPr>
        <w:t>See</w:t>
      </w:r>
      <w:r w:rsidRPr="00EA2697" w:rsidR="00191F1C">
        <w:rPr>
          <w:i/>
          <w:iCs/>
        </w:rPr>
        <w:t xml:space="preserve"> New Procedure For Reporting Ownership Changes In The Antenna Structure Registration System To Be Implemented February 14, 201</w:t>
      </w:r>
      <w:r w:rsidR="00191F1C">
        <w:rPr>
          <w:i/>
          <w:iCs/>
        </w:rPr>
        <w:t>9</w:t>
      </w:r>
      <w:r w:rsidR="00191F1C">
        <w:t xml:space="preserve">, Public Notice, </w:t>
      </w:r>
      <w:r w:rsidRPr="00191F1C" w:rsidR="00191F1C">
        <w:t>34 FCC Rcd 314</w:t>
      </w:r>
      <w:r w:rsidR="00191F1C">
        <w:t xml:space="preserve"> (WTB 2019).</w:t>
      </w:r>
    </w:p>
  </w:footnote>
  <w:footnote w:id="21">
    <w:p w:rsidR="00F537EE" w:rsidP="00F537EE" w14:paraId="1AC1A467" w14:textId="77777777">
      <w:pPr>
        <w:pStyle w:val="FootnoteText"/>
      </w:pPr>
      <w:r w:rsidRPr="00A07FCB">
        <w:rPr>
          <w:rStyle w:val="FootnoteReference"/>
        </w:rPr>
        <w:footnoteRef/>
      </w:r>
      <w:r w:rsidRPr="00A07FCB">
        <w:t xml:space="preserve"> 47 CFR § 1.16.</w:t>
      </w:r>
    </w:p>
  </w:footnote>
  <w:footnote w:id="22">
    <w:p w:rsidR="00F537EE" w:rsidP="00F537EE" w14:paraId="11CCB1F4" w14:textId="77777777">
      <w:pPr>
        <w:pStyle w:val="FootnoteText"/>
      </w:pPr>
      <w:r>
        <w:rPr>
          <w:rStyle w:val="FootnoteReference"/>
        </w:rPr>
        <w:footnoteRef/>
      </w:r>
      <w:r>
        <w:t xml:space="preserve"> Debt Collection Improvement Act of 1996, Pub. L. No. 104-134, 110 Stat. 1321, 1358 (Apr. 26, 1996).</w:t>
      </w:r>
    </w:p>
  </w:footnote>
  <w:footnote w:id="23">
    <w:p w:rsidR="00F537EE" w:rsidRPr="005476AB" w:rsidP="00F537EE" w14:paraId="74D38965" w14:textId="77777777">
      <w:pPr>
        <w:pStyle w:val="FootnoteText"/>
      </w:pPr>
      <w:r w:rsidRPr="005476AB">
        <w:rPr>
          <w:rStyle w:val="FootnoteReference"/>
        </w:rPr>
        <w:footnoteRef/>
      </w:r>
      <w:r w:rsidRPr="005476AB">
        <w:t xml:space="preserve"> Payments made using the Commission</w:t>
      </w:r>
      <w:r w:rsidR="00154F37">
        <w:t>’</w:t>
      </w:r>
      <w:r w:rsidRPr="005476AB">
        <w:t>s Fee Filer system do not require the submission of an FCC Form 159.</w:t>
      </w:r>
    </w:p>
  </w:footnote>
  <w:footnote w:id="24">
    <w:p w:rsidR="00F537EE" w:rsidRPr="005476AB" w:rsidP="00F537EE" w14:paraId="724AEAE3"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3" w:history="1">
        <w:r w:rsidRPr="005476AB">
          <w:rPr>
            <w:rStyle w:val="Hyperlink"/>
          </w:rPr>
          <w:t>ARINQUIRIES@fcc.gov</w:t>
        </w:r>
      </w:hyperlink>
      <w:r w:rsidRPr="005476AB">
        <w:t>.</w:t>
      </w:r>
    </w:p>
  </w:footnote>
  <w:footnote w:id="25">
    <w:p w:rsidR="00F537EE" w:rsidP="00F537EE" w14:paraId="3F2208C4" w14:textId="77777777">
      <w:pPr>
        <w:pStyle w:val="FootnoteText"/>
      </w:pPr>
      <w:r w:rsidRPr="005476AB">
        <w:rPr>
          <w:rStyle w:val="FootnoteReference"/>
        </w:rPr>
        <w:footnoteRef/>
      </w:r>
      <w:r w:rsidRPr="005476AB">
        <w:t xml:space="preserve"> Instructions for completing the form may be obtained at </w:t>
      </w:r>
      <w:hyperlink r:id="rId4" w:history="1">
        <w:r w:rsidRPr="008A2184">
          <w:rPr>
            <w:rStyle w:val="Hyperlink"/>
          </w:rPr>
          <w:t>http://www.fcc.gov/Forms/Form159/159.pdf</w:t>
        </w:r>
      </w:hyperlink>
      <w:r w:rsidRPr="005476AB">
        <w:t>.</w:t>
      </w:r>
      <w:r>
        <w:t xml:space="preserve"> </w:t>
      </w:r>
    </w:p>
  </w:footnote>
  <w:footnote w:id="26">
    <w:p w:rsidR="00F537EE" w:rsidP="00F537EE" w14:paraId="17B71C40"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55E3C" w14:paraId="2D54C5E7" w14:textId="77777777">
    <w:pPr>
      <w:pStyle w:val="Header"/>
    </w:pPr>
    <w:r>
      <w:tab/>
      <w:t>Federal Communications Commission</w:t>
    </w:r>
    <w:r>
      <w:tab/>
    </w:r>
    <w:r w:rsidRPr="002755D1" w:rsidR="00CD621F">
      <w:rPr>
        <w:spacing w:val="-2"/>
      </w:rPr>
      <w:t xml:space="preserve">DA </w:t>
    </w:r>
    <w:r w:rsidRPr="00EF4E78" w:rsidR="00EF4E78">
      <w:rPr>
        <w:spacing w:val="-2"/>
      </w:rPr>
      <w:t>21-</w:t>
    </w:r>
    <w:r w:rsidR="00DC09B8">
      <w:rPr>
        <w:spacing w:val="-2"/>
      </w:rPr>
      <w:t>1308</w:t>
    </w:r>
  </w:p>
  <w:p w:rsidR="00D25FB5" w:rsidRPr="00CD621F" w:rsidP="00CD621F" w14:paraId="2838EF0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55E3C" w14:paraId="215112B3"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5B27A0">
      <w:tab/>
      <w:t>Federal Communications Commission</w:t>
    </w:r>
    <w:r w:rsidR="005B27A0">
      <w:tab/>
    </w:r>
    <w:r w:rsidRPr="002755D1" w:rsidR="00CD621F">
      <w:rPr>
        <w:spacing w:val="-2"/>
      </w:rPr>
      <w:t xml:space="preserve">DA </w:t>
    </w:r>
    <w:r w:rsidRPr="00EF4E78" w:rsidR="005B27A0">
      <w:rPr>
        <w:spacing w:val="-2"/>
      </w:rPr>
      <w:t>21-</w:t>
    </w:r>
    <w:r w:rsidR="00DC09B8">
      <w:rPr>
        <w:spacing w:val="-2"/>
      </w:rPr>
      <w:t>1308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0"/>
  </w:num>
  <w:num w:numId="9">
    <w:abstractNumId w:val="2"/>
  </w:num>
  <w:num w:numId="10">
    <w:abstractNumId w:val="11"/>
  </w:num>
  <w:num w:numId="11">
    <w:abstractNumId w:val="1"/>
  </w:num>
  <w:num w:numId="12">
    <w:abstractNumId w:val="3"/>
  </w:num>
  <w:num w:numId="13">
    <w:abstractNumId w:val="9"/>
    <w:lvlOverride w:ilvl="0">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2F50"/>
    <w:rsid w:val="00007B52"/>
    <w:rsid w:val="00007CE0"/>
    <w:rsid w:val="0001739D"/>
    <w:rsid w:val="00020DB3"/>
    <w:rsid w:val="00023199"/>
    <w:rsid w:val="00036039"/>
    <w:rsid w:val="00037240"/>
    <w:rsid w:val="00037F90"/>
    <w:rsid w:val="00055E3C"/>
    <w:rsid w:val="00067C73"/>
    <w:rsid w:val="00070D72"/>
    <w:rsid w:val="00072838"/>
    <w:rsid w:val="000760C1"/>
    <w:rsid w:val="000808C4"/>
    <w:rsid w:val="00086F62"/>
    <w:rsid w:val="000875BF"/>
    <w:rsid w:val="00090F24"/>
    <w:rsid w:val="00091DA2"/>
    <w:rsid w:val="00096D8C"/>
    <w:rsid w:val="000A639B"/>
    <w:rsid w:val="000A7374"/>
    <w:rsid w:val="000B37A6"/>
    <w:rsid w:val="000C0B65"/>
    <w:rsid w:val="000C160B"/>
    <w:rsid w:val="000D0C49"/>
    <w:rsid w:val="000D2261"/>
    <w:rsid w:val="000E05FE"/>
    <w:rsid w:val="000E3D42"/>
    <w:rsid w:val="00100922"/>
    <w:rsid w:val="001052F1"/>
    <w:rsid w:val="0011030B"/>
    <w:rsid w:val="00117B21"/>
    <w:rsid w:val="00122BD5"/>
    <w:rsid w:val="00126145"/>
    <w:rsid w:val="00133F79"/>
    <w:rsid w:val="00142FB6"/>
    <w:rsid w:val="00154F37"/>
    <w:rsid w:val="00156852"/>
    <w:rsid w:val="00191F1C"/>
    <w:rsid w:val="00194A66"/>
    <w:rsid w:val="001A28F3"/>
    <w:rsid w:val="001A5AFC"/>
    <w:rsid w:val="001B138F"/>
    <w:rsid w:val="001B476E"/>
    <w:rsid w:val="001B63BB"/>
    <w:rsid w:val="001C68CC"/>
    <w:rsid w:val="001D441A"/>
    <w:rsid w:val="001D6BCF"/>
    <w:rsid w:val="001E0033"/>
    <w:rsid w:val="001E01CA"/>
    <w:rsid w:val="0020493D"/>
    <w:rsid w:val="00212902"/>
    <w:rsid w:val="00222BE9"/>
    <w:rsid w:val="002539B8"/>
    <w:rsid w:val="00253D45"/>
    <w:rsid w:val="002573E5"/>
    <w:rsid w:val="002755D1"/>
    <w:rsid w:val="00275CF5"/>
    <w:rsid w:val="00277201"/>
    <w:rsid w:val="00282247"/>
    <w:rsid w:val="0028301F"/>
    <w:rsid w:val="00285017"/>
    <w:rsid w:val="00294B66"/>
    <w:rsid w:val="00295DAB"/>
    <w:rsid w:val="002A07E0"/>
    <w:rsid w:val="002A2D2E"/>
    <w:rsid w:val="002B32EB"/>
    <w:rsid w:val="002B40F2"/>
    <w:rsid w:val="002C00E8"/>
    <w:rsid w:val="002C49AC"/>
    <w:rsid w:val="002D01F0"/>
    <w:rsid w:val="002D4556"/>
    <w:rsid w:val="002E7F1A"/>
    <w:rsid w:val="002F58A5"/>
    <w:rsid w:val="00335266"/>
    <w:rsid w:val="00343749"/>
    <w:rsid w:val="0034649C"/>
    <w:rsid w:val="003525A3"/>
    <w:rsid w:val="003548D6"/>
    <w:rsid w:val="003642E9"/>
    <w:rsid w:val="003660ED"/>
    <w:rsid w:val="00373CF1"/>
    <w:rsid w:val="00374507"/>
    <w:rsid w:val="003769C9"/>
    <w:rsid w:val="00390728"/>
    <w:rsid w:val="00392098"/>
    <w:rsid w:val="00395042"/>
    <w:rsid w:val="00397DF7"/>
    <w:rsid w:val="003A1933"/>
    <w:rsid w:val="003A48E4"/>
    <w:rsid w:val="003B0550"/>
    <w:rsid w:val="003B694F"/>
    <w:rsid w:val="003B75C0"/>
    <w:rsid w:val="003C463C"/>
    <w:rsid w:val="003E2350"/>
    <w:rsid w:val="003F171C"/>
    <w:rsid w:val="003F3809"/>
    <w:rsid w:val="003F6349"/>
    <w:rsid w:val="003F7495"/>
    <w:rsid w:val="00410476"/>
    <w:rsid w:val="00412FC5"/>
    <w:rsid w:val="00422276"/>
    <w:rsid w:val="004227E6"/>
    <w:rsid w:val="0042404D"/>
    <w:rsid w:val="004242F1"/>
    <w:rsid w:val="004422B3"/>
    <w:rsid w:val="00445A00"/>
    <w:rsid w:val="00451B0F"/>
    <w:rsid w:val="00451D8A"/>
    <w:rsid w:val="004524D7"/>
    <w:rsid w:val="0046058A"/>
    <w:rsid w:val="00475675"/>
    <w:rsid w:val="0049092C"/>
    <w:rsid w:val="004942ED"/>
    <w:rsid w:val="004A2B91"/>
    <w:rsid w:val="004C0445"/>
    <w:rsid w:val="004C1929"/>
    <w:rsid w:val="004C2EE3"/>
    <w:rsid w:val="004C637B"/>
    <w:rsid w:val="004D140B"/>
    <w:rsid w:val="004D3C67"/>
    <w:rsid w:val="004E4A22"/>
    <w:rsid w:val="00501E73"/>
    <w:rsid w:val="00511968"/>
    <w:rsid w:val="00513C21"/>
    <w:rsid w:val="0051740E"/>
    <w:rsid w:val="0054494F"/>
    <w:rsid w:val="00547056"/>
    <w:rsid w:val="005470C7"/>
    <w:rsid w:val="005475C2"/>
    <w:rsid w:val="005476AB"/>
    <w:rsid w:val="0055355D"/>
    <w:rsid w:val="0055614C"/>
    <w:rsid w:val="00565D8E"/>
    <w:rsid w:val="00566D06"/>
    <w:rsid w:val="00566F09"/>
    <w:rsid w:val="00581AC1"/>
    <w:rsid w:val="00585081"/>
    <w:rsid w:val="005B27A0"/>
    <w:rsid w:val="005C302C"/>
    <w:rsid w:val="005C6D93"/>
    <w:rsid w:val="005E14C2"/>
    <w:rsid w:val="005F121E"/>
    <w:rsid w:val="005F50FA"/>
    <w:rsid w:val="00602982"/>
    <w:rsid w:val="00604E4B"/>
    <w:rsid w:val="00607BA5"/>
    <w:rsid w:val="0061180A"/>
    <w:rsid w:val="00621005"/>
    <w:rsid w:val="00622DCC"/>
    <w:rsid w:val="00624211"/>
    <w:rsid w:val="00625B2F"/>
    <w:rsid w:val="00626EB6"/>
    <w:rsid w:val="006275A3"/>
    <w:rsid w:val="006357A5"/>
    <w:rsid w:val="0064694B"/>
    <w:rsid w:val="00655D03"/>
    <w:rsid w:val="006620E7"/>
    <w:rsid w:val="0066500C"/>
    <w:rsid w:val="006652CC"/>
    <w:rsid w:val="00666A21"/>
    <w:rsid w:val="00683388"/>
    <w:rsid w:val="00683F84"/>
    <w:rsid w:val="006852A2"/>
    <w:rsid w:val="006877B8"/>
    <w:rsid w:val="006A6A81"/>
    <w:rsid w:val="006B3CFA"/>
    <w:rsid w:val="006C2253"/>
    <w:rsid w:val="006C48AF"/>
    <w:rsid w:val="006D007E"/>
    <w:rsid w:val="006D1432"/>
    <w:rsid w:val="006E5B5A"/>
    <w:rsid w:val="006F1466"/>
    <w:rsid w:val="006F7393"/>
    <w:rsid w:val="0070224F"/>
    <w:rsid w:val="007115F7"/>
    <w:rsid w:val="007278EB"/>
    <w:rsid w:val="00747707"/>
    <w:rsid w:val="00765BA5"/>
    <w:rsid w:val="0077693C"/>
    <w:rsid w:val="0078070B"/>
    <w:rsid w:val="00785689"/>
    <w:rsid w:val="00795C95"/>
    <w:rsid w:val="00795F72"/>
    <w:rsid w:val="0079754B"/>
    <w:rsid w:val="007A1E6D"/>
    <w:rsid w:val="007B0EB2"/>
    <w:rsid w:val="007B4F3E"/>
    <w:rsid w:val="007C0B39"/>
    <w:rsid w:val="007C6A70"/>
    <w:rsid w:val="007D411F"/>
    <w:rsid w:val="007E1016"/>
    <w:rsid w:val="00804ADD"/>
    <w:rsid w:val="00810B6F"/>
    <w:rsid w:val="008158C2"/>
    <w:rsid w:val="00822CE0"/>
    <w:rsid w:val="008261D7"/>
    <w:rsid w:val="00841AB1"/>
    <w:rsid w:val="00843A5F"/>
    <w:rsid w:val="0084713D"/>
    <w:rsid w:val="00852F3C"/>
    <w:rsid w:val="008560D9"/>
    <w:rsid w:val="0087418F"/>
    <w:rsid w:val="0088599A"/>
    <w:rsid w:val="0088797D"/>
    <w:rsid w:val="00887F97"/>
    <w:rsid w:val="008A2184"/>
    <w:rsid w:val="008B56CB"/>
    <w:rsid w:val="008B6A85"/>
    <w:rsid w:val="008C68F1"/>
    <w:rsid w:val="008D23CF"/>
    <w:rsid w:val="008D73F3"/>
    <w:rsid w:val="008D761C"/>
    <w:rsid w:val="008E7604"/>
    <w:rsid w:val="008F707A"/>
    <w:rsid w:val="009007A1"/>
    <w:rsid w:val="00902205"/>
    <w:rsid w:val="00921475"/>
    <w:rsid w:val="00921803"/>
    <w:rsid w:val="00921EDF"/>
    <w:rsid w:val="00925668"/>
    <w:rsid w:val="00926503"/>
    <w:rsid w:val="00940EB9"/>
    <w:rsid w:val="00951677"/>
    <w:rsid w:val="00954EBB"/>
    <w:rsid w:val="009569BA"/>
    <w:rsid w:val="0096053F"/>
    <w:rsid w:val="0097075C"/>
    <w:rsid w:val="009726D8"/>
    <w:rsid w:val="00974611"/>
    <w:rsid w:val="0099261C"/>
    <w:rsid w:val="00996456"/>
    <w:rsid w:val="00996D8D"/>
    <w:rsid w:val="009A31D4"/>
    <w:rsid w:val="009B614B"/>
    <w:rsid w:val="009D51CF"/>
    <w:rsid w:val="009D7308"/>
    <w:rsid w:val="009E45CC"/>
    <w:rsid w:val="009F0A60"/>
    <w:rsid w:val="009F45BD"/>
    <w:rsid w:val="009F76DB"/>
    <w:rsid w:val="00A03600"/>
    <w:rsid w:val="00A06D57"/>
    <w:rsid w:val="00A07FCB"/>
    <w:rsid w:val="00A11E3B"/>
    <w:rsid w:val="00A1754F"/>
    <w:rsid w:val="00A20720"/>
    <w:rsid w:val="00A2152D"/>
    <w:rsid w:val="00A220E8"/>
    <w:rsid w:val="00A23E40"/>
    <w:rsid w:val="00A26716"/>
    <w:rsid w:val="00A32C3B"/>
    <w:rsid w:val="00A43FD8"/>
    <w:rsid w:val="00A45669"/>
    <w:rsid w:val="00A45F4F"/>
    <w:rsid w:val="00A600A9"/>
    <w:rsid w:val="00A65E0E"/>
    <w:rsid w:val="00A708DA"/>
    <w:rsid w:val="00A75F52"/>
    <w:rsid w:val="00A77C4B"/>
    <w:rsid w:val="00A86C97"/>
    <w:rsid w:val="00A913BC"/>
    <w:rsid w:val="00A935D9"/>
    <w:rsid w:val="00A958B6"/>
    <w:rsid w:val="00AA4E32"/>
    <w:rsid w:val="00AA55B7"/>
    <w:rsid w:val="00AA5B9E"/>
    <w:rsid w:val="00AB2407"/>
    <w:rsid w:val="00AB53DF"/>
    <w:rsid w:val="00AB56A2"/>
    <w:rsid w:val="00AD00FE"/>
    <w:rsid w:val="00AD0726"/>
    <w:rsid w:val="00AD4115"/>
    <w:rsid w:val="00AE0904"/>
    <w:rsid w:val="00AF288E"/>
    <w:rsid w:val="00AF77A4"/>
    <w:rsid w:val="00B07E5C"/>
    <w:rsid w:val="00B12E72"/>
    <w:rsid w:val="00B1581F"/>
    <w:rsid w:val="00B2668E"/>
    <w:rsid w:val="00B33D2A"/>
    <w:rsid w:val="00B64BFD"/>
    <w:rsid w:val="00B734BD"/>
    <w:rsid w:val="00B7420C"/>
    <w:rsid w:val="00B74EF1"/>
    <w:rsid w:val="00B8095B"/>
    <w:rsid w:val="00B811F7"/>
    <w:rsid w:val="00B84F55"/>
    <w:rsid w:val="00B921F0"/>
    <w:rsid w:val="00B92B60"/>
    <w:rsid w:val="00B937FD"/>
    <w:rsid w:val="00B94EA3"/>
    <w:rsid w:val="00BA0E47"/>
    <w:rsid w:val="00BA5671"/>
    <w:rsid w:val="00BA5DC6"/>
    <w:rsid w:val="00BA6196"/>
    <w:rsid w:val="00BB1A55"/>
    <w:rsid w:val="00BB3AA3"/>
    <w:rsid w:val="00BB5A36"/>
    <w:rsid w:val="00BB732B"/>
    <w:rsid w:val="00BC05E8"/>
    <w:rsid w:val="00BC2391"/>
    <w:rsid w:val="00BC6D8C"/>
    <w:rsid w:val="00BE1115"/>
    <w:rsid w:val="00BF449B"/>
    <w:rsid w:val="00C157BE"/>
    <w:rsid w:val="00C15CBA"/>
    <w:rsid w:val="00C34006"/>
    <w:rsid w:val="00C36B4C"/>
    <w:rsid w:val="00C426B1"/>
    <w:rsid w:val="00C54105"/>
    <w:rsid w:val="00C566EC"/>
    <w:rsid w:val="00C63E1C"/>
    <w:rsid w:val="00C66160"/>
    <w:rsid w:val="00C721AC"/>
    <w:rsid w:val="00C773D8"/>
    <w:rsid w:val="00C90D6A"/>
    <w:rsid w:val="00C92A50"/>
    <w:rsid w:val="00C93DDD"/>
    <w:rsid w:val="00CA247E"/>
    <w:rsid w:val="00CA6D21"/>
    <w:rsid w:val="00CB447A"/>
    <w:rsid w:val="00CB65DA"/>
    <w:rsid w:val="00CC72B6"/>
    <w:rsid w:val="00CD4507"/>
    <w:rsid w:val="00CD4E7E"/>
    <w:rsid w:val="00CD621F"/>
    <w:rsid w:val="00CE502F"/>
    <w:rsid w:val="00D0218D"/>
    <w:rsid w:val="00D23E19"/>
    <w:rsid w:val="00D25FB5"/>
    <w:rsid w:val="00D44223"/>
    <w:rsid w:val="00D5589B"/>
    <w:rsid w:val="00D65F58"/>
    <w:rsid w:val="00D76463"/>
    <w:rsid w:val="00D76DB6"/>
    <w:rsid w:val="00D84548"/>
    <w:rsid w:val="00D95917"/>
    <w:rsid w:val="00DA2529"/>
    <w:rsid w:val="00DA4883"/>
    <w:rsid w:val="00DB130A"/>
    <w:rsid w:val="00DB2D4C"/>
    <w:rsid w:val="00DB2EBB"/>
    <w:rsid w:val="00DC09B8"/>
    <w:rsid w:val="00DC10A1"/>
    <w:rsid w:val="00DC655F"/>
    <w:rsid w:val="00DD0B59"/>
    <w:rsid w:val="00DD2F78"/>
    <w:rsid w:val="00DD5C61"/>
    <w:rsid w:val="00DD7EBD"/>
    <w:rsid w:val="00DF40F1"/>
    <w:rsid w:val="00DF62B6"/>
    <w:rsid w:val="00E036F5"/>
    <w:rsid w:val="00E06ED5"/>
    <w:rsid w:val="00E07225"/>
    <w:rsid w:val="00E1613B"/>
    <w:rsid w:val="00E52AD8"/>
    <w:rsid w:val="00E5409F"/>
    <w:rsid w:val="00E56DDC"/>
    <w:rsid w:val="00E64173"/>
    <w:rsid w:val="00E74133"/>
    <w:rsid w:val="00E97149"/>
    <w:rsid w:val="00EA2697"/>
    <w:rsid w:val="00EA3883"/>
    <w:rsid w:val="00EB17A4"/>
    <w:rsid w:val="00ED419F"/>
    <w:rsid w:val="00ED5746"/>
    <w:rsid w:val="00EE6488"/>
    <w:rsid w:val="00EF11D0"/>
    <w:rsid w:val="00EF4E78"/>
    <w:rsid w:val="00EF505E"/>
    <w:rsid w:val="00EF79B4"/>
    <w:rsid w:val="00F01F14"/>
    <w:rsid w:val="00F021FA"/>
    <w:rsid w:val="00F02DC3"/>
    <w:rsid w:val="00F11647"/>
    <w:rsid w:val="00F323FB"/>
    <w:rsid w:val="00F36088"/>
    <w:rsid w:val="00F36B85"/>
    <w:rsid w:val="00F37BDA"/>
    <w:rsid w:val="00F417EE"/>
    <w:rsid w:val="00F534CA"/>
    <w:rsid w:val="00F537EE"/>
    <w:rsid w:val="00F565D3"/>
    <w:rsid w:val="00F60F11"/>
    <w:rsid w:val="00F62216"/>
    <w:rsid w:val="00F62E97"/>
    <w:rsid w:val="00F64209"/>
    <w:rsid w:val="00F644EB"/>
    <w:rsid w:val="00F671D0"/>
    <w:rsid w:val="00F74D07"/>
    <w:rsid w:val="00F77143"/>
    <w:rsid w:val="00F82AC0"/>
    <w:rsid w:val="00F83D1C"/>
    <w:rsid w:val="00F871C0"/>
    <w:rsid w:val="00F93BF5"/>
    <w:rsid w:val="00FC0F92"/>
    <w:rsid w:val="00FD207B"/>
    <w:rsid w:val="00FE3662"/>
    <w:rsid w:val="00FE755C"/>
    <w:rsid w:val="00FF05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8E6BD6"/>
  <w15:chartTrackingRefBased/>
  <w15:docId w15:val="{061C5FBA-F4FF-47C1-9E24-4C42AE1B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61"/>
    <w:pPr>
      <w:widowControl w:val="0"/>
    </w:pPr>
    <w:rPr>
      <w:snapToGrid w:val="0"/>
      <w:kern w:val="28"/>
      <w:sz w:val="22"/>
    </w:rPr>
  </w:style>
  <w:style w:type="paragraph" w:styleId="Heading1">
    <w:name w:val="heading 1"/>
    <w:basedOn w:val="Normal"/>
    <w:next w:val="ParaNum"/>
    <w:link w:val="Heading1Char"/>
    <w:qFormat/>
    <w:rsid w:val="00DD5C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5C61"/>
    <w:pPr>
      <w:keepNext/>
      <w:numPr>
        <w:ilvl w:val="1"/>
        <w:numId w:val="3"/>
      </w:numPr>
      <w:spacing w:after="120"/>
      <w:outlineLvl w:val="1"/>
    </w:pPr>
    <w:rPr>
      <w:b/>
    </w:rPr>
  </w:style>
  <w:style w:type="paragraph" w:styleId="Heading3">
    <w:name w:val="heading 3"/>
    <w:basedOn w:val="Normal"/>
    <w:next w:val="ParaNum"/>
    <w:qFormat/>
    <w:rsid w:val="00DD5C61"/>
    <w:pPr>
      <w:keepNext/>
      <w:numPr>
        <w:ilvl w:val="2"/>
        <w:numId w:val="3"/>
      </w:numPr>
      <w:tabs>
        <w:tab w:val="left" w:pos="2160"/>
      </w:tabs>
      <w:spacing w:after="120"/>
      <w:outlineLvl w:val="2"/>
    </w:pPr>
    <w:rPr>
      <w:b/>
    </w:rPr>
  </w:style>
  <w:style w:type="paragraph" w:styleId="Heading4">
    <w:name w:val="heading 4"/>
    <w:basedOn w:val="Normal"/>
    <w:next w:val="ParaNum"/>
    <w:qFormat/>
    <w:rsid w:val="00DD5C61"/>
    <w:pPr>
      <w:keepNext/>
      <w:numPr>
        <w:ilvl w:val="3"/>
        <w:numId w:val="3"/>
      </w:numPr>
      <w:tabs>
        <w:tab w:val="left" w:pos="2880"/>
      </w:tabs>
      <w:spacing w:after="120"/>
      <w:outlineLvl w:val="3"/>
    </w:pPr>
    <w:rPr>
      <w:b/>
    </w:rPr>
  </w:style>
  <w:style w:type="paragraph" w:styleId="Heading5">
    <w:name w:val="heading 5"/>
    <w:basedOn w:val="Normal"/>
    <w:next w:val="ParaNum"/>
    <w:qFormat/>
    <w:rsid w:val="00DD5C6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5C61"/>
    <w:pPr>
      <w:numPr>
        <w:ilvl w:val="5"/>
        <w:numId w:val="3"/>
      </w:numPr>
      <w:tabs>
        <w:tab w:val="left" w:pos="4320"/>
      </w:tabs>
      <w:spacing w:after="120"/>
      <w:outlineLvl w:val="5"/>
    </w:pPr>
    <w:rPr>
      <w:b/>
    </w:rPr>
  </w:style>
  <w:style w:type="paragraph" w:styleId="Heading7">
    <w:name w:val="heading 7"/>
    <w:basedOn w:val="Normal"/>
    <w:next w:val="ParaNum"/>
    <w:qFormat/>
    <w:rsid w:val="00DD5C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5C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5C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5C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C61"/>
  </w:style>
  <w:style w:type="paragraph" w:customStyle="1" w:styleId="ParaNum">
    <w:name w:val="ParaNum"/>
    <w:basedOn w:val="Normal"/>
    <w:link w:val="ParaNumChar"/>
    <w:rsid w:val="00DD5C61"/>
    <w:pPr>
      <w:numPr>
        <w:numId w:val="2"/>
      </w:numPr>
      <w:tabs>
        <w:tab w:val="clear" w:pos="1080"/>
        <w:tab w:val="num" w:pos="1440"/>
      </w:tabs>
      <w:spacing w:after="120"/>
    </w:pPr>
  </w:style>
  <w:style w:type="paragraph" w:styleId="EndnoteText">
    <w:name w:val="endnote text"/>
    <w:basedOn w:val="Normal"/>
    <w:semiHidden/>
    <w:rsid w:val="00DD5C61"/>
    <w:rPr>
      <w:sz w:val="20"/>
    </w:rPr>
  </w:style>
  <w:style w:type="character" w:styleId="EndnoteReference">
    <w:name w:val="endnote reference"/>
    <w:semiHidden/>
    <w:rsid w:val="00DD5C61"/>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DD5C6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D5C61"/>
    <w:rPr>
      <w:rFonts w:ascii="Times New Roman" w:hAnsi="Times New Roman"/>
      <w:dstrike w:val="0"/>
      <w:color w:val="auto"/>
      <w:sz w:val="20"/>
      <w:vertAlign w:val="superscript"/>
    </w:rPr>
  </w:style>
  <w:style w:type="paragraph" w:styleId="TOC1">
    <w:name w:val="toc 1"/>
    <w:basedOn w:val="Normal"/>
    <w:next w:val="Normal"/>
    <w:semiHidden/>
    <w:rsid w:val="00DD5C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5C61"/>
    <w:pPr>
      <w:tabs>
        <w:tab w:val="left" w:pos="720"/>
        <w:tab w:val="right" w:leader="dot" w:pos="9360"/>
      </w:tabs>
      <w:suppressAutoHyphens/>
      <w:ind w:left="720" w:right="720" w:hanging="360"/>
    </w:pPr>
    <w:rPr>
      <w:noProof/>
    </w:rPr>
  </w:style>
  <w:style w:type="paragraph" w:styleId="TOC3">
    <w:name w:val="toc 3"/>
    <w:basedOn w:val="Normal"/>
    <w:next w:val="Normal"/>
    <w:semiHidden/>
    <w:rsid w:val="00DD5C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5C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5C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5C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5C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5C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5C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5C61"/>
    <w:pPr>
      <w:tabs>
        <w:tab w:val="right" w:pos="9360"/>
      </w:tabs>
      <w:suppressAutoHyphens/>
    </w:pPr>
  </w:style>
  <w:style w:type="character" w:customStyle="1" w:styleId="EquationCaption">
    <w:name w:val="_Equation Caption"/>
    <w:rsid w:val="00DD5C61"/>
  </w:style>
  <w:style w:type="paragraph" w:styleId="Header">
    <w:name w:val="header"/>
    <w:basedOn w:val="Normal"/>
    <w:link w:val="HeaderChar"/>
    <w:autoRedefine/>
    <w:rsid w:val="00DD5C61"/>
    <w:pPr>
      <w:tabs>
        <w:tab w:val="center" w:pos="4680"/>
        <w:tab w:val="right" w:pos="9360"/>
      </w:tabs>
    </w:pPr>
    <w:rPr>
      <w:b/>
    </w:rPr>
  </w:style>
  <w:style w:type="paragraph" w:styleId="Footer">
    <w:name w:val="footer"/>
    <w:basedOn w:val="Normal"/>
    <w:link w:val="FooterChar"/>
    <w:uiPriority w:val="99"/>
    <w:rsid w:val="00DD5C61"/>
    <w:pPr>
      <w:tabs>
        <w:tab w:val="center" w:pos="4320"/>
        <w:tab w:val="right" w:pos="8640"/>
      </w:tabs>
    </w:pPr>
  </w:style>
  <w:style w:type="character" w:styleId="PageNumber">
    <w:name w:val="page number"/>
    <w:basedOn w:val="DefaultParagraphFont"/>
    <w:rsid w:val="00DD5C61"/>
  </w:style>
  <w:style w:type="paragraph" w:styleId="BlockText">
    <w:name w:val="Block Text"/>
    <w:basedOn w:val="Normal"/>
    <w:rsid w:val="00DD5C61"/>
    <w:pPr>
      <w:spacing w:after="240"/>
      <w:ind w:left="1440" w:right="1440"/>
    </w:pPr>
  </w:style>
  <w:style w:type="paragraph" w:customStyle="1" w:styleId="Paratitle">
    <w:name w:val="Para title"/>
    <w:basedOn w:val="Normal"/>
    <w:rsid w:val="00DD5C61"/>
    <w:pPr>
      <w:tabs>
        <w:tab w:val="center" w:pos="9270"/>
      </w:tabs>
      <w:spacing w:after="240"/>
    </w:pPr>
    <w:rPr>
      <w:spacing w:val="-2"/>
    </w:rPr>
  </w:style>
  <w:style w:type="paragraph" w:customStyle="1" w:styleId="Bullet">
    <w:name w:val="Bullet"/>
    <w:basedOn w:val="Normal"/>
    <w:rsid w:val="00DD5C61"/>
    <w:pPr>
      <w:tabs>
        <w:tab w:val="left" w:pos="2160"/>
      </w:tabs>
      <w:spacing w:after="220"/>
      <w:ind w:left="2160" w:hanging="720"/>
    </w:pPr>
  </w:style>
  <w:style w:type="paragraph" w:customStyle="1" w:styleId="TableFormat">
    <w:name w:val="TableFormat"/>
    <w:basedOn w:val="Bullet"/>
    <w:rsid w:val="00DD5C61"/>
    <w:pPr>
      <w:tabs>
        <w:tab w:val="clear" w:pos="2160"/>
        <w:tab w:val="left" w:pos="5040"/>
      </w:tabs>
      <w:ind w:left="5040" w:hanging="3600"/>
    </w:pPr>
  </w:style>
  <w:style w:type="paragraph" w:customStyle="1" w:styleId="TOCTitle">
    <w:name w:val="TOC Title"/>
    <w:basedOn w:val="Normal"/>
    <w:rsid w:val="00DD5C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5C61"/>
    <w:pPr>
      <w:jc w:val="center"/>
    </w:pPr>
    <w:rPr>
      <w:rFonts w:ascii="Times New Roman Bold" w:hAnsi="Times New Roman Bold"/>
      <w:b/>
      <w:bCs/>
      <w:caps/>
      <w:szCs w:val="22"/>
    </w:rPr>
  </w:style>
  <w:style w:type="character" w:styleId="Hyperlink">
    <w:name w:val="Hyperlink"/>
    <w:rsid w:val="00DD5C61"/>
    <w:rPr>
      <w:color w:val="0000FF"/>
      <w:u w:val="single"/>
    </w:rPr>
  </w:style>
  <w:style w:type="character" w:customStyle="1" w:styleId="FooterChar">
    <w:name w:val="Footer Char"/>
    <w:link w:val="Footer"/>
    <w:uiPriority w:val="99"/>
    <w:rsid w:val="00DD5C61"/>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CD621F"/>
  </w:style>
  <w:style w:type="character" w:styleId="CommentReference">
    <w:name w:val="annotation reference"/>
    <w:rsid w:val="00CD621F"/>
    <w:rPr>
      <w:sz w:val="16"/>
      <w:szCs w:val="16"/>
    </w:rPr>
  </w:style>
  <w:style w:type="paragraph" w:styleId="CommentText">
    <w:name w:val="annotation text"/>
    <w:basedOn w:val="Normal"/>
    <w:link w:val="CommentTextChar"/>
    <w:rsid w:val="00CD621F"/>
    <w:rPr>
      <w:sz w:val="20"/>
    </w:rPr>
  </w:style>
  <w:style w:type="character" w:customStyle="1" w:styleId="CommentTextChar">
    <w:name w:val="Comment Text Char"/>
    <w:link w:val="CommentText"/>
    <w:rsid w:val="00CD621F"/>
    <w:rPr>
      <w:snapToGrid w:val="0"/>
      <w:kern w:val="28"/>
    </w:rPr>
  </w:style>
  <w:style w:type="character" w:customStyle="1" w:styleId="ParaNumChar">
    <w:name w:val="ParaNum Char"/>
    <w:link w:val="ParaNum"/>
    <w:rsid w:val="00CD621F"/>
    <w:rPr>
      <w:snapToGrid w:val="0"/>
      <w:kern w:val="28"/>
      <w:sz w:val="22"/>
    </w:rPr>
  </w:style>
  <w:style w:type="paragraph" w:styleId="BalloonText">
    <w:name w:val="Balloon Text"/>
    <w:basedOn w:val="Normal"/>
    <w:link w:val="BalloonTextChar"/>
    <w:rsid w:val="00CD621F"/>
    <w:rPr>
      <w:rFonts w:ascii="Segoe UI" w:hAnsi="Segoe UI" w:cs="Segoe UI"/>
      <w:sz w:val="18"/>
      <w:szCs w:val="18"/>
    </w:rPr>
  </w:style>
  <w:style w:type="character" w:customStyle="1" w:styleId="BalloonTextChar">
    <w:name w:val="Balloon Text Char"/>
    <w:link w:val="BalloonText"/>
    <w:rsid w:val="00CD621F"/>
    <w:rPr>
      <w:rFonts w:ascii="Segoe UI" w:hAnsi="Segoe UI" w:cs="Segoe UI"/>
      <w:snapToGrid w:val="0"/>
      <w:kern w:val="28"/>
      <w:sz w:val="18"/>
      <w:szCs w:val="18"/>
    </w:rPr>
  </w:style>
  <w:style w:type="character" w:customStyle="1" w:styleId="HeaderChar">
    <w:name w:val="Header Char"/>
    <w:link w:val="Header"/>
    <w:rsid w:val="00055E3C"/>
    <w:rPr>
      <w:b/>
      <w:snapToGrid w:val="0"/>
      <w:kern w:val="28"/>
      <w:sz w:val="22"/>
    </w:rPr>
  </w:style>
  <w:style w:type="paragraph" w:customStyle="1" w:styleId="Paranum0">
    <w:name w:val="Paranum"/>
    <w:uiPriority w:val="99"/>
    <w:rsid w:val="00F537EE"/>
    <w:pPr>
      <w:numPr>
        <w:numId w:val="8"/>
      </w:numPr>
      <w:tabs>
        <w:tab w:val="left" w:pos="1440"/>
      </w:tabs>
      <w:spacing w:after="240"/>
      <w:jc w:val="both"/>
    </w:pPr>
    <w:rPr>
      <w:sz w:val="22"/>
    </w:rPr>
  </w:style>
  <w:style w:type="character" w:customStyle="1" w:styleId="ParanumChar0">
    <w:name w:val="Paranum Char"/>
    <w:uiPriority w:val="99"/>
    <w:rsid w:val="00F537EE"/>
    <w:rPr>
      <w:sz w:val="22"/>
      <w:lang w:val="en-US" w:eastAsia="en-US"/>
    </w:rPr>
  </w:style>
  <w:style w:type="paragraph" w:styleId="ListParagraph">
    <w:name w:val="List Paragraph"/>
    <w:basedOn w:val="Normal"/>
    <w:uiPriority w:val="34"/>
    <w:qFormat/>
    <w:rsid w:val="00F537EE"/>
    <w:pPr>
      <w:widowControl/>
      <w:ind w:left="720"/>
    </w:pPr>
    <w:rPr>
      <w:snapToGrid/>
      <w:kern w:val="0"/>
      <w:sz w:val="24"/>
      <w:szCs w:val="24"/>
    </w:rPr>
  </w:style>
  <w:style w:type="character" w:customStyle="1" w:styleId="Heading1Char">
    <w:name w:val="Heading 1 Char"/>
    <w:link w:val="Heading1"/>
    <w:locked/>
    <w:rsid w:val="00F537EE"/>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rsid w:val="00C157BE"/>
    <w:rPr>
      <w:b/>
      <w:bCs/>
    </w:rPr>
  </w:style>
  <w:style w:type="character" w:customStyle="1" w:styleId="CommentSubjectChar">
    <w:name w:val="Comment Subject Char"/>
    <w:basedOn w:val="CommentTextChar"/>
    <w:link w:val="CommentSubject"/>
    <w:rsid w:val="00C157BE"/>
    <w:rPr>
      <w:b/>
      <w:bCs/>
      <w:snapToGrid w:val="0"/>
      <w:kern w:val="28"/>
    </w:rPr>
  </w:style>
  <w:style w:type="character" w:customStyle="1" w:styleId="UnresolvedMention1">
    <w:name w:val="Unresolved Mention1"/>
    <w:basedOn w:val="DefaultParagraphFont"/>
    <w:rsid w:val="000B37A6"/>
    <w:rPr>
      <w:color w:val="605E5C"/>
      <w:shd w:val="clear" w:color="auto" w:fill="E1DFDD"/>
    </w:rPr>
  </w:style>
  <w:style w:type="paragraph" w:styleId="Revision">
    <w:name w:val="Revision"/>
    <w:hidden/>
    <w:uiPriority w:val="99"/>
    <w:semiHidden/>
    <w:rsid w:val="00086F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ield@fcc.gov" TargetMode="External" /><Relationship Id="rId11" Type="http://schemas.openxmlformats.org/officeDocument/2006/relationships/hyperlink" Target="file:///C:\Users\David.Marks\AppData\Local\Microsoft\Windows\INetCache\Content.Outlook\CLYTWG1N\david.marks@fcc.gov" TargetMode="External" /><Relationship Id="rId12" Type="http://schemas.openxmlformats.org/officeDocument/2006/relationships/hyperlink" Target="mailto:david.marks@fcc.gov" TargetMode="External" /><Relationship Id="rId13" Type="http://schemas.openxmlformats.org/officeDocument/2006/relationships/hyperlink" Target="file:///C:\Users\Ashley.Tyson\AppData\Local\Microsoft\Windows\INetCache\Content.Outlook\3W27NDGN\field@fcc.gov" TargetMode="External" /><Relationship Id="rId14" Type="http://schemas.openxmlformats.org/officeDocument/2006/relationships/hyperlink" Target="mailto:david.marks@fcc.govo" TargetMode="External" /><Relationship Id="rId15" Type="http://schemas.openxmlformats.org/officeDocument/2006/relationships/hyperlink" Target="mailto:RROGWireFaxes@fcc.gov" TargetMode="External" /><Relationship Id="rId16" Type="http://schemas.openxmlformats.org/officeDocument/2006/relationships/hyperlink" Target="https://www.fcc.gov/licensing-databases/fees/wire-transfer" TargetMode="External" /><Relationship Id="rId17" Type="http://schemas.openxmlformats.org/officeDocument/2006/relationships/hyperlink" Target="https://apps.fcc.gov/FeeFiler/login.cfm"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ireless2.fcc.gov/UlsApp/AsrSearch/asrAdvancedSearch.jsp" TargetMode="External" /><Relationship Id="rId2" Type="http://schemas.openxmlformats.org/officeDocument/2006/relationships/hyperlink" Target="https://docs.fcc.gov/public/attachments/DA-19-69A1.pdf" TargetMode="External" /><Relationship Id="rId3" Type="http://schemas.openxmlformats.org/officeDocument/2006/relationships/hyperlink" Target="mailto:ARINQUIRIES@fcc.gov" TargetMode="External" /><Relationship Id="rId4"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