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4C2EE3" w14:paraId="40184D08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7F4FF6AE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39B77C0E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4F1EEEE4" w14:textId="77777777"/>
    <w:p w:rsidR="004C2EE3" w:rsidP="0070224F" w14:paraId="70BF7771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7C3DDA13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7C56295A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107D52EA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B7316B" w:rsidRPr="00B7316B" w:rsidP="00B7316B" w14:paraId="20B74549" w14:textId="1EE35EA8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B7316B">
              <w:rPr>
                <w:spacing w:val="-2"/>
              </w:rPr>
              <w:t xml:space="preserve">Intelsat S.A., as debtor-in-possession, </w:t>
            </w:r>
          </w:p>
          <w:p w:rsidR="00B7316B" w:rsidRPr="00B7316B" w:rsidP="00B7316B" w14:paraId="31E9CD6C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B7316B">
              <w:rPr>
                <w:spacing w:val="-2"/>
              </w:rPr>
              <w:t>(Transferor)</w:t>
            </w:r>
          </w:p>
          <w:p w:rsidR="00B7316B" w:rsidRPr="00B7316B" w:rsidP="00B7316B" w14:paraId="717A8225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B7316B" w:rsidRPr="00B7316B" w:rsidP="00B7316B" w14:paraId="03DFC473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B7316B">
              <w:rPr>
                <w:spacing w:val="-2"/>
              </w:rPr>
              <w:t xml:space="preserve">and </w:t>
            </w:r>
          </w:p>
          <w:p w:rsidR="00B7316B" w:rsidRPr="00B7316B" w:rsidP="00B7316B" w14:paraId="3A801EC2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B7316B" w:rsidRPr="00B7316B" w:rsidP="000B0E74" w14:paraId="18756679" w14:textId="3C7BC9BD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0B0E74">
              <w:rPr>
                <w:spacing w:val="-2"/>
              </w:rPr>
              <w:t xml:space="preserve">New </w:t>
            </w:r>
            <w:r w:rsidRPr="000B0E74">
              <w:rPr>
                <w:spacing w:val="-2"/>
              </w:rPr>
              <w:t>TopCo</w:t>
            </w:r>
            <w:r>
              <w:rPr>
                <w:spacing w:val="-2"/>
              </w:rPr>
              <w:t xml:space="preserve"> </w:t>
            </w:r>
            <w:r w:rsidRPr="000B0E74">
              <w:rPr>
                <w:spacing w:val="-2"/>
              </w:rPr>
              <w:t xml:space="preserve">S.A. </w:t>
            </w:r>
            <w:r w:rsidRPr="00B7316B">
              <w:rPr>
                <w:spacing w:val="-2"/>
              </w:rPr>
              <w:t>(Transferee)</w:t>
            </w:r>
          </w:p>
          <w:p w:rsidR="00B7316B" w:rsidRPr="00B7316B" w:rsidP="00B7316B" w14:paraId="6AE8E7B4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Pr="007115F7" w:rsidP="00B7316B" w14:paraId="32E2A02B" w14:textId="73F72B6D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4C2EE3" w14:paraId="3B275E33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7055966D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1E78D3E1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1C651105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C4A9BB8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0544D6D0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3CF18B81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Pr="008F729B" w14:paraId="20927150" w14:textId="7C8B5608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14:paraId="2D11CD59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1EFFAD85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 w14:paraId="51B08728" w14:textId="16BD20E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AA12B9">
              <w:rPr>
                <w:spacing w:val="-2"/>
              </w:rPr>
              <w:t>IB Docket No. 21-375</w:t>
            </w:r>
          </w:p>
        </w:tc>
      </w:tr>
    </w:tbl>
    <w:p w:rsidR="00841AB1" w:rsidP="00F021FA" w14:paraId="280EEB2C" w14:textId="2C1CEDAD">
      <w:pPr>
        <w:pStyle w:val="StyleBoldCentered"/>
      </w:pPr>
      <w:r>
        <w:t>Order</w:t>
      </w:r>
    </w:p>
    <w:p w:rsidR="004C2EE3" w14:paraId="5F60CB21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 w14:paraId="1F5D8A28" w14:textId="21A32F81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9210A6">
        <w:rPr>
          <w:b/>
          <w:spacing w:val="-2"/>
        </w:rPr>
        <w:t xml:space="preserve">October </w:t>
      </w:r>
      <w:r w:rsidRPr="00F32429" w:rsidR="009210A6">
        <w:rPr>
          <w:b/>
          <w:spacing w:val="-2"/>
        </w:rPr>
        <w:t>22</w:t>
      </w:r>
      <w:r w:rsidR="009210A6">
        <w:rPr>
          <w:b/>
          <w:spacing w:val="-2"/>
        </w:rPr>
        <w:t>, 2021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Pr="009210A6" w:rsidR="009210A6">
        <w:rPr>
          <w:b/>
          <w:spacing w:val="-2"/>
        </w:rPr>
        <w:t xml:space="preserve">October </w:t>
      </w:r>
      <w:r w:rsidRPr="00F32429" w:rsidR="009210A6">
        <w:rPr>
          <w:b/>
          <w:spacing w:val="-2"/>
        </w:rPr>
        <w:t>22</w:t>
      </w:r>
      <w:r w:rsidRPr="009210A6" w:rsidR="009210A6">
        <w:rPr>
          <w:b/>
          <w:spacing w:val="-2"/>
        </w:rPr>
        <w:t>, 2021</w:t>
      </w:r>
    </w:p>
    <w:p w:rsidR="00822CE0" w14:paraId="6289D9DA" w14:textId="77777777"/>
    <w:p w:rsidR="004C2EE3" w14:paraId="5D77584F" w14:textId="4DF907FB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E70758">
        <w:rPr>
          <w:spacing w:val="-2"/>
        </w:rPr>
        <w:t xml:space="preserve">Chief, </w:t>
      </w:r>
      <w:r w:rsidR="006E2DD3">
        <w:rPr>
          <w:spacing w:val="-2"/>
        </w:rPr>
        <w:t xml:space="preserve">Satellite Division, </w:t>
      </w:r>
      <w:r w:rsidR="00E70758">
        <w:rPr>
          <w:spacing w:val="-2"/>
        </w:rPr>
        <w:t>International Bureau</w:t>
      </w:r>
      <w:r>
        <w:rPr>
          <w:spacing w:val="-2"/>
        </w:rPr>
        <w:t>:</w:t>
      </w:r>
    </w:p>
    <w:p w:rsidR="00822CE0" w14:paraId="4683BFEA" w14:textId="4D128B1D">
      <w:pPr>
        <w:rPr>
          <w:spacing w:val="-2"/>
        </w:rPr>
      </w:pPr>
    </w:p>
    <w:p w:rsidR="00EC49BB" w14:paraId="5B6FBDA9" w14:textId="77777777">
      <w:pPr>
        <w:rPr>
          <w:spacing w:val="-2"/>
        </w:rPr>
      </w:pPr>
    </w:p>
    <w:p w:rsidR="008F729B" w:rsidP="008F729B" w14:paraId="5A0E4FC5" w14:textId="3564B766">
      <w:pPr>
        <w:pStyle w:val="ParaNum"/>
      </w:pPr>
      <w:r w:rsidRPr="008F729B">
        <w:t>Spectrum Five LLC</w:t>
      </w:r>
      <w:r>
        <w:t xml:space="preserve"> (Spectrum Five) </w:t>
      </w:r>
      <w:r w:rsidR="00B941B2">
        <w:t xml:space="preserve">requests </w:t>
      </w:r>
      <w:r w:rsidR="006E2DD3">
        <w:t xml:space="preserve">a 30-day extension of time to file comments in </w:t>
      </w:r>
      <w:r>
        <w:t xml:space="preserve">response to applications </w:t>
      </w:r>
      <w:r w:rsidR="007A7C55">
        <w:t xml:space="preserve">for assignment and transfer of control of authorizations held </w:t>
      </w:r>
      <w:r w:rsidR="006E2DD3">
        <w:t xml:space="preserve">by </w:t>
      </w:r>
      <w:r w:rsidRPr="008F729B" w:rsidR="006E2DD3">
        <w:t>Intelsat S.A., as debtor-in-possession</w:t>
      </w:r>
      <w:r w:rsidR="006E2DD3">
        <w:t xml:space="preserve"> (Intelsat)</w:t>
      </w:r>
      <w:r>
        <w:t>.</w:t>
      </w:r>
      <w:r>
        <w:rPr>
          <w:rStyle w:val="FootnoteReference"/>
        </w:rPr>
        <w:footnoteReference w:id="3"/>
      </w:r>
      <w:r w:rsidR="006E2DD3">
        <w:t xml:space="preserve">  </w:t>
      </w:r>
      <w:r w:rsidR="00623FAB">
        <w:t>For the reasons stated below, w</w:t>
      </w:r>
      <w:r w:rsidR="006E2DD3">
        <w:t xml:space="preserve">e deny the </w:t>
      </w:r>
      <w:r w:rsidR="00B55680">
        <w:t>M</w:t>
      </w:r>
      <w:r w:rsidR="006E2DD3">
        <w:t>otion.</w:t>
      </w:r>
    </w:p>
    <w:p w:rsidR="00B772D9" w:rsidP="001C3BC7" w14:paraId="069F1382" w14:textId="6A8FE392">
      <w:pPr>
        <w:pStyle w:val="ParaNum"/>
      </w:pPr>
      <w:r>
        <w:t xml:space="preserve">On November 6, 2020, Spectrum Five </w:t>
      </w:r>
      <w:r w:rsidR="00B5679B">
        <w:t>submitted</w:t>
      </w:r>
      <w:r>
        <w:t xml:space="preserve"> a </w:t>
      </w:r>
      <w:r w:rsidR="00C667DA">
        <w:t>“P</w:t>
      </w:r>
      <w:r w:rsidR="00725E6A">
        <w:t xml:space="preserve">etition for </w:t>
      </w:r>
      <w:r w:rsidR="00C667DA">
        <w:t>Enforcement of Operational Limits and for Expedited Proceedings to Revoke Satellite Licenses</w:t>
      </w:r>
      <w:r w:rsidR="00F87978">
        <w:t>.</w:t>
      </w:r>
      <w:r>
        <w:t>”</w:t>
      </w:r>
      <w:r>
        <w:rPr>
          <w:rStyle w:val="FootnoteReference"/>
        </w:rPr>
        <w:footnoteReference w:id="4"/>
      </w:r>
      <w:r>
        <w:t xml:space="preserve"> </w:t>
      </w:r>
      <w:r w:rsidR="00F87978">
        <w:t xml:space="preserve"> The petition </w:t>
      </w:r>
      <w:r w:rsidR="00C667DA">
        <w:t>concern</w:t>
      </w:r>
      <w:r w:rsidR="00F87978">
        <w:t>s</w:t>
      </w:r>
      <w:r w:rsidR="00C667DA">
        <w:t xml:space="preserve"> two space stations</w:t>
      </w:r>
      <w:r w:rsidR="007A79A6">
        <w:t xml:space="preserve"> – </w:t>
      </w:r>
      <w:r w:rsidR="00C667DA">
        <w:t xml:space="preserve"> </w:t>
      </w:r>
      <w:r w:rsidRPr="007A79A6" w:rsidR="007A79A6">
        <w:t>Intelsat 30 and Intelsat 31</w:t>
      </w:r>
      <w:r w:rsidR="007A79A6">
        <w:t xml:space="preserve"> –  </w:t>
      </w:r>
      <w:r w:rsidR="00C667DA">
        <w:t>operated by Intelsat</w:t>
      </w:r>
      <w:r w:rsidR="009210A6">
        <w:t xml:space="preserve"> at</w:t>
      </w:r>
      <w:r w:rsidR="00C667DA">
        <w:t xml:space="preserve"> the 95</w:t>
      </w:r>
      <w:r w:rsidR="009210A6">
        <w:t>.05</w:t>
      </w:r>
      <w:r w:rsidRPr="009210A6" w:rsidR="009210A6">
        <w:t>°</w:t>
      </w:r>
      <w:r w:rsidR="00C667DA">
        <w:t xml:space="preserve"> W.L. orbital location, </w:t>
      </w:r>
      <w:r w:rsidR="009210A6">
        <w:t xml:space="preserve">near a space station operated by </w:t>
      </w:r>
      <w:r w:rsidR="00C667DA">
        <w:t xml:space="preserve">Spectrum Five </w:t>
      </w:r>
      <w:r w:rsidR="00F87978">
        <w:t>at</w:t>
      </w:r>
      <w:r w:rsidRPr="009210A6" w:rsidR="009210A6">
        <w:t xml:space="preserve"> 95.15° W.L.</w:t>
      </w:r>
      <w:r>
        <w:rPr>
          <w:rStyle w:val="FootnoteReference"/>
        </w:rPr>
        <w:footnoteReference w:id="5"/>
      </w:r>
      <w:r w:rsidR="009210A6">
        <w:t xml:space="preserve">  </w:t>
      </w:r>
      <w:r w:rsidR="00F87978">
        <w:t>Th</w:t>
      </w:r>
      <w:r w:rsidR="00C667DA">
        <w:t xml:space="preserve">e petition </w:t>
      </w:r>
      <w:r w:rsidR="00C1257B">
        <w:t xml:space="preserve">alleges </w:t>
      </w:r>
      <w:r w:rsidRPr="00725E6A" w:rsidR="00C667DA">
        <w:t xml:space="preserve">that Intelsat’s </w:t>
      </w:r>
      <w:r w:rsidRPr="00685C03" w:rsidR="00685C03">
        <w:t xml:space="preserve">operations do not comply with </w:t>
      </w:r>
      <w:r w:rsidR="00340D83">
        <w:t>their</w:t>
      </w:r>
      <w:r w:rsidRPr="00685C03" w:rsidR="00685C03">
        <w:t xml:space="preserve"> licenses or </w:t>
      </w:r>
      <w:r w:rsidR="002B0658">
        <w:t xml:space="preserve">the </w:t>
      </w:r>
      <w:r w:rsidRPr="00685C03" w:rsidR="00685C03">
        <w:t xml:space="preserve">International Telecommunication Union </w:t>
      </w:r>
      <w:r w:rsidR="00685C03">
        <w:t>Radio Regulations</w:t>
      </w:r>
      <w:r w:rsidR="00543B78">
        <w:t>.</w:t>
      </w:r>
      <w:r>
        <w:rPr>
          <w:rStyle w:val="FootnoteReference"/>
        </w:rPr>
        <w:footnoteReference w:id="6"/>
      </w:r>
      <w:r w:rsidR="00543B78">
        <w:t xml:space="preserve">  </w:t>
      </w:r>
      <w:r w:rsidRPr="007A79A6" w:rsidR="007A79A6">
        <w:t>Spectrum Five conducted third-party measurements of Intelsat 30 and Intelsat 31</w:t>
      </w:r>
      <w:r w:rsidRPr="002F50CD" w:rsidR="002F50CD">
        <w:t xml:space="preserve"> </w:t>
      </w:r>
      <w:r w:rsidR="002B5376">
        <w:t>i</w:t>
      </w:r>
      <w:r w:rsidR="002F50CD">
        <w:t>n connection with the petition</w:t>
      </w:r>
      <w:r w:rsidRPr="007A79A6" w:rsidR="007A79A6">
        <w:t>.</w:t>
      </w:r>
      <w:r>
        <w:rPr>
          <w:rStyle w:val="FootnoteReference"/>
        </w:rPr>
        <w:footnoteReference w:id="7"/>
      </w:r>
      <w:r w:rsidR="007A79A6">
        <w:t xml:space="preserve">  </w:t>
      </w:r>
      <w:r w:rsidR="00A46D17">
        <w:t xml:space="preserve">Intelsat </w:t>
      </w:r>
      <w:r w:rsidR="00E4058A">
        <w:t xml:space="preserve">License LLC </w:t>
      </w:r>
      <w:r w:rsidR="00A46D17">
        <w:t xml:space="preserve">and </w:t>
      </w:r>
      <w:r w:rsidRPr="00A46D17" w:rsidR="00A46D17">
        <w:t>AT&amp;T Services, Inc.</w:t>
      </w:r>
      <w:r w:rsidR="00B5679B">
        <w:t>,</w:t>
      </w:r>
      <w:r w:rsidRPr="00A46D17" w:rsidR="00A46D17">
        <w:t xml:space="preserve"> </w:t>
      </w:r>
      <w:r w:rsidR="00A46D17">
        <w:t xml:space="preserve">opposed </w:t>
      </w:r>
      <w:r w:rsidR="00685C03">
        <w:t>Spectrum Five’s</w:t>
      </w:r>
      <w:r w:rsidR="00A46D17">
        <w:t xml:space="preserve"> petition.</w:t>
      </w:r>
      <w:r>
        <w:rPr>
          <w:rStyle w:val="FootnoteReference"/>
        </w:rPr>
        <w:footnoteReference w:id="8"/>
      </w:r>
    </w:p>
    <w:p w:rsidR="0031658C" w:rsidP="00297B73" w14:paraId="6D0CAA10" w14:textId="28C567BA">
      <w:pPr>
        <w:pStyle w:val="ParaNum"/>
        <w:widowControl/>
      </w:pPr>
      <w:r>
        <w:t xml:space="preserve">On </w:t>
      </w:r>
      <w:r w:rsidRPr="00A64A34" w:rsidR="00A64A34">
        <w:t>Aug</w:t>
      </w:r>
      <w:r w:rsidR="00A64A34">
        <w:t>ust</w:t>
      </w:r>
      <w:r w:rsidRPr="00A64A34" w:rsidR="00A64A34">
        <w:t xml:space="preserve"> 26, 2021</w:t>
      </w:r>
      <w:r w:rsidR="00A64A34">
        <w:t xml:space="preserve">, Intelsat filed applications for assignment and transfer of control of Commission authorizations in connection with its </w:t>
      </w:r>
      <w:r w:rsidR="00F80213">
        <w:t>planned</w:t>
      </w:r>
      <w:r w:rsidR="00A64A34">
        <w:t xml:space="preserve"> emergence from bankruptcy.</w:t>
      </w:r>
      <w:r>
        <w:rPr>
          <w:rStyle w:val="FootnoteReference"/>
        </w:rPr>
        <w:footnoteReference w:id="9"/>
      </w:r>
      <w:r w:rsidR="00A64A34">
        <w:t xml:space="preserve">  </w:t>
      </w:r>
      <w:r w:rsidR="00A7697B">
        <w:t xml:space="preserve">A public notice </w:t>
      </w:r>
      <w:r w:rsidR="00A7697B">
        <w:t>released September 24, 2021, provided 3</w:t>
      </w:r>
      <w:r w:rsidR="00F074D5">
        <w:t>1</w:t>
      </w:r>
      <w:r w:rsidR="00A7697B">
        <w:t xml:space="preserve"> days for the filing of comments on the Intelsat applications, </w:t>
      </w:r>
      <w:r w:rsidR="00B806AB">
        <w:t>until</w:t>
      </w:r>
      <w:r w:rsidR="00A7697B">
        <w:t xml:space="preserve"> </w:t>
      </w:r>
      <w:r w:rsidRPr="00135E62" w:rsidR="00135E62">
        <w:t>October 25, 2021</w:t>
      </w:r>
      <w:r w:rsidR="00A7697B">
        <w:t>.</w:t>
      </w:r>
      <w:r>
        <w:rPr>
          <w:rStyle w:val="FootnoteReference"/>
        </w:rPr>
        <w:footnoteReference w:id="10"/>
      </w:r>
    </w:p>
    <w:p w:rsidR="00E4058A" w:rsidP="001C3BC7" w14:paraId="5CD5825A" w14:textId="7DDB200C">
      <w:pPr>
        <w:pStyle w:val="ParaNum"/>
      </w:pPr>
      <w:r w:rsidRPr="0031658C">
        <w:t xml:space="preserve">Spectrum Five requests a 30-day extension </w:t>
      </w:r>
      <w:r w:rsidR="00A31B54">
        <w:t xml:space="preserve">of the comment deadline, until </w:t>
      </w:r>
      <w:r w:rsidRPr="00B17452" w:rsidR="00B17452">
        <w:t>November 24, 2021</w:t>
      </w:r>
      <w:r w:rsidR="00A31B54">
        <w:t>, so that it may “</w:t>
      </w:r>
      <w:r w:rsidRPr="0031658C">
        <w:t xml:space="preserve">conduct additional testing to determine whether Spectrum Five and Intelsat </w:t>
      </w:r>
      <w:r w:rsidR="00A31B54">
        <w:t xml:space="preserve">[space] </w:t>
      </w:r>
      <w:r w:rsidRPr="0031658C">
        <w:t>stations can both operate and peacefully coexist</w:t>
      </w:r>
      <w:r w:rsidR="00A31B54">
        <w:t>.”</w:t>
      </w:r>
      <w:r>
        <w:rPr>
          <w:rStyle w:val="FootnoteReference"/>
        </w:rPr>
        <w:footnoteReference w:id="11"/>
      </w:r>
      <w:r w:rsidRPr="0031658C">
        <w:t xml:space="preserve"> </w:t>
      </w:r>
      <w:r w:rsidR="00725E6A">
        <w:t xml:space="preserve"> </w:t>
      </w:r>
      <w:r w:rsidR="00B17452">
        <w:t>Intelsat opposes the extension request.</w:t>
      </w:r>
      <w:r>
        <w:rPr>
          <w:rStyle w:val="FootnoteReference"/>
        </w:rPr>
        <w:footnoteReference w:id="12"/>
      </w:r>
    </w:p>
    <w:p w:rsidR="00F5338A" w:rsidP="009871FD" w14:paraId="6B6DDEF5" w14:textId="7F28418E">
      <w:pPr>
        <w:pStyle w:val="ParaNum"/>
      </w:pPr>
      <w:r w:rsidRPr="00F5338A">
        <w:t>It is the policy of the Commission that extensions of time shall not be routinely granted.</w:t>
      </w:r>
      <w:r>
        <w:rPr>
          <w:rStyle w:val="FootnoteReference"/>
        </w:rPr>
        <w:footnoteReference w:id="13"/>
      </w:r>
      <w:r w:rsidR="00715910">
        <w:t xml:space="preserve">  </w:t>
      </w:r>
      <w:r w:rsidR="00832A22">
        <w:t xml:space="preserve">In its Motion, Spectrum Five does not </w:t>
      </w:r>
      <w:r w:rsidR="00FC7048">
        <w:t>describe the specific</w:t>
      </w:r>
      <w:r w:rsidR="00142CF2">
        <w:t xml:space="preserve"> additional testing</w:t>
      </w:r>
      <w:r w:rsidR="00FC7048">
        <w:t>,</w:t>
      </w:r>
      <w:r w:rsidR="00142CF2">
        <w:t xml:space="preserve"> </w:t>
      </w:r>
      <w:r w:rsidR="00F30E0B">
        <w:t xml:space="preserve">or </w:t>
      </w:r>
      <w:r w:rsidR="00FC7048">
        <w:t xml:space="preserve">why such testing </w:t>
      </w:r>
      <w:r w:rsidR="00142CF2">
        <w:t xml:space="preserve">could not </w:t>
      </w:r>
      <w:r w:rsidR="001D4E17">
        <w:t>be</w:t>
      </w:r>
      <w:r w:rsidR="003F6A44">
        <w:t xml:space="preserve"> </w:t>
      </w:r>
      <w:r w:rsidR="00142CF2">
        <w:t>performed prior to the comment deadline</w:t>
      </w:r>
      <w:r w:rsidR="00F30E0B">
        <w:t xml:space="preserve"> or after it</w:t>
      </w:r>
      <w:r w:rsidR="00832A22">
        <w:t xml:space="preserve">.  In these circumstances, we conclude that the high standard for </w:t>
      </w:r>
      <w:r w:rsidR="00803115">
        <w:t>extension of</w:t>
      </w:r>
      <w:r w:rsidR="00832A22">
        <w:t xml:space="preserve"> the comment </w:t>
      </w:r>
      <w:r w:rsidR="00987F08">
        <w:t>deadline</w:t>
      </w:r>
      <w:r w:rsidR="00F30E0B">
        <w:t xml:space="preserve"> has not been satisfied</w:t>
      </w:r>
      <w:r w:rsidR="00832A22">
        <w:t>.</w:t>
      </w:r>
    </w:p>
    <w:p w:rsidR="009871FD" w:rsidP="009871FD" w14:paraId="43C5B4A8" w14:textId="15D0D2E7">
      <w:pPr>
        <w:pStyle w:val="ParaNum"/>
      </w:pPr>
      <w:r>
        <w:t xml:space="preserve">Accordingly, IT IS ORDERED that, pursuant to </w:t>
      </w:r>
      <w:r w:rsidR="00BD6539">
        <w:t>s</w:t>
      </w:r>
      <w:r>
        <w:t xml:space="preserve">ections 0.261 and 1.46 of the Commission’s rules, 47 C.F.R. §§ 0.261, 1.46, </w:t>
      </w:r>
      <w:r w:rsidR="00503CF8">
        <w:t>Spectrum Five’s</w:t>
      </w:r>
      <w:r>
        <w:t xml:space="preserve"> Motion </w:t>
      </w:r>
      <w:r w:rsidR="00503CF8">
        <w:t>IS</w:t>
      </w:r>
      <w:r>
        <w:t xml:space="preserve"> </w:t>
      </w:r>
      <w:r w:rsidR="00503CF8">
        <w:t>DENIED</w:t>
      </w:r>
      <w:r>
        <w:t>.</w:t>
      </w:r>
    </w:p>
    <w:p w:rsidR="009871FD" w:rsidP="009871FD" w14:paraId="346035BE" w14:textId="69FA989E">
      <w:pPr>
        <w:pStyle w:val="ParaNum"/>
        <w:numPr>
          <w:ilvl w:val="0"/>
          <w:numId w:val="0"/>
        </w:numPr>
        <w:ind w:left="720"/>
      </w:pPr>
    </w:p>
    <w:p w:rsidR="009871FD" w:rsidP="00F32429" w14:paraId="0A2DF498" w14:textId="77777777">
      <w:pPr>
        <w:pStyle w:val="ParaNum"/>
        <w:numPr>
          <w:ilvl w:val="0"/>
          <w:numId w:val="0"/>
        </w:numPr>
        <w:spacing w:after="0"/>
        <w:ind w:left="2880" w:firstLine="720"/>
      </w:pPr>
      <w:r>
        <w:t>FEDERAL COMMUNICATIONS COMMISSION</w:t>
      </w:r>
    </w:p>
    <w:p w:rsidR="009871FD" w:rsidP="009871FD" w14:paraId="57DFF2C6" w14:textId="77777777">
      <w:pPr>
        <w:pStyle w:val="ParaNum"/>
        <w:numPr>
          <w:ilvl w:val="0"/>
          <w:numId w:val="0"/>
        </w:numPr>
        <w:spacing w:after="0"/>
        <w:ind w:left="4320"/>
      </w:pPr>
    </w:p>
    <w:p w:rsidR="009871FD" w:rsidP="009871FD" w14:paraId="2DB6D4C6" w14:textId="77777777">
      <w:pPr>
        <w:pStyle w:val="ParaNum"/>
        <w:numPr>
          <w:ilvl w:val="0"/>
          <w:numId w:val="0"/>
        </w:numPr>
        <w:spacing w:after="0"/>
        <w:ind w:left="4320"/>
      </w:pPr>
    </w:p>
    <w:p w:rsidR="009871FD" w:rsidP="009871FD" w14:paraId="4F91541B" w14:textId="77777777">
      <w:pPr>
        <w:pStyle w:val="ParaNum"/>
        <w:numPr>
          <w:ilvl w:val="0"/>
          <w:numId w:val="0"/>
        </w:numPr>
        <w:spacing w:after="0"/>
        <w:ind w:left="4320"/>
      </w:pPr>
    </w:p>
    <w:p w:rsidR="009871FD" w:rsidP="009871FD" w14:paraId="64AA7CDA" w14:textId="77777777">
      <w:pPr>
        <w:pStyle w:val="ParaNum"/>
        <w:numPr>
          <w:ilvl w:val="0"/>
          <w:numId w:val="0"/>
        </w:numPr>
        <w:spacing w:after="0"/>
        <w:ind w:left="4320"/>
      </w:pPr>
    </w:p>
    <w:p w:rsidR="009871FD" w:rsidP="00F32429" w14:paraId="200D2A16" w14:textId="155478C9">
      <w:pPr>
        <w:pStyle w:val="ParaNum"/>
        <w:numPr>
          <w:ilvl w:val="0"/>
          <w:numId w:val="0"/>
        </w:numPr>
        <w:spacing w:after="0"/>
        <w:ind w:left="2880" w:firstLine="720"/>
      </w:pPr>
      <w:r>
        <w:t>Karl A. Kensinger</w:t>
      </w:r>
    </w:p>
    <w:p w:rsidR="009871FD" w:rsidP="00F32429" w14:paraId="341450AE" w14:textId="506F83E6">
      <w:pPr>
        <w:pStyle w:val="ParaNum"/>
        <w:numPr>
          <w:ilvl w:val="0"/>
          <w:numId w:val="0"/>
        </w:numPr>
        <w:spacing w:after="0"/>
        <w:ind w:left="2880" w:firstLine="720"/>
      </w:pPr>
      <w:r>
        <w:t>Chief, Satellite Division</w:t>
      </w:r>
    </w:p>
    <w:p w:rsidR="009871FD" w:rsidRPr="008F729B" w:rsidP="00F32429" w14:paraId="4DBDDEBF" w14:textId="0A67F004">
      <w:pPr>
        <w:pStyle w:val="ParaNum"/>
        <w:numPr>
          <w:ilvl w:val="0"/>
          <w:numId w:val="0"/>
        </w:numPr>
        <w:spacing w:after="0"/>
        <w:ind w:left="2880" w:firstLine="720"/>
      </w:pPr>
      <w:r>
        <w:t>International Bureau</w:t>
      </w: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6962D2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0A4FF1A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6C1FD6E7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1C8452C2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6EE3745C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62F48" w14:paraId="23401757" w14:textId="77777777">
      <w:r>
        <w:separator/>
      </w:r>
    </w:p>
  </w:footnote>
  <w:footnote w:type="continuationSeparator" w:id="1">
    <w:p w:rsidR="00D62F48" w:rsidP="00C721AC" w14:paraId="71569AAA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D62F48" w:rsidP="00C721AC" w14:paraId="7C9F7E7A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6E2DD3" w14:paraId="1E2CB630" w14:textId="7C6D14ED">
      <w:pPr>
        <w:pStyle w:val="FootnoteText"/>
      </w:pPr>
      <w:r>
        <w:rPr>
          <w:rStyle w:val="FootnoteReference"/>
        </w:rPr>
        <w:footnoteRef/>
      </w:r>
      <w:r>
        <w:t xml:space="preserve"> Motion </w:t>
      </w:r>
      <w:r w:rsidR="00F126CC">
        <w:t xml:space="preserve">of </w:t>
      </w:r>
      <w:r w:rsidRPr="006E2DD3" w:rsidR="00F126CC">
        <w:t>Spectrum Five LLC</w:t>
      </w:r>
      <w:r w:rsidR="00F126CC">
        <w:t xml:space="preserve"> </w:t>
      </w:r>
      <w:r>
        <w:t>for Extension of Time to File Comments</w:t>
      </w:r>
      <w:r w:rsidR="00B17452">
        <w:t xml:space="preserve">, </w:t>
      </w:r>
      <w:r w:rsidRPr="00AA12B9" w:rsidR="00B17452">
        <w:rPr>
          <w:spacing w:val="-2"/>
        </w:rPr>
        <w:t>IB Docket No. 21-375</w:t>
      </w:r>
      <w:r>
        <w:t xml:space="preserve"> (filed Oct. 11, 2021)</w:t>
      </w:r>
      <w:r w:rsidR="00F57EAA">
        <w:t xml:space="preserve"> (Motion)</w:t>
      </w:r>
      <w:r w:rsidR="00355EC2">
        <w:t>.</w:t>
      </w:r>
    </w:p>
  </w:footnote>
  <w:footnote w:id="4">
    <w:p w:rsidR="00543B78" w:rsidP="00543B78" w14:paraId="6A02DCD5" w14:textId="77777777">
      <w:pPr>
        <w:pStyle w:val="FootnoteText"/>
      </w:pPr>
      <w:r>
        <w:rPr>
          <w:rStyle w:val="FootnoteReference"/>
        </w:rPr>
        <w:footnoteRef/>
      </w:r>
      <w:r>
        <w:t xml:space="preserve"> Petition of Spectrum Five for Enforcement of Operational Limits and for Expedited Proceedings to Revoke Satellite Licenses, </w:t>
      </w:r>
      <w:r w:rsidRPr="00F87978">
        <w:t xml:space="preserve">IB Docket No. 20-399 </w:t>
      </w:r>
      <w:r>
        <w:t>(filed Nov. 6, 2020).</w:t>
      </w:r>
    </w:p>
  </w:footnote>
  <w:footnote w:id="5">
    <w:p w:rsidR="00543B78" w14:paraId="0FD6ADD8" w14:textId="752EDA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3B78">
        <w:rPr>
          <w:i/>
          <w:iCs/>
        </w:rPr>
        <w:t>See</w:t>
      </w:r>
      <w:r>
        <w:t xml:space="preserve"> Motion at 1-2.</w:t>
      </w:r>
    </w:p>
  </w:footnote>
  <w:footnote w:id="6">
    <w:p w:rsidR="00A21103" w14:paraId="739D47EE" w14:textId="1AD7E2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1103">
        <w:rPr>
          <w:i/>
          <w:iCs/>
        </w:rPr>
        <w:t>See id.</w:t>
      </w:r>
      <w:r>
        <w:t xml:space="preserve"> at 1.</w:t>
      </w:r>
    </w:p>
  </w:footnote>
  <w:footnote w:id="7">
    <w:p w:rsidR="007A79A6" w14:paraId="17327D26" w14:textId="3788C4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1A5D">
        <w:rPr>
          <w:i/>
          <w:iCs/>
        </w:rPr>
        <w:t>Id.</w:t>
      </w:r>
    </w:p>
  </w:footnote>
  <w:footnote w:id="8">
    <w:p w:rsidR="00A46D17" w:rsidP="00A46D17" w14:paraId="3CA3E049" w14:textId="5B63A0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C5B94">
        <w:t xml:space="preserve">Opposition of Intelsat License LLC to Petition of Spectrum Five LLC, </w:t>
      </w:r>
      <w:r w:rsidRPr="000943CE" w:rsidR="00EC5B94">
        <w:t>IB Docket No. 20-399</w:t>
      </w:r>
      <w:r w:rsidR="00EC5B94">
        <w:t xml:space="preserve"> (filed Dec. 8, 2020); </w:t>
      </w:r>
      <w:r>
        <w:t>Letter from Michael P. Goggin</w:t>
      </w:r>
      <w:r w:rsidR="00355606">
        <w:t>,</w:t>
      </w:r>
      <w:r>
        <w:t xml:space="preserve"> Assistant Vice President </w:t>
      </w:r>
      <w:r w:rsidR="000943CE">
        <w:t xml:space="preserve">- </w:t>
      </w:r>
      <w:r>
        <w:t>Senior Legal Counsel</w:t>
      </w:r>
      <w:r w:rsidR="000943CE">
        <w:t>,</w:t>
      </w:r>
      <w:r>
        <w:t xml:space="preserve"> AT&amp;T Services, Inc.</w:t>
      </w:r>
      <w:r w:rsidR="000943CE">
        <w:t xml:space="preserve">, </w:t>
      </w:r>
      <w:r w:rsidR="00857393">
        <w:t>to Marlene H. Dortch, Secretary, FCC</w:t>
      </w:r>
      <w:r w:rsidR="00350615">
        <w:t>,</w:t>
      </w:r>
      <w:r w:rsidR="00857393">
        <w:t xml:space="preserve"> </w:t>
      </w:r>
      <w:r w:rsidRPr="000943CE" w:rsidR="000943CE">
        <w:t>IB Docket No. 20-399</w:t>
      </w:r>
      <w:r w:rsidR="000943CE">
        <w:t xml:space="preserve"> (filed Dec. 8, 2020)</w:t>
      </w:r>
      <w:r w:rsidR="008E41F5">
        <w:t>.</w:t>
      </w:r>
    </w:p>
  </w:footnote>
  <w:footnote w:id="9">
    <w:p w:rsidR="005A194D" w14:paraId="2FE4FB69" w14:textId="16353C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2BB9">
        <w:rPr>
          <w:i/>
          <w:iCs/>
        </w:rPr>
        <w:t>See</w:t>
      </w:r>
      <w:r w:rsidR="009D570B">
        <w:rPr>
          <w:i/>
          <w:iCs/>
        </w:rPr>
        <w:t>, e.g.,</w:t>
      </w:r>
      <w:r>
        <w:t xml:space="preserve"> </w:t>
      </w:r>
      <w:r w:rsidRPr="00412BB9">
        <w:t xml:space="preserve">Application for Assignment of Authorizations </w:t>
      </w:r>
      <w:r>
        <w:t xml:space="preserve">held by </w:t>
      </w:r>
      <w:r w:rsidRPr="00412BB9">
        <w:t>Intelsat License</w:t>
      </w:r>
      <w:r>
        <w:t>, as debtor-in-possession,</w:t>
      </w:r>
      <w:r w:rsidRPr="00412BB9">
        <w:t xml:space="preserve"> </w:t>
      </w:r>
      <w:r>
        <w:t xml:space="preserve">IBFS File No. </w:t>
      </w:r>
      <w:r w:rsidRPr="00412BB9">
        <w:t>SAT-ASG-20210826-00117</w:t>
      </w:r>
      <w:r>
        <w:t xml:space="preserve"> </w:t>
      </w:r>
      <w:r w:rsidRPr="00C25666">
        <w:t xml:space="preserve">(filed </w:t>
      </w:r>
      <w:r>
        <w:t>Aug. 26</w:t>
      </w:r>
      <w:r w:rsidRPr="00C25666">
        <w:t>, 2021)</w:t>
      </w:r>
      <w:r>
        <w:t>.</w:t>
      </w:r>
    </w:p>
  </w:footnote>
  <w:footnote w:id="10">
    <w:p w:rsidR="00A31B54" w14:paraId="2FE124BF" w14:textId="10C7E9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E2DD3" w:rsidR="00613F25">
        <w:rPr>
          <w:i/>
          <w:iCs/>
        </w:rPr>
        <w:t>Applications Filed for Assignment and Transfer of Control by Intelsat S.A., as Debtor-in-Possession</w:t>
      </w:r>
      <w:r w:rsidR="00613F25">
        <w:t xml:space="preserve">, Public Notice, </w:t>
      </w:r>
      <w:r w:rsidRPr="006E2DD3" w:rsidR="00613F25">
        <w:t>DA 21-1200</w:t>
      </w:r>
      <w:r w:rsidR="00870D3A">
        <w:t>,</w:t>
      </w:r>
      <w:r w:rsidRPr="00870D3A" w:rsidR="00870D3A">
        <w:rPr>
          <w:spacing w:val="-2"/>
        </w:rPr>
        <w:t xml:space="preserve"> </w:t>
      </w:r>
      <w:r w:rsidRPr="00AA12B9" w:rsidR="00870D3A">
        <w:rPr>
          <w:spacing w:val="-2"/>
        </w:rPr>
        <w:t>IB Docket No. 21-375</w:t>
      </w:r>
      <w:r w:rsidR="00613F25">
        <w:t xml:space="preserve"> (IB, WTB, and OET, Sept. 24, 2021)</w:t>
      </w:r>
      <w:r>
        <w:t>.</w:t>
      </w:r>
      <w:r w:rsidR="00771FD1">
        <w:t xml:space="preserve">  Because the end of the standard 30-day comment period would fall on Sunday, October 24, the filing deadline was extended to the </w:t>
      </w:r>
      <w:r w:rsidR="00B31D9A">
        <w:t>next</w:t>
      </w:r>
      <w:r w:rsidR="00771FD1">
        <w:t xml:space="preserve"> </w:t>
      </w:r>
      <w:r w:rsidR="00D169A2">
        <w:t>business day</w:t>
      </w:r>
      <w:r w:rsidR="00771FD1">
        <w:t xml:space="preserve">.  </w:t>
      </w:r>
      <w:r w:rsidRPr="00D169A2" w:rsidR="00D169A2">
        <w:rPr>
          <w:i/>
          <w:iCs/>
        </w:rPr>
        <w:t>See</w:t>
      </w:r>
      <w:r w:rsidR="00D169A2">
        <w:t xml:space="preserve"> 47 CFR §§ 1.4(j), 25.154(</w:t>
      </w:r>
      <w:r w:rsidR="001B7EF1">
        <w:t>a</w:t>
      </w:r>
      <w:r w:rsidR="00D169A2">
        <w:t>)</w:t>
      </w:r>
      <w:r w:rsidR="001B7EF1">
        <w:t>(2)</w:t>
      </w:r>
      <w:r w:rsidR="00D169A2">
        <w:t>.</w:t>
      </w:r>
    </w:p>
  </w:footnote>
  <w:footnote w:id="11">
    <w:p w:rsidR="00B17452" w14:paraId="563E9B5A" w14:textId="56CCD5A8">
      <w:pPr>
        <w:pStyle w:val="FootnoteText"/>
      </w:pPr>
      <w:r>
        <w:rPr>
          <w:rStyle w:val="FootnoteReference"/>
        </w:rPr>
        <w:footnoteRef/>
      </w:r>
      <w:r>
        <w:t xml:space="preserve"> Motion at 2.</w:t>
      </w:r>
    </w:p>
  </w:footnote>
  <w:footnote w:id="12">
    <w:p w:rsidR="00B17452" w14:paraId="6C29B750" w14:textId="23A039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7452">
        <w:t xml:space="preserve">Opposition </w:t>
      </w:r>
      <w:r w:rsidR="000031BE">
        <w:t xml:space="preserve">of </w:t>
      </w:r>
      <w:r w:rsidRPr="00B17452" w:rsidR="000031BE">
        <w:t>Intelsat License LLC</w:t>
      </w:r>
      <w:r w:rsidR="000031BE">
        <w:t xml:space="preserve"> </w:t>
      </w:r>
      <w:r>
        <w:t>t</w:t>
      </w:r>
      <w:r w:rsidRPr="00B17452">
        <w:t xml:space="preserve">o Motion </w:t>
      </w:r>
      <w:r>
        <w:t>f</w:t>
      </w:r>
      <w:r w:rsidRPr="00B17452">
        <w:t xml:space="preserve">or Extension </w:t>
      </w:r>
      <w:r>
        <w:t>o</w:t>
      </w:r>
      <w:r w:rsidRPr="00B17452">
        <w:t xml:space="preserve">f Time </w:t>
      </w:r>
      <w:r>
        <w:t>t</w:t>
      </w:r>
      <w:r w:rsidRPr="00B17452">
        <w:t>o File Comments</w:t>
      </w:r>
      <w:r>
        <w:t xml:space="preserve">, </w:t>
      </w:r>
      <w:r w:rsidRPr="00AA12B9">
        <w:rPr>
          <w:spacing w:val="-2"/>
        </w:rPr>
        <w:t>IB Docket No. 21-375</w:t>
      </w:r>
      <w:r>
        <w:rPr>
          <w:spacing w:val="-2"/>
        </w:rPr>
        <w:t xml:space="preserve"> (filed Oct. 14, 2021).</w:t>
      </w:r>
    </w:p>
  </w:footnote>
  <w:footnote w:id="13">
    <w:p w:rsidR="00F5338A" w14:paraId="5306C24C" w14:textId="7BC9A533">
      <w:pPr>
        <w:pStyle w:val="FootnoteText"/>
      </w:pPr>
      <w:r>
        <w:rPr>
          <w:rStyle w:val="FootnoteReference"/>
        </w:rPr>
        <w:footnoteRef/>
      </w:r>
      <w:r>
        <w:t xml:space="preserve"> 47 CFR § 1.46(a).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34EEC24" w14:textId="23F71437">
    <w:pPr>
      <w:pStyle w:val="Header"/>
      <w:rPr>
        <w:b w:val="0"/>
      </w:rPr>
    </w:pPr>
    <w:r>
      <w:tab/>
      <w:t>Federal Communications Commission</w:t>
    </w:r>
    <w:r>
      <w:tab/>
    </w:r>
    <w:r w:rsidR="007A7C55">
      <w:t>DA 21-</w:t>
    </w:r>
    <w:r w:rsidR="006D06A2">
      <w:t>1324</w:t>
    </w:r>
  </w:p>
  <w:p w:rsidR="00D25FB5" w14:paraId="75C5EA48" w14:textId="0774350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44B9B7C1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6F88CF9F" w14:textId="426A1E45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7A7C55">
      <w:rPr>
        <w:spacing w:val="-2"/>
      </w:rPr>
      <w:t>DA 21-</w:t>
    </w:r>
    <w:r w:rsidR="006D06A2">
      <w:rPr>
        <w:spacing w:val="-2"/>
      </w:rPr>
      <w:t>1324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5E"/>
    <w:rsid w:val="000031BE"/>
    <w:rsid w:val="00036039"/>
    <w:rsid w:val="00037F90"/>
    <w:rsid w:val="00052CE5"/>
    <w:rsid w:val="000875BF"/>
    <w:rsid w:val="000943CE"/>
    <w:rsid w:val="00096D8C"/>
    <w:rsid w:val="000B0E74"/>
    <w:rsid w:val="000C0B65"/>
    <w:rsid w:val="000E05FE"/>
    <w:rsid w:val="000E3D42"/>
    <w:rsid w:val="00122BD5"/>
    <w:rsid w:val="00132D01"/>
    <w:rsid w:val="00133F79"/>
    <w:rsid w:val="00135E62"/>
    <w:rsid w:val="00142CF2"/>
    <w:rsid w:val="00152259"/>
    <w:rsid w:val="00194A66"/>
    <w:rsid w:val="001B7EF1"/>
    <w:rsid w:val="001C3A8D"/>
    <w:rsid w:val="001C3BC7"/>
    <w:rsid w:val="001D4E17"/>
    <w:rsid w:val="001D6BCF"/>
    <w:rsid w:val="001E01CA"/>
    <w:rsid w:val="00231A1B"/>
    <w:rsid w:val="00255C79"/>
    <w:rsid w:val="00275CF5"/>
    <w:rsid w:val="0028301F"/>
    <w:rsid w:val="00285017"/>
    <w:rsid w:val="002855B8"/>
    <w:rsid w:val="00296B12"/>
    <w:rsid w:val="00297B73"/>
    <w:rsid w:val="002A2D2E"/>
    <w:rsid w:val="002B0658"/>
    <w:rsid w:val="002B5376"/>
    <w:rsid w:val="002C00E8"/>
    <w:rsid w:val="002F50CD"/>
    <w:rsid w:val="0031658C"/>
    <w:rsid w:val="00326BA2"/>
    <w:rsid w:val="00340D83"/>
    <w:rsid w:val="00343749"/>
    <w:rsid w:val="00350615"/>
    <w:rsid w:val="00355606"/>
    <w:rsid w:val="00355EC2"/>
    <w:rsid w:val="003660ED"/>
    <w:rsid w:val="00371D89"/>
    <w:rsid w:val="003B0550"/>
    <w:rsid w:val="003B694F"/>
    <w:rsid w:val="003F171C"/>
    <w:rsid w:val="003F6A44"/>
    <w:rsid w:val="00412BB9"/>
    <w:rsid w:val="00412D19"/>
    <w:rsid w:val="00412FC5"/>
    <w:rsid w:val="00422276"/>
    <w:rsid w:val="004242F1"/>
    <w:rsid w:val="00445A00"/>
    <w:rsid w:val="00451B0F"/>
    <w:rsid w:val="004C2EE3"/>
    <w:rsid w:val="004D2797"/>
    <w:rsid w:val="004E4A22"/>
    <w:rsid w:val="00503CF8"/>
    <w:rsid w:val="00507017"/>
    <w:rsid w:val="00511968"/>
    <w:rsid w:val="00543B78"/>
    <w:rsid w:val="0055614C"/>
    <w:rsid w:val="00566D06"/>
    <w:rsid w:val="005905E3"/>
    <w:rsid w:val="005A194D"/>
    <w:rsid w:val="005D14E7"/>
    <w:rsid w:val="005D7A72"/>
    <w:rsid w:val="005E14C2"/>
    <w:rsid w:val="00607BA5"/>
    <w:rsid w:val="0061180A"/>
    <w:rsid w:val="00613F25"/>
    <w:rsid w:val="00623FAB"/>
    <w:rsid w:val="006240EA"/>
    <w:rsid w:val="00626EB6"/>
    <w:rsid w:val="00655D03"/>
    <w:rsid w:val="00683388"/>
    <w:rsid w:val="00683F84"/>
    <w:rsid w:val="00685C03"/>
    <w:rsid w:val="006A6A81"/>
    <w:rsid w:val="006B4544"/>
    <w:rsid w:val="006D06A2"/>
    <w:rsid w:val="006E2DD3"/>
    <w:rsid w:val="006F7393"/>
    <w:rsid w:val="0070224F"/>
    <w:rsid w:val="007115F7"/>
    <w:rsid w:val="00715910"/>
    <w:rsid w:val="00725E6A"/>
    <w:rsid w:val="0075322A"/>
    <w:rsid w:val="00771FD1"/>
    <w:rsid w:val="00785689"/>
    <w:rsid w:val="0079754B"/>
    <w:rsid w:val="007A1E6D"/>
    <w:rsid w:val="007A77FA"/>
    <w:rsid w:val="007A79A6"/>
    <w:rsid w:val="007A7C55"/>
    <w:rsid w:val="007B0EB2"/>
    <w:rsid w:val="007D2B67"/>
    <w:rsid w:val="008029C1"/>
    <w:rsid w:val="00803115"/>
    <w:rsid w:val="00810B6F"/>
    <w:rsid w:val="00822CE0"/>
    <w:rsid w:val="00832A22"/>
    <w:rsid w:val="00841AB1"/>
    <w:rsid w:val="00857393"/>
    <w:rsid w:val="00865C2F"/>
    <w:rsid w:val="00870D3A"/>
    <w:rsid w:val="00881E68"/>
    <w:rsid w:val="008877DE"/>
    <w:rsid w:val="008A429D"/>
    <w:rsid w:val="008C68F1"/>
    <w:rsid w:val="008E41F5"/>
    <w:rsid w:val="008F729B"/>
    <w:rsid w:val="009210A6"/>
    <w:rsid w:val="00921803"/>
    <w:rsid w:val="00926503"/>
    <w:rsid w:val="009726D8"/>
    <w:rsid w:val="009831F1"/>
    <w:rsid w:val="009871FD"/>
    <w:rsid w:val="00987F08"/>
    <w:rsid w:val="009D570B"/>
    <w:rsid w:val="009D7308"/>
    <w:rsid w:val="009F255E"/>
    <w:rsid w:val="009F76DB"/>
    <w:rsid w:val="00A164DF"/>
    <w:rsid w:val="00A21103"/>
    <w:rsid w:val="00A31B54"/>
    <w:rsid w:val="00A32C3B"/>
    <w:rsid w:val="00A352FB"/>
    <w:rsid w:val="00A45F4F"/>
    <w:rsid w:val="00A46D17"/>
    <w:rsid w:val="00A600A9"/>
    <w:rsid w:val="00A64A34"/>
    <w:rsid w:val="00A7697B"/>
    <w:rsid w:val="00A969E1"/>
    <w:rsid w:val="00AA12B9"/>
    <w:rsid w:val="00AA55B7"/>
    <w:rsid w:val="00AA5B9E"/>
    <w:rsid w:val="00AB2407"/>
    <w:rsid w:val="00AB53DF"/>
    <w:rsid w:val="00B07E5C"/>
    <w:rsid w:val="00B17452"/>
    <w:rsid w:val="00B21A5A"/>
    <w:rsid w:val="00B31D9A"/>
    <w:rsid w:val="00B55680"/>
    <w:rsid w:val="00B5679B"/>
    <w:rsid w:val="00B7316B"/>
    <w:rsid w:val="00B772D9"/>
    <w:rsid w:val="00B806AB"/>
    <w:rsid w:val="00B811F7"/>
    <w:rsid w:val="00B941B2"/>
    <w:rsid w:val="00BA5DC6"/>
    <w:rsid w:val="00BA6196"/>
    <w:rsid w:val="00BC6D8C"/>
    <w:rsid w:val="00BD52D2"/>
    <w:rsid w:val="00BD6539"/>
    <w:rsid w:val="00C1257B"/>
    <w:rsid w:val="00C25666"/>
    <w:rsid w:val="00C34006"/>
    <w:rsid w:val="00C36B4C"/>
    <w:rsid w:val="00C426B1"/>
    <w:rsid w:val="00C66160"/>
    <w:rsid w:val="00C667DA"/>
    <w:rsid w:val="00C721AC"/>
    <w:rsid w:val="00C90D6A"/>
    <w:rsid w:val="00CA247E"/>
    <w:rsid w:val="00CA6D21"/>
    <w:rsid w:val="00CC72B6"/>
    <w:rsid w:val="00D0218D"/>
    <w:rsid w:val="00D169A2"/>
    <w:rsid w:val="00D25FB5"/>
    <w:rsid w:val="00D44223"/>
    <w:rsid w:val="00D62F48"/>
    <w:rsid w:val="00D94580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4058A"/>
    <w:rsid w:val="00E5409F"/>
    <w:rsid w:val="00E70758"/>
    <w:rsid w:val="00EC49BB"/>
    <w:rsid w:val="00EC5B94"/>
    <w:rsid w:val="00EE6488"/>
    <w:rsid w:val="00F021FA"/>
    <w:rsid w:val="00F074D5"/>
    <w:rsid w:val="00F126CC"/>
    <w:rsid w:val="00F151EB"/>
    <w:rsid w:val="00F30E0B"/>
    <w:rsid w:val="00F32429"/>
    <w:rsid w:val="00F53230"/>
    <w:rsid w:val="00F5338A"/>
    <w:rsid w:val="00F57EAA"/>
    <w:rsid w:val="00F62E97"/>
    <w:rsid w:val="00F64209"/>
    <w:rsid w:val="00F80213"/>
    <w:rsid w:val="00F87978"/>
    <w:rsid w:val="00F93BF5"/>
    <w:rsid w:val="00FA1A5D"/>
    <w:rsid w:val="00FB2926"/>
    <w:rsid w:val="00FC7048"/>
    <w:rsid w:val="00FF616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B877E50"/>
  <w15:chartTrackingRefBased/>
  <w15:docId w15:val="{E19982D7-833C-4A46-83D0-667C6939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FB29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92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B2926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B2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2926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