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7743C9" w:rsidP="00140750" w14:paraId="2310D2D0" w14:textId="6BB795A4">
            <w:pPr>
              <w:tabs>
                <w:tab w:val="center" w:pos="4680"/>
              </w:tabs>
              <w:suppressAutoHyphens/>
              <w:rPr>
                <w:b/>
                <w:bCs/>
                <w:spacing w:val="-2"/>
                <w:lang w:val="es-ES"/>
              </w:rPr>
            </w:pPr>
            <w:r>
              <w:rPr>
                <w:b/>
                <w:bCs/>
                <w:spacing w:val="-2"/>
                <w:lang w:val="es-ES"/>
              </w:rPr>
              <w:t>Katie Davis</w:t>
            </w:r>
          </w:p>
          <w:p w:rsidR="00140750" w:rsidRPr="007743C9" w:rsidP="00140750" w14:paraId="57743B9F" w14:textId="77777777">
            <w:pPr>
              <w:tabs>
                <w:tab w:val="center" w:pos="4680"/>
              </w:tabs>
              <w:suppressAutoHyphens/>
              <w:rPr>
                <w:spacing w:val="-2"/>
                <w:lang w:val="es-ES"/>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71A57E0C">
            <w:pPr>
              <w:tabs>
                <w:tab w:val="center" w:pos="4680"/>
              </w:tabs>
              <w:suppressAutoHyphens/>
              <w:rPr>
                <w:spacing w:val="-2"/>
              </w:rPr>
            </w:pPr>
            <w:r w:rsidRPr="00140750">
              <w:rPr>
                <w:spacing w:val="-2"/>
              </w:rPr>
              <w:t xml:space="preserve">FM Translator Station </w:t>
            </w:r>
            <w:r w:rsidR="007743C9">
              <w:rPr>
                <w:spacing w:val="-2"/>
              </w:rPr>
              <w:t>K26</w:t>
            </w:r>
            <w:r w:rsidR="00CF75F5">
              <w:rPr>
                <w:spacing w:val="-2"/>
              </w:rPr>
              <w:t>9AV</w:t>
            </w:r>
          </w:p>
          <w:p w:rsidR="004C2EE3" w:rsidRPr="007115F7" w:rsidP="00140750" w14:paraId="310B4D25" w14:textId="31B27423">
            <w:pPr>
              <w:tabs>
                <w:tab w:val="center" w:pos="4680"/>
              </w:tabs>
              <w:suppressAutoHyphens/>
              <w:rPr>
                <w:spacing w:val="-2"/>
              </w:rPr>
            </w:pPr>
            <w:r>
              <w:rPr>
                <w:spacing w:val="-2"/>
              </w:rPr>
              <w:t>Tonopah &amp; Goldfield, Nevada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74D77B39">
            <w:pPr>
              <w:pStyle w:val="TOAHeading"/>
              <w:tabs>
                <w:tab w:val="center" w:pos="4680"/>
              </w:tabs>
              <w:rPr>
                <w:spacing w:val="-2"/>
              </w:rPr>
            </w:pPr>
            <w:r w:rsidRPr="00140750">
              <w:rPr>
                <w:spacing w:val="-2"/>
              </w:rPr>
              <w:t xml:space="preserve">Facility ID No. </w:t>
            </w:r>
            <w:r w:rsidR="00CF75F5">
              <w:rPr>
                <w:spacing w:val="-2"/>
              </w:rPr>
              <w:t>24948</w:t>
            </w:r>
          </w:p>
          <w:p w:rsidR="00140750" w:rsidRPr="00140750" w:rsidP="00140750" w14:paraId="31F6B7E1" w14:textId="170A7A94">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bookmarkEnd w:id="0"/>
            <w:r w:rsidR="003B3F25">
              <w:rPr>
                <w:spacing w:val="-2"/>
              </w:rPr>
              <w:t>53</w:t>
            </w:r>
          </w:p>
          <w:p w:rsidR="00CF75F5" w:rsidP="00140750" w14:paraId="67C1DCD9" w14:textId="77777777">
            <w:pPr>
              <w:tabs>
                <w:tab w:val="center" w:pos="4680"/>
              </w:tabs>
              <w:suppressAutoHyphens/>
              <w:rPr>
                <w:spacing w:val="-2"/>
              </w:rPr>
            </w:pPr>
            <w:r w:rsidRPr="00140750">
              <w:rPr>
                <w:spacing w:val="-2"/>
              </w:rPr>
              <w:t>FRN:</w:t>
            </w:r>
            <w:r w:rsidR="002172BD">
              <w:rPr>
                <w:spacing w:val="-2"/>
              </w:rPr>
              <w:t xml:space="preserve"> </w:t>
            </w:r>
            <w:r>
              <w:rPr>
                <w:spacing w:val="-2"/>
              </w:rPr>
              <w:t>0010976942</w:t>
            </w:r>
          </w:p>
          <w:p w:rsidR="004C2EE3" w:rsidP="00140750" w14:paraId="0C593CF4" w14:textId="6F32449D">
            <w:pPr>
              <w:tabs>
                <w:tab w:val="center" w:pos="4680"/>
              </w:tabs>
              <w:suppressAutoHyphens/>
              <w:rPr>
                <w:spacing w:val="-2"/>
              </w:rPr>
            </w:pPr>
            <w:r w:rsidRPr="00140750">
              <w:rPr>
                <w:spacing w:val="-2"/>
              </w:rPr>
              <w:t xml:space="preserve">File No. </w:t>
            </w:r>
            <w:r w:rsidR="00CF75F5">
              <w:rPr>
                <w:spacing w:val="-2"/>
              </w:rPr>
              <w:t>0000154258</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17DA7521">
      <w:pPr>
        <w:tabs>
          <w:tab w:val="left" w:pos="720"/>
          <w:tab w:val="right" w:pos="9360"/>
        </w:tabs>
        <w:suppressAutoHyphens/>
        <w:spacing w:line="227" w:lineRule="auto"/>
        <w:rPr>
          <w:spacing w:val="-2"/>
        </w:rPr>
      </w:pPr>
      <w:r w:rsidRPr="003F17E2">
        <w:rPr>
          <w:b/>
          <w:spacing w:val="-2"/>
        </w:rPr>
        <w:t xml:space="preserve">Adopted:  </w:t>
      </w:r>
      <w:r w:rsidR="003B3F25">
        <w:rPr>
          <w:b/>
          <w:spacing w:val="-2"/>
        </w:rPr>
        <w:t>October 22,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3B3F25">
        <w:rPr>
          <w:b/>
          <w:spacing w:val="-2"/>
        </w:rPr>
        <w:t>October 25,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7682CBDD">
      <w:pPr>
        <w:pStyle w:val="ParaNum"/>
        <w:rPr>
          <w:szCs w:val="22"/>
        </w:rPr>
      </w:pPr>
      <w:r>
        <w:t>The Media Bureau (Bureau) has before it the application (Application)</w:t>
      </w:r>
      <w:r>
        <w:rPr>
          <w:rStyle w:val="FootnoteReference"/>
        </w:rPr>
        <w:footnoteReference w:id="3"/>
      </w:r>
      <w:r>
        <w:t xml:space="preserve"> </w:t>
      </w:r>
      <w:r w:rsidR="00DE2951">
        <w:t xml:space="preserve">of </w:t>
      </w:r>
      <w:r w:rsidR="00CF75F5">
        <w:t>Katie Davis</w:t>
      </w:r>
      <w:r w:rsidR="000F6468">
        <w:t xml:space="preserve"> </w:t>
      </w:r>
      <w:r w:rsidRPr="00DB10EE" w:rsidR="00DB10EE">
        <w:t xml:space="preserve">(Licensee) for renewal of license for FM translator station </w:t>
      </w:r>
      <w:r w:rsidR="00AF64B2">
        <w:t>K26</w:t>
      </w:r>
      <w:r w:rsidR="00CF75F5">
        <w:t>9AV</w:t>
      </w:r>
      <w:r w:rsidR="00AF64B2">
        <w:t xml:space="preserve">, </w:t>
      </w:r>
      <w:r w:rsidR="00CF75F5">
        <w:t>Tonopah &amp; Goldfield, Nevada</w:t>
      </w:r>
      <w:r w:rsidRPr="00DB10EE" w:rsidR="00DB10EE">
        <w:t xml:space="preserve"> (Station).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07E3CCD0">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E66756" w:rsidR="00E66756">
        <w:t xml:space="preserve">An application for renewal of the Station’s license should have been filed by </w:t>
      </w:r>
      <w:r w:rsidR="00CF75F5">
        <w:t>June</w:t>
      </w:r>
      <w:r w:rsidR="002172BD">
        <w:t xml:space="preserve"> 1</w:t>
      </w:r>
      <w:r w:rsidRPr="00E66756" w:rsidR="00E66756">
        <w:t>, 202</w:t>
      </w:r>
      <w:r w:rsidR="00CF75F5">
        <w:t>1</w:t>
      </w:r>
      <w:r w:rsidRPr="00E66756" w:rsidR="00E66756">
        <w:t xml:space="preserve">, the first business day of the fourth full calendar month prior to the Station’s </w:t>
      </w:r>
      <w:r w:rsidR="00CF75F5">
        <w:t>October</w:t>
      </w:r>
      <w:r w:rsidR="002172BD">
        <w:t xml:space="preserve"> 1, 2021</w:t>
      </w:r>
      <w:r w:rsidRPr="00E66756" w:rsidR="00E66756">
        <w:t xml:space="preserve"> license expiration date.</w:t>
      </w:r>
      <w:r>
        <w:rPr>
          <w:vertAlign w:val="superscript"/>
        </w:rPr>
        <w:footnoteReference w:id="7"/>
      </w:r>
      <w:r w:rsidR="00E66756">
        <w:t xml:space="preserve"> </w:t>
      </w:r>
      <w:r>
        <w:t xml:space="preserve"> The Application was not filed until </w:t>
      </w:r>
      <w:r w:rsidR="00CF75F5">
        <w:t>July 28</w:t>
      </w:r>
      <w:r w:rsidR="002172BD">
        <w:t xml:space="preserve">, </w:t>
      </w:r>
      <w:r>
        <w:t>202</w:t>
      </w:r>
      <w:r w:rsidR="002172BD">
        <w:t>1</w:t>
      </w:r>
      <w:r>
        <w:t xml:space="preserve">.  </w:t>
      </w:r>
      <w:r w:rsidR="002172BD">
        <w:t>Licensee does not provide an explanation for its failure to timely file the Application.</w:t>
      </w:r>
      <w:r>
        <w:t xml:space="preserve"> </w:t>
      </w:r>
    </w:p>
    <w:p w:rsidR="00140750" w:rsidRPr="00146D8A" w:rsidP="00140750" w14:paraId="663EEE6D" w14:textId="77777777">
      <w:pPr>
        <w:pStyle w:val="Heading1"/>
        <w:rPr>
          <w:szCs w:val="22"/>
        </w:rPr>
      </w:pPr>
      <w:r w:rsidRPr="00753410">
        <w:t>DISCUSSION</w:t>
      </w:r>
    </w:p>
    <w:p w:rsidR="00140750" w:rsidRPr="00146D8A" w:rsidP="00140750" w14:paraId="174DC642" w14:textId="41B22DEB">
      <w:pPr>
        <w:pStyle w:val="ParaNum"/>
        <w:widowControl/>
      </w:pPr>
      <w:r>
        <w:rPr>
          <w:i/>
          <w:color w:val="000000"/>
        </w:rPr>
        <w:t>Proposed Forfeiture</w:t>
      </w:r>
      <w:r>
        <w:rPr>
          <w:color w:val="000000"/>
        </w:rPr>
        <w:t xml:space="preserve">.  </w:t>
      </w:r>
      <w:r>
        <w:t xml:space="preserve">In this case, the Licensee failed to file the Application on or before </w:t>
      </w:r>
      <w:r w:rsidR="00CF75F5">
        <w:t>June 1</w:t>
      </w:r>
      <w:r w:rsidR="00E66756">
        <w:t>, 202</w:t>
      </w:r>
      <w:r w:rsidR="00CF75F5">
        <w:t>1</w:t>
      </w:r>
      <w:r>
        <w:t xml:space="preserve">, as required by section 73.3539(a) of the Rules.  The Application was not received until </w:t>
      </w:r>
      <w:r w:rsidR="00CF75F5">
        <w:t>July 28</w:t>
      </w:r>
      <w:r w:rsidR="002172BD">
        <w:t>, 2021</w:t>
      </w:r>
      <w:r>
        <w:t xml:space="preserve">.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72E73066">
      <w:pPr>
        <w:pStyle w:val="ParaNum"/>
        <w:rPr>
          <w:szCs w:val="22"/>
        </w:rPr>
      </w:pPr>
      <w:r>
        <w:t xml:space="preserve">The Commission's </w:t>
      </w:r>
      <w:r>
        <w:rPr>
          <w:i/>
        </w:rPr>
        <w:t>Forfeiture Policy Statement</w:t>
      </w:r>
      <w:r>
        <w:t xml:space="preserve"> and section 1.80(b)(</w:t>
      </w:r>
      <w:r w:rsidR="00970DD6">
        <w:t>10</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4"/>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095928D5">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w:t>
      </w:r>
      <w:r w:rsidR="00CF75F5">
        <w:t>Katie Davis</w:t>
      </w:r>
      <w:r w:rsidRPr="00DB10EE" w:rsidR="00DB10EE">
        <w:t xml:space="preserve"> is hereby </w:t>
      </w:r>
      <w:r w:rsidRPr="00DB10EE" w:rsidR="00DB10EE">
        <w:rPr>
          <w:b/>
        </w:rPr>
        <w:t>NOTIFIED</w:t>
      </w:r>
      <w:r w:rsidRPr="00DB10EE" w:rsidR="00DB10EE">
        <w:t xml:space="preserve"> of</w:t>
      </w:r>
      <w:r w:rsidR="00943ACD">
        <w:t xml:space="preserve"> </w:t>
      </w:r>
      <w:r w:rsidR="00CF75F5">
        <w:t>her</w:t>
      </w:r>
      <w:r w:rsidRPr="00DB10EE" w:rsidR="00DB10EE">
        <w:t xml:space="preserve"> </w:t>
      </w:r>
      <w:r w:rsidRPr="00DB10EE" w:rsidR="00DB10EE">
        <w:rPr>
          <w:b/>
        </w:rPr>
        <w:t>APPARENT LIABILITY FOR FORFEITURE</w:t>
      </w:r>
      <w:r w:rsidRPr="00947B4D">
        <w:t xml:space="preserve"> in the amount of </w:t>
      </w:r>
      <w:r>
        <w:t xml:space="preserve"> one thousand five hundred dollars (</w:t>
      </w:r>
      <w:r w:rsidRPr="00947B4D">
        <w:t>$</w:t>
      </w:r>
      <w:r>
        <w:t>1,500)</w:t>
      </w:r>
      <w:r w:rsidRPr="00947B4D">
        <w:t xml:space="preserve"> for </w:t>
      </w:r>
      <w:r w:rsidR="00CF75F5">
        <w:t>her</w:t>
      </w:r>
      <w:r w:rsidR="00F67AFF">
        <w:t xml:space="preserve"> </w:t>
      </w:r>
      <w:r>
        <w:t>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4CEDB41A">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CF75F5">
        <w:t>Katie Davis</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0FCD8143">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w:t>
      </w:r>
      <w:r w:rsidR="00CF75F5">
        <w:rPr>
          <w:szCs w:val="22"/>
        </w:rPr>
        <w:t>g</w:t>
      </w:r>
      <w:r w:rsidRPr="00525F98">
        <w:rPr>
          <w:szCs w:val="22"/>
        </w:rPr>
        <w:t>)(3)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6"/>
      </w:r>
      <w:r w:rsidRPr="005F7F74" w:rsidR="005F7F74">
        <w:t xml:space="preserve">  </w:t>
      </w:r>
    </w:p>
    <w:p w:rsidR="00140750" w:rsidRPr="008D4F70" w:rsidP="00257770" w14:paraId="27B417DC" w14:textId="494D7578">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rsidR="00CF75F5">
        <w:t>to Katie Davis, 1305 South Highway 395, Bishop, CA 93514</w:t>
      </w:r>
      <w:r w:rsidR="008C6117">
        <w:t xml:space="preserve">, and to </w:t>
      </w:r>
      <w:r w:rsidR="00CF75F5">
        <w:t>her counsel, Mark Denbo, Esq., Smithwick &amp; Belendiuk, P.C., 5028 Wisconsin Avenue, NW, Suite 301, Washington, DC 20016</w:t>
      </w:r>
      <w:r w:rsidR="008C6117">
        <w:t>.</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767C3102">
      <w:pPr>
        <w:pStyle w:val="FootnoteText"/>
        <w:widowControl w:val="0"/>
      </w:pPr>
      <w:r w:rsidRPr="000725CB">
        <w:rPr>
          <w:rStyle w:val="FootnoteReference"/>
        </w:rPr>
        <w:footnoteRef/>
      </w:r>
      <w:r w:rsidRPr="000725CB">
        <w:t xml:space="preserve"> File No.</w:t>
      </w:r>
      <w:r>
        <w:t xml:space="preserve"> </w:t>
      </w:r>
      <w:r w:rsidR="00AF64B2">
        <w:rPr>
          <w:szCs w:val="22"/>
        </w:rPr>
        <w:t>0000</w:t>
      </w:r>
      <w:r w:rsidR="00CF75F5">
        <w:rPr>
          <w:szCs w:val="22"/>
        </w:rPr>
        <w:t>154258</w:t>
      </w:r>
      <w:r w:rsidR="00AF64B2">
        <w:rPr>
          <w:szCs w:val="22"/>
        </w:rPr>
        <w:t>.</w:t>
      </w:r>
    </w:p>
  </w:footnote>
  <w:footnote w:id="4">
    <w:p w:rsidR="00140750" w:rsidRPr="000725CB" w:rsidP="003F17E2" w14:paraId="512D603B" w14:textId="75DC9899">
      <w:pPr>
        <w:pStyle w:val="FootnoteText"/>
        <w:widowControl w:val="0"/>
      </w:pPr>
      <w:r w:rsidRPr="000725CB">
        <w:rPr>
          <w:rStyle w:val="FootnoteReference"/>
        </w:rPr>
        <w:footnoteRef/>
      </w:r>
      <w:r w:rsidRPr="000725CB">
        <w:t xml:space="preserve"> </w:t>
      </w:r>
      <w:r w:rsidRPr="000725CB">
        <w:t xml:space="preserve">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w:t>
      </w:r>
      <w:r w:rsidRPr="000725CB">
        <w:t>47 CFR § 73.3539(a).</w:t>
      </w:r>
      <w:r>
        <w:t xml:space="preserve">  </w:t>
      </w:r>
    </w:p>
  </w:footnote>
  <w:footnote w:id="7">
    <w:p w:rsidR="00E66756" w:rsidRPr="00FF7A3C" w:rsidP="00E66756" w14:paraId="093641A3" w14:textId="24F1C330">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w:t>
      </w:r>
      <w:r w:rsidRPr="00E4519B">
        <w:t xml:space="preserve">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w:t>
      </w:r>
      <w:r w:rsidRPr="00D64E57">
        <w:rPr>
          <w:i/>
        </w:rPr>
        <w:t>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27375176">
      <w:pPr>
        <w:pStyle w:val="FootnoteText"/>
        <w:widowControl w:val="0"/>
      </w:pPr>
      <w:r w:rsidRPr="00D64E57">
        <w:rPr>
          <w:rStyle w:val="FootnoteReference"/>
        </w:rPr>
        <w:footnoteRef/>
      </w:r>
      <w:r w:rsidRPr="00D64E57">
        <w:rPr>
          <w:i/>
          <w:iCs/>
        </w:rPr>
        <w:t xml:space="preserve"> </w:t>
      </w:r>
      <w:r w:rsidRPr="00D64E57">
        <w:rPr>
          <w:i/>
          <w:iCs/>
        </w:rPr>
        <w:t>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2172BD">
        <w:t xml:space="preserve">Memorandum Opinion and Order, </w:t>
      </w:r>
      <w:r w:rsidRPr="00D64E57">
        <w:t xml:space="preserve">7 FCC </w:t>
      </w:r>
      <w:r w:rsidRPr="00D64E57">
        <w:t>Rcd</w:t>
      </w:r>
      <w:r w:rsidRPr="00D64E57">
        <w:t xml:space="preserve"> 3454 (1992</w:t>
      </w:r>
      <w:r w:rsidRPr="00600AB4">
        <w:t>).</w:t>
      </w:r>
    </w:p>
  </w:footnote>
  <w:footnote w:id="12">
    <w:p w:rsidR="00140750" w:rsidP="00140750" w14:paraId="57100D3A" w14:textId="7815788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 xml:space="preserve">15 FCC </w:t>
      </w:r>
      <w:r>
        <w:rPr>
          <w:sz w:val="20"/>
        </w:rPr>
        <w:t>Rcd</w:t>
      </w:r>
      <w:r>
        <w:rPr>
          <w:sz w:val="20"/>
        </w:rPr>
        <w:t xml:space="preserve"> 303 (1999); 47 CFR § 1.80(b)(</w:t>
      </w:r>
      <w:r w:rsidR="00CF75F5">
        <w:rPr>
          <w:sz w:val="20"/>
        </w:rPr>
        <w:t>10</w:t>
      </w:r>
      <w:r>
        <w:rPr>
          <w:sz w:val="20"/>
        </w:rPr>
        <w:t>), note to paragraph (b)(</w:t>
      </w:r>
      <w:r w:rsidR="00CF75F5">
        <w:rPr>
          <w:sz w:val="20"/>
        </w:rPr>
        <w:t>10</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w:t>
      </w:r>
      <w:r>
        <w:t xml:space="preserve">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 xml:space="preserve">Memorandum Opinion and Order and Notice of Apparent Liability, 34 FCC </w:t>
      </w:r>
      <w:r>
        <w:t>Rcd</w:t>
      </w:r>
      <w:r>
        <w:t xml:space="preserve"> 12280 (MB 2019) (proposing $1,500 forfeiture for untimely filed renewal application for FM translator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w:t>
      </w:r>
      <w:r w:rsidRPr="00D423B0">
        <w:rPr>
          <w:sz w:val="20"/>
        </w:rPr>
        <w:t>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w:t>
      </w:r>
      <w:r w:rsidRPr="00132193">
        <w:rPr>
          <w:sz w:val="20"/>
        </w:rPr>
        <w:t>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5F7F74" w14:paraId="6DDA34AA" w14:textId="3F385F2D">
      <w:pPr>
        <w:pStyle w:val="FootnoteText"/>
      </w:pPr>
      <w:r>
        <w:rPr>
          <w:rStyle w:val="FootnoteReference"/>
        </w:rPr>
        <w:footnoteRef/>
      </w:r>
      <w:r>
        <w:t xml:space="preserve"> </w:t>
      </w:r>
      <w:bookmarkStart w:id="1" w:name="_Hlk63415835"/>
      <w:r w:rsidRPr="005F7F74">
        <w:t>47 U.S.C. § 503(b)</w:t>
      </w:r>
      <w:r>
        <w:t>; 4</w:t>
      </w:r>
      <w:r w:rsidRPr="005F7F74">
        <w:t>7 CFR § 1.80.</w:t>
      </w:r>
      <w:bookmarkEnd w:id="1"/>
    </w:p>
  </w:footnote>
  <w:footnote w:id="20">
    <w:p w:rsidR="00140750" w:rsidRPr="00132193" w:rsidP="003F17E2" w14:paraId="2469170A" w14:textId="77777777">
      <w:pPr>
        <w:pStyle w:val="FootnoteText"/>
        <w:widowControl w:val="0"/>
      </w:pPr>
      <w:r w:rsidRPr="00132193">
        <w:rPr>
          <w:rStyle w:val="FootnoteReference"/>
        </w:rPr>
        <w:footnoteRef/>
      </w:r>
      <w:r w:rsidRPr="00132193">
        <w:t xml:space="preserve"> </w:t>
      </w:r>
      <w:r w:rsidRPr="00132193">
        <w:t>Payments made using the Commission’s Fee Filer system do not require the submission of an FCC Form 159.</w:t>
      </w:r>
    </w:p>
  </w:footnote>
  <w:footnote w:id="21">
    <w:p w:rsidR="00140750" w:rsidRPr="00132193" w:rsidP="003F17E2" w14:paraId="6EA5A40F" w14:textId="77777777">
      <w:pPr>
        <w:pStyle w:val="FootnoteText"/>
        <w:widowControl w:val="0"/>
      </w:pPr>
      <w:r w:rsidRPr="00132193">
        <w:rPr>
          <w:rStyle w:val="FootnoteReference"/>
        </w:rPr>
        <w:footnoteRef/>
      </w:r>
      <w:r w:rsidRPr="00132193">
        <w:t xml:space="preserve"> </w:t>
      </w:r>
      <w:r w:rsidRPr="00132193">
        <w:t xml:space="preserve">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140750" w:rsidRPr="004B33E9" w:rsidP="003F17E2" w14:paraId="6393D3F3" w14:textId="77777777">
      <w:pPr>
        <w:pStyle w:val="FootnoteText"/>
        <w:widowControl w:val="0"/>
      </w:pPr>
      <w:r w:rsidRPr="00132193">
        <w:rPr>
          <w:rStyle w:val="FootnoteReference"/>
        </w:rPr>
        <w:footnoteRef/>
      </w:r>
      <w:r w:rsidRPr="00132193">
        <w:t xml:space="preserve"> </w:t>
      </w:r>
      <w:r w:rsidRPr="00132193">
        <w:t xml:space="preserve">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C6145C" w:rsidP="00C6145C" w14:paraId="21D533EE" w14:textId="1CCB5C2B">
      <w:pPr>
        <w:pStyle w:val="FootnoteText"/>
        <w:widowControl w:val="0"/>
      </w:pPr>
      <w:r>
        <w:rPr>
          <w:rStyle w:val="FootnoteReference"/>
        </w:rPr>
        <w:footnoteRef/>
      </w:r>
      <w:r>
        <w:t xml:space="preserve"> </w:t>
      </w:r>
      <w:r>
        <w:t>47 CFR §§ 1.16 and 1.80(</w:t>
      </w:r>
      <w:r w:rsidR="00CF75F5">
        <w:t>g</w:t>
      </w:r>
      <w:r>
        <w:t>)(3).</w:t>
      </w:r>
    </w:p>
  </w:footnote>
  <w:footnote w:id="25">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6">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6C056291">
    <w:pPr>
      <w:pStyle w:val="Header"/>
      <w:rPr>
        <w:b w:val="0"/>
      </w:rPr>
    </w:pPr>
    <w:r>
      <w:tab/>
    </w:r>
    <w:r>
      <w:t>Federal Communications Commission</w:t>
    </w:r>
    <w:r>
      <w:tab/>
    </w:r>
    <w:r w:rsidR="00140750">
      <w:t>DA 2</w:t>
    </w:r>
    <w:r w:rsidR="00F02727">
      <w:t>1</w:t>
    </w:r>
    <w:r w:rsidR="00140750">
      <w:t>-</w:t>
    </w:r>
    <w:r w:rsidR="003B3F25">
      <w:t>1328</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0024808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140750">
      <w:rPr>
        <w:spacing w:val="-2"/>
      </w:rPr>
      <w:t>DA 2</w:t>
    </w:r>
    <w:r w:rsidR="00982BF9">
      <w:rPr>
        <w:spacing w:val="-2"/>
      </w:rPr>
      <w:t>1</w:t>
    </w:r>
    <w:r w:rsidR="00140750">
      <w:rPr>
        <w:spacing w:val="-2"/>
      </w:rPr>
      <w:t>-</w:t>
    </w:r>
    <w:r w:rsidR="003B3F25">
      <w:rPr>
        <w:spacing w:val="-2"/>
      </w:rPr>
      <w:t>1328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634FA"/>
    <w:rsid w:val="000725CB"/>
    <w:rsid w:val="000875BF"/>
    <w:rsid w:val="00096D8C"/>
    <w:rsid w:val="000A65AC"/>
    <w:rsid w:val="000C0B65"/>
    <w:rsid w:val="000C4D69"/>
    <w:rsid w:val="000D2FDB"/>
    <w:rsid w:val="000E05FE"/>
    <w:rsid w:val="000E3D42"/>
    <w:rsid w:val="000F3DE4"/>
    <w:rsid w:val="000F6468"/>
    <w:rsid w:val="0010399E"/>
    <w:rsid w:val="00122BD5"/>
    <w:rsid w:val="00124FB3"/>
    <w:rsid w:val="00132193"/>
    <w:rsid w:val="00133F79"/>
    <w:rsid w:val="00140750"/>
    <w:rsid w:val="00146D8A"/>
    <w:rsid w:val="00152E4C"/>
    <w:rsid w:val="00152F4B"/>
    <w:rsid w:val="00175910"/>
    <w:rsid w:val="001940F0"/>
    <w:rsid w:val="00194A66"/>
    <w:rsid w:val="001D6BCF"/>
    <w:rsid w:val="001E01CA"/>
    <w:rsid w:val="002172BD"/>
    <w:rsid w:val="00245789"/>
    <w:rsid w:val="00250597"/>
    <w:rsid w:val="002546D1"/>
    <w:rsid w:val="00257770"/>
    <w:rsid w:val="00264220"/>
    <w:rsid w:val="00275CF5"/>
    <w:rsid w:val="00282655"/>
    <w:rsid w:val="0028301F"/>
    <w:rsid w:val="00285017"/>
    <w:rsid w:val="002A2D2E"/>
    <w:rsid w:val="002C00E8"/>
    <w:rsid w:val="002F4279"/>
    <w:rsid w:val="00343749"/>
    <w:rsid w:val="003577E1"/>
    <w:rsid w:val="003660ED"/>
    <w:rsid w:val="003664DA"/>
    <w:rsid w:val="003B0550"/>
    <w:rsid w:val="003B3F25"/>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14C8E"/>
    <w:rsid w:val="00525F98"/>
    <w:rsid w:val="00555D44"/>
    <w:rsid w:val="0055614C"/>
    <w:rsid w:val="00566D06"/>
    <w:rsid w:val="005B2CE7"/>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39E"/>
    <w:rsid w:val="007115F7"/>
    <w:rsid w:val="00753410"/>
    <w:rsid w:val="007743C9"/>
    <w:rsid w:val="00785689"/>
    <w:rsid w:val="0079754B"/>
    <w:rsid w:val="007A1E6D"/>
    <w:rsid w:val="007A2495"/>
    <w:rsid w:val="007A502A"/>
    <w:rsid w:val="007B0EB2"/>
    <w:rsid w:val="007B357C"/>
    <w:rsid w:val="007B767F"/>
    <w:rsid w:val="007F223C"/>
    <w:rsid w:val="007F42C5"/>
    <w:rsid w:val="00810B6F"/>
    <w:rsid w:val="00815718"/>
    <w:rsid w:val="00822CE0"/>
    <w:rsid w:val="00823FF9"/>
    <w:rsid w:val="00841AB1"/>
    <w:rsid w:val="00874E66"/>
    <w:rsid w:val="008C6117"/>
    <w:rsid w:val="008C68F1"/>
    <w:rsid w:val="008D4F70"/>
    <w:rsid w:val="00921803"/>
    <w:rsid w:val="00926503"/>
    <w:rsid w:val="009377D8"/>
    <w:rsid w:val="00943ACD"/>
    <w:rsid w:val="00947B4D"/>
    <w:rsid w:val="00955702"/>
    <w:rsid w:val="00970DD6"/>
    <w:rsid w:val="009726D8"/>
    <w:rsid w:val="00982BF9"/>
    <w:rsid w:val="009D7308"/>
    <w:rsid w:val="009F76DB"/>
    <w:rsid w:val="00A069B5"/>
    <w:rsid w:val="00A32C3B"/>
    <w:rsid w:val="00A45F4F"/>
    <w:rsid w:val="00A600A9"/>
    <w:rsid w:val="00A8013F"/>
    <w:rsid w:val="00AA120E"/>
    <w:rsid w:val="00AA55B7"/>
    <w:rsid w:val="00AA5B9E"/>
    <w:rsid w:val="00AB2407"/>
    <w:rsid w:val="00AB53DF"/>
    <w:rsid w:val="00AF64B2"/>
    <w:rsid w:val="00B07E5C"/>
    <w:rsid w:val="00B10690"/>
    <w:rsid w:val="00B811F7"/>
    <w:rsid w:val="00B8499A"/>
    <w:rsid w:val="00B913E9"/>
    <w:rsid w:val="00B945BD"/>
    <w:rsid w:val="00B97556"/>
    <w:rsid w:val="00BA5DC6"/>
    <w:rsid w:val="00BA6196"/>
    <w:rsid w:val="00BC6D8C"/>
    <w:rsid w:val="00BD5379"/>
    <w:rsid w:val="00BF7164"/>
    <w:rsid w:val="00BF7B55"/>
    <w:rsid w:val="00C23825"/>
    <w:rsid w:val="00C34006"/>
    <w:rsid w:val="00C36B4C"/>
    <w:rsid w:val="00C426B1"/>
    <w:rsid w:val="00C55A17"/>
    <w:rsid w:val="00C6145C"/>
    <w:rsid w:val="00C66160"/>
    <w:rsid w:val="00C721AC"/>
    <w:rsid w:val="00C74B1B"/>
    <w:rsid w:val="00C90D6A"/>
    <w:rsid w:val="00CA247E"/>
    <w:rsid w:val="00CA4CE7"/>
    <w:rsid w:val="00CA6D21"/>
    <w:rsid w:val="00CC72B6"/>
    <w:rsid w:val="00CF75F5"/>
    <w:rsid w:val="00D0218D"/>
    <w:rsid w:val="00D16857"/>
    <w:rsid w:val="00D25FB5"/>
    <w:rsid w:val="00D423B0"/>
    <w:rsid w:val="00D44223"/>
    <w:rsid w:val="00D64E57"/>
    <w:rsid w:val="00D8571E"/>
    <w:rsid w:val="00D975B7"/>
    <w:rsid w:val="00DA2529"/>
    <w:rsid w:val="00DB10EE"/>
    <w:rsid w:val="00DB130A"/>
    <w:rsid w:val="00DB2EBB"/>
    <w:rsid w:val="00DC10A1"/>
    <w:rsid w:val="00DC655F"/>
    <w:rsid w:val="00DD0B59"/>
    <w:rsid w:val="00DD7EBD"/>
    <w:rsid w:val="00DE2951"/>
    <w:rsid w:val="00DF62B6"/>
    <w:rsid w:val="00E07225"/>
    <w:rsid w:val="00E1189A"/>
    <w:rsid w:val="00E4519B"/>
    <w:rsid w:val="00E5409F"/>
    <w:rsid w:val="00E66756"/>
    <w:rsid w:val="00EE4177"/>
    <w:rsid w:val="00EE6488"/>
    <w:rsid w:val="00F021FA"/>
    <w:rsid w:val="00F02727"/>
    <w:rsid w:val="00F36DD9"/>
    <w:rsid w:val="00F62E97"/>
    <w:rsid w:val="00F64209"/>
    <w:rsid w:val="00F67AFF"/>
    <w:rsid w:val="00F93BF5"/>
    <w:rsid w:val="00FD6AD8"/>
    <w:rsid w:val="00FE0253"/>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B3F25"/>
    <w:pPr>
      <w:widowControl w:val="0"/>
    </w:pPr>
    <w:rPr>
      <w:snapToGrid w:val="0"/>
      <w:kern w:val="28"/>
      <w:sz w:val="22"/>
    </w:rPr>
  </w:style>
  <w:style w:type="paragraph" w:styleId="Heading1">
    <w:name w:val="heading 1"/>
    <w:basedOn w:val="Normal"/>
    <w:next w:val="ParaNum"/>
    <w:link w:val="Heading1Char"/>
    <w:qFormat/>
    <w:rsid w:val="003B3F2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B3F25"/>
    <w:pPr>
      <w:keepNext/>
      <w:numPr>
        <w:ilvl w:val="1"/>
        <w:numId w:val="3"/>
      </w:numPr>
      <w:spacing w:after="120"/>
      <w:outlineLvl w:val="1"/>
    </w:pPr>
    <w:rPr>
      <w:b/>
    </w:rPr>
  </w:style>
  <w:style w:type="paragraph" w:styleId="Heading3">
    <w:name w:val="heading 3"/>
    <w:basedOn w:val="Normal"/>
    <w:next w:val="ParaNum"/>
    <w:qFormat/>
    <w:rsid w:val="003B3F25"/>
    <w:pPr>
      <w:keepNext/>
      <w:numPr>
        <w:ilvl w:val="2"/>
        <w:numId w:val="3"/>
      </w:numPr>
      <w:tabs>
        <w:tab w:val="left" w:pos="2160"/>
      </w:tabs>
      <w:spacing w:after="120"/>
      <w:outlineLvl w:val="2"/>
    </w:pPr>
    <w:rPr>
      <w:b/>
    </w:rPr>
  </w:style>
  <w:style w:type="paragraph" w:styleId="Heading4">
    <w:name w:val="heading 4"/>
    <w:basedOn w:val="Normal"/>
    <w:next w:val="ParaNum"/>
    <w:qFormat/>
    <w:rsid w:val="003B3F25"/>
    <w:pPr>
      <w:keepNext/>
      <w:numPr>
        <w:ilvl w:val="3"/>
        <w:numId w:val="3"/>
      </w:numPr>
      <w:tabs>
        <w:tab w:val="left" w:pos="2880"/>
      </w:tabs>
      <w:spacing w:after="120"/>
      <w:outlineLvl w:val="3"/>
    </w:pPr>
    <w:rPr>
      <w:b/>
    </w:rPr>
  </w:style>
  <w:style w:type="paragraph" w:styleId="Heading5">
    <w:name w:val="heading 5"/>
    <w:basedOn w:val="Normal"/>
    <w:next w:val="ParaNum"/>
    <w:qFormat/>
    <w:rsid w:val="003B3F2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B3F25"/>
    <w:pPr>
      <w:numPr>
        <w:ilvl w:val="5"/>
        <w:numId w:val="3"/>
      </w:numPr>
      <w:tabs>
        <w:tab w:val="left" w:pos="4320"/>
      </w:tabs>
      <w:spacing w:after="120"/>
      <w:outlineLvl w:val="5"/>
    </w:pPr>
    <w:rPr>
      <w:b/>
    </w:rPr>
  </w:style>
  <w:style w:type="paragraph" w:styleId="Heading7">
    <w:name w:val="heading 7"/>
    <w:basedOn w:val="Normal"/>
    <w:next w:val="ParaNum"/>
    <w:qFormat/>
    <w:rsid w:val="003B3F2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3F2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B3F2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3F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3F25"/>
  </w:style>
  <w:style w:type="paragraph" w:customStyle="1" w:styleId="ParaNum">
    <w:name w:val="ParaNum"/>
    <w:basedOn w:val="Normal"/>
    <w:link w:val="ParaNumChar"/>
    <w:rsid w:val="003B3F25"/>
    <w:pPr>
      <w:numPr>
        <w:numId w:val="2"/>
      </w:numPr>
      <w:tabs>
        <w:tab w:val="clear" w:pos="1080"/>
        <w:tab w:val="num" w:pos="1440"/>
      </w:tabs>
      <w:spacing w:after="120"/>
    </w:pPr>
  </w:style>
  <w:style w:type="paragraph" w:styleId="EndnoteText">
    <w:name w:val="endnote text"/>
    <w:basedOn w:val="Normal"/>
    <w:semiHidden/>
    <w:rsid w:val="003B3F25"/>
    <w:rPr>
      <w:sz w:val="20"/>
    </w:rPr>
  </w:style>
  <w:style w:type="character" w:styleId="EndnoteReference">
    <w:name w:val="endnote reference"/>
    <w:semiHidden/>
    <w:rsid w:val="003B3F25"/>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3B3F2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B3F25"/>
    <w:rPr>
      <w:rFonts w:ascii="Times New Roman" w:hAnsi="Times New Roman"/>
      <w:dstrike w:val="0"/>
      <w:color w:val="auto"/>
      <w:sz w:val="20"/>
      <w:vertAlign w:val="superscript"/>
    </w:rPr>
  </w:style>
  <w:style w:type="paragraph" w:styleId="TOC1">
    <w:name w:val="toc 1"/>
    <w:basedOn w:val="Normal"/>
    <w:next w:val="Normal"/>
    <w:semiHidden/>
    <w:rsid w:val="003B3F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3F25"/>
    <w:pPr>
      <w:tabs>
        <w:tab w:val="left" w:pos="720"/>
        <w:tab w:val="right" w:leader="dot" w:pos="9360"/>
      </w:tabs>
      <w:suppressAutoHyphens/>
      <w:ind w:left="720" w:right="720" w:hanging="360"/>
    </w:pPr>
    <w:rPr>
      <w:noProof/>
    </w:rPr>
  </w:style>
  <w:style w:type="paragraph" w:styleId="TOC3">
    <w:name w:val="toc 3"/>
    <w:basedOn w:val="Normal"/>
    <w:next w:val="Normal"/>
    <w:semiHidden/>
    <w:rsid w:val="003B3F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3F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3F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3F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3F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3F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3F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3F25"/>
    <w:pPr>
      <w:tabs>
        <w:tab w:val="right" w:pos="9360"/>
      </w:tabs>
      <w:suppressAutoHyphens/>
    </w:pPr>
  </w:style>
  <w:style w:type="character" w:customStyle="1" w:styleId="EquationCaption">
    <w:name w:val="_Equation Caption"/>
    <w:rsid w:val="003B3F25"/>
  </w:style>
  <w:style w:type="paragraph" w:styleId="Header">
    <w:name w:val="header"/>
    <w:basedOn w:val="Normal"/>
    <w:autoRedefine/>
    <w:rsid w:val="003B3F25"/>
    <w:pPr>
      <w:tabs>
        <w:tab w:val="center" w:pos="4680"/>
        <w:tab w:val="right" w:pos="9360"/>
      </w:tabs>
    </w:pPr>
    <w:rPr>
      <w:b/>
    </w:rPr>
  </w:style>
  <w:style w:type="paragraph" w:styleId="Footer">
    <w:name w:val="footer"/>
    <w:basedOn w:val="Normal"/>
    <w:link w:val="FooterChar"/>
    <w:uiPriority w:val="99"/>
    <w:rsid w:val="003B3F25"/>
    <w:pPr>
      <w:tabs>
        <w:tab w:val="center" w:pos="4320"/>
        <w:tab w:val="right" w:pos="8640"/>
      </w:tabs>
    </w:pPr>
  </w:style>
  <w:style w:type="character" w:styleId="PageNumber">
    <w:name w:val="page number"/>
    <w:basedOn w:val="DefaultParagraphFont"/>
    <w:rsid w:val="003B3F25"/>
  </w:style>
  <w:style w:type="paragraph" w:styleId="BlockText">
    <w:name w:val="Block Text"/>
    <w:basedOn w:val="Normal"/>
    <w:rsid w:val="003B3F25"/>
    <w:pPr>
      <w:spacing w:after="240"/>
      <w:ind w:left="1440" w:right="1440"/>
    </w:pPr>
  </w:style>
  <w:style w:type="paragraph" w:customStyle="1" w:styleId="Paratitle">
    <w:name w:val="Para title"/>
    <w:basedOn w:val="Normal"/>
    <w:rsid w:val="003B3F25"/>
    <w:pPr>
      <w:tabs>
        <w:tab w:val="center" w:pos="9270"/>
      </w:tabs>
      <w:spacing w:after="240"/>
    </w:pPr>
    <w:rPr>
      <w:spacing w:val="-2"/>
    </w:rPr>
  </w:style>
  <w:style w:type="paragraph" w:customStyle="1" w:styleId="Bullet">
    <w:name w:val="Bullet"/>
    <w:basedOn w:val="Normal"/>
    <w:rsid w:val="003B3F25"/>
    <w:pPr>
      <w:tabs>
        <w:tab w:val="left" w:pos="2160"/>
      </w:tabs>
      <w:spacing w:after="220"/>
      <w:ind w:left="2160" w:hanging="720"/>
    </w:pPr>
  </w:style>
  <w:style w:type="paragraph" w:customStyle="1" w:styleId="TableFormat">
    <w:name w:val="TableFormat"/>
    <w:basedOn w:val="Bullet"/>
    <w:rsid w:val="003B3F25"/>
    <w:pPr>
      <w:tabs>
        <w:tab w:val="clear" w:pos="2160"/>
        <w:tab w:val="left" w:pos="5040"/>
      </w:tabs>
      <w:ind w:left="5040" w:hanging="3600"/>
    </w:pPr>
  </w:style>
  <w:style w:type="paragraph" w:customStyle="1" w:styleId="TOCTitle">
    <w:name w:val="TOC Title"/>
    <w:basedOn w:val="Normal"/>
    <w:rsid w:val="003B3F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3F25"/>
    <w:pPr>
      <w:jc w:val="center"/>
    </w:pPr>
    <w:rPr>
      <w:rFonts w:ascii="Times New Roman Bold" w:hAnsi="Times New Roman Bold"/>
      <w:b/>
      <w:bCs/>
      <w:caps/>
      <w:szCs w:val="22"/>
    </w:rPr>
  </w:style>
  <w:style w:type="character" w:styleId="Hyperlink">
    <w:name w:val="Hyperlink"/>
    <w:rsid w:val="003B3F25"/>
    <w:rPr>
      <w:color w:val="0000FF"/>
      <w:u w:val="single"/>
    </w:rPr>
  </w:style>
  <w:style w:type="character" w:customStyle="1" w:styleId="FooterChar">
    <w:name w:val="Footer Char"/>
    <w:link w:val="Footer"/>
    <w:uiPriority w:val="99"/>
    <w:rsid w:val="003B3F25"/>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