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5B32CB6C"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E90C98" w:rsidRPr="00C80E09" w:rsidP="00E90C98" w14:paraId="32AA8FE1" w14:textId="3CCB41DF">
      <w:pPr>
        <w:jc w:val="right"/>
        <w:rPr>
          <w:b/>
          <w:szCs w:val="22"/>
        </w:rPr>
      </w:pPr>
      <w:bookmarkStart w:id="1" w:name="_Hlk26280526"/>
      <w:bookmarkStart w:id="2" w:name="_Hlk64383480"/>
      <w:r w:rsidRPr="00C80E09">
        <w:rPr>
          <w:b/>
          <w:szCs w:val="22"/>
        </w:rPr>
        <w:t>DA 21-</w:t>
      </w:r>
      <w:r w:rsidRPr="00C80E09" w:rsidR="00C80E09">
        <w:rPr>
          <w:b/>
          <w:szCs w:val="22"/>
        </w:rPr>
        <w:t>1329</w:t>
      </w:r>
    </w:p>
    <w:p w:rsidR="00E90C98" w:rsidP="00E90C98" w14:paraId="545E7883" w14:textId="342D0DBF">
      <w:pPr>
        <w:spacing w:before="60"/>
        <w:jc w:val="right"/>
        <w:rPr>
          <w:b/>
          <w:szCs w:val="22"/>
        </w:rPr>
      </w:pPr>
      <w:r>
        <w:rPr>
          <w:b/>
          <w:szCs w:val="22"/>
        </w:rPr>
        <w:t>October 22, 2021</w:t>
      </w:r>
    </w:p>
    <w:p w:rsidR="00E90C98" w:rsidP="00E90C98" w14:paraId="47422842" w14:textId="77777777">
      <w:pPr>
        <w:tabs>
          <w:tab w:val="left" w:pos="5900"/>
        </w:tabs>
        <w:rPr>
          <w:szCs w:val="22"/>
        </w:rPr>
      </w:pPr>
      <w:r>
        <w:rPr>
          <w:szCs w:val="22"/>
        </w:rPr>
        <w:tab/>
      </w:r>
    </w:p>
    <w:p w:rsidR="00E90C98" w:rsidP="008D03C4" w14:paraId="500F50AE" w14:textId="5A391C82">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TRANSFER OF </w:t>
      </w:r>
      <w:r w:rsidR="008D03C4">
        <w:rPr>
          <w:b/>
          <w:bCs/>
          <w:szCs w:val="22"/>
        </w:rPr>
        <w:t xml:space="preserve">CONTROL </w:t>
      </w:r>
      <w:r>
        <w:rPr>
          <w:b/>
          <w:bCs/>
          <w:szCs w:val="22"/>
        </w:rPr>
        <w:t xml:space="preserve">OF </w:t>
      </w:r>
      <w:r w:rsidR="008D03C4">
        <w:rPr>
          <w:b/>
          <w:bCs/>
          <w:szCs w:val="22"/>
        </w:rPr>
        <w:t>BROADBAND VI, LLC TO LIBERTY MOBILE USVI, INC.</w:t>
      </w:r>
    </w:p>
    <w:bookmarkEnd w:id="3"/>
    <w:bookmarkEnd w:id="4"/>
    <w:bookmarkEnd w:id="5"/>
    <w:p w:rsidR="00E90C98" w:rsidP="00E90C98" w14:paraId="769701D8" w14:textId="77777777">
      <w:pPr>
        <w:autoSpaceDE w:val="0"/>
        <w:autoSpaceDN w:val="0"/>
        <w:adjustRightInd w:val="0"/>
        <w:jc w:val="right"/>
        <w:rPr>
          <w:b/>
          <w:bCs/>
          <w:szCs w:val="22"/>
        </w:rPr>
      </w:pPr>
    </w:p>
    <w:p w:rsidR="00E90C98" w:rsidP="00E90C98" w14:paraId="1A2EA51F" w14:textId="77777777">
      <w:pPr>
        <w:jc w:val="center"/>
        <w:rPr>
          <w:b/>
          <w:szCs w:val="22"/>
        </w:rPr>
      </w:pPr>
      <w:r>
        <w:rPr>
          <w:b/>
          <w:szCs w:val="22"/>
        </w:rPr>
        <w:t>NON-STREAMLINED PLEADING CYCLE ESTABLISHED</w:t>
      </w:r>
    </w:p>
    <w:p w:rsidR="00E90C98" w:rsidP="00E90C98" w14:paraId="0A814E3D" w14:textId="77777777">
      <w:pPr>
        <w:jc w:val="center"/>
        <w:rPr>
          <w:b/>
          <w:szCs w:val="22"/>
        </w:rPr>
      </w:pPr>
    </w:p>
    <w:p w:rsidR="00E90C98" w:rsidP="00E90C98" w14:paraId="1DA32193" w14:textId="21F0D8E0">
      <w:pPr>
        <w:jc w:val="center"/>
        <w:rPr>
          <w:b/>
          <w:szCs w:val="22"/>
        </w:rPr>
      </w:pPr>
      <w:r>
        <w:rPr>
          <w:b/>
          <w:szCs w:val="22"/>
        </w:rPr>
        <w:t>WC Docket No. 21-</w:t>
      </w:r>
      <w:r w:rsidR="008D03C4">
        <w:rPr>
          <w:b/>
          <w:szCs w:val="22"/>
        </w:rPr>
        <w:t>386</w:t>
      </w:r>
    </w:p>
    <w:p w:rsidR="00E90C98" w:rsidP="00E90C98" w14:paraId="164BCCB6" w14:textId="77777777">
      <w:pPr>
        <w:jc w:val="center"/>
        <w:rPr>
          <w:b/>
          <w:szCs w:val="22"/>
        </w:rPr>
      </w:pPr>
    </w:p>
    <w:p w:rsidR="00E90C98" w:rsidRPr="00E77D8D" w:rsidP="00E90C98" w14:paraId="74F92074" w14:textId="7FEC8F4E">
      <w:pPr>
        <w:pStyle w:val="NoSpacing"/>
        <w:rPr>
          <w:b/>
          <w:szCs w:val="22"/>
        </w:rPr>
      </w:pPr>
      <w:r w:rsidRPr="00E77D8D">
        <w:rPr>
          <w:b/>
          <w:szCs w:val="22"/>
        </w:rPr>
        <w:t xml:space="preserve">Comments Due:  </w:t>
      </w:r>
      <w:r w:rsidR="00614227">
        <w:rPr>
          <w:b/>
          <w:szCs w:val="22"/>
        </w:rPr>
        <w:t>November 5, 2021</w:t>
      </w:r>
    </w:p>
    <w:p w:rsidR="00E90C98" w:rsidP="00E90C98" w14:paraId="145F0724" w14:textId="6BB7BAC4">
      <w:pPr>
        <w:pStyle w:val="NoSpacing"/>
        <w:rPr>
          <w:b/>
          <w:szCs w:val="22"/>
        </w:rPr>
      </w:pPr>
      <w:r w:rsidRPr="00E77D8D">
        <w:rPr>
          <w:b/>
          <w:szCs w:val="22"/>
        </w:rPr>
        <w:t xml:space="preserve">Reply Comment Due:  </w:t>
      </w:r>
      <w:r w:rsidR="00614227">
        <w:rPr>
          <w:b/>
          <w:szCs w:val="22"/>
        </w:rPr>
        <w:t>November 12, 2021</w:t>
      </w:r>
    </w:p>
    <w:bookmarkEnd w:id="1"/>
    <w:p w:rsidR="00E90C98" w:rsidP="00E90C98" w14:paraId="1CA1B371" w14:textId="77777777">
      <w:pPr>
        <w:tabs>
          <w:tab w:val="left" w:pos="6221"/>
        </w:tabs>
        <w:autoSpaceDE w:val="0"/>
        <w:autoSpaceDN w:val="0"/>
        <w:adjustRightInd w:val="0"/>
        <w:rPr>
          <w:szCs w:val="22"/>
        </w:rPr>
      </w:pPr>
    </w:p>
    <w:bookmarkEnd w:id="2"/>
    <w:p w:rsidR="00E90C98" w:rsidP="00E90C98" w14:paraId="026DB4D8" w14:textId="2816061A">
      <w:pPr>
        <w:autoSpaceDE w:val="0"/>
        <w:autoSpaceDN w:val="0"/>
        <w:adjustRightInd w:val="0"/>
        <w:spacing w:after="120"/>
        <w:ind w:firstLine="720"/>
        <w:rPr>
          <w:szCs w:val="22"/>
        </w:rPr>
      </w:pPr>
      <w:r>
        <w:rPr>
          <w:szCs w:val="22"/>
        </w:rPr>
        <w:t>By this Public Notice, the Wireline Competition Bureau</w:t>
      </w:r>
      <w:r w:rsidR="0019501D">
        <w:rPr>
          <w:szCs w:val="22"/>
        </w:rPr>
        <w:t xml:space="preserve"> (Bureau)</w:t>
      </w:r>
      <w:r>
        <w:rPr>
          <w:szCs w:val="22"/>
        </w:rPr>
        <w:t xml:space="preserve"> seeks comment from interested parties on an application filed by </w:t>
      </w:r>
      <w:bookmarkStart w:id="6" w:name="_Hlk67917977"/>
      <w:r w:rsidR="005B6F2E">
        <w:rPr>
          <w:szCs w:val="22"/>
        </w:rPr>
        <w:t>Broadband VI, LLC (BBVI)</w:t>
      </w:r>
      <w:r>
        <w:rPr>
          <w:szCs w:val="22"/>
        </w:rPr>
        <w:t xml:space="preserve"> and </w:t>
      </w:r>
      <w:r w:rsidR="005B6F2E">
        <w:rPr>
          <w:szCs w:val="22"/>
        </w:rPr>
        <w:t>Liberty Mobile USVI, Inc.</w:t>
      </w:r>
      <w:r>
        <w:rPr>
          <w:szCs w:val="22"/>
        </w:rPr>
        <w:t xml:space="preserve"> (</w:t>
      </w:r>
      <w:r w:rsidR="005B6F2E">
        <w:rPr>
          <w:szCs w:val="22"/>
        </w:rPr>
        <w:t>Liberty</w:t>
      </w:r>
      <w:r>
        <w:rPr>
          <w:szCs w:val="22"/>
        </w:rPr>
        <w:t xml:space="preserve">) </w:t>
      </w:r>
      <w:bookmarkEnd w:id="6"/>
      <w:r>
        <w:rPr>
          <w:szCs w:val="22"/>
        </w:rPr>
        <w:t>(collectively, Applicants),</w:t>
      </w:r>
      <w:r>
        <w:rPr>
          <w:rStyle w:val="FootnoteReference"/>
          <w:szCs w:val="22"/>
        </w:rPr>
        <w:footnoteReference w:id="3"/>
      </w:r>
      <w:r>
        <w:rPr>
          <w:szCs w:val="22"/>
        </w:rPr>
        <w:t xml:space="preserve"> pursuant to section 214 of the Communications Act of 1934, as amended</w:t>
      </w:r>
      <w:r w:rsidR="00D5321C">
        <w:rPr>
          <w:szCs w:val="22"/>
        </w:rPr>
        <w:t xml:space="preserve"> (Act)</w:t>
      </w:r>
      <w:r>
        <w:rPr>
          <w:szCs w:val="22"/>
        </w:rPr>
        <w:t>, and sections 63.03-04 of the Commission’s rules,</w:t>
      </w:r>
      <w:r>
        <w:rPr>
          <w:rStyle w:val="FootnoteReference"/>
          <w:szCs w:val="22"/>
        </w:rPr>
        <w:footnoteReference w:id="4"/>
      </w:r>
      <w:r>
        <w:rPr>
          <w:szCs w:val="22"/>
        </w:rPr>
        <w:t xml:space="preserve"> requesting approval for the </w:t>
      </w:r>
      <w:r w:rsidR="005B6F2E">
        <w:rPr>
          <w:szCs w:val="22"/>
        </w:rPr>
        <w:t>transfer of control of BBVI, an el</w:t>
      </w:r>
      <w:r w:rsidR="009D3B6F">
        <w:rPr>
          <w:szCs w:val="22"/>
        </w:rPr>
        <w:t>igible</w:t>
      </w:r>
      <w:r w:rsidR="005B6F2E">
        <w:rPr>
          <w:szCs w:val="22"/>
        </w:rPr>
        <w:t xml:space="preserve"> telecommunications carrier (ETC) authorized to receive Connect USVI Fund</w:t>
      </w:r>
      <w:r w:rsidR="009D3B6F">
        <w:rPr>
          <w:szCs w:val="22"/>
        </w:rPr>
        <w:t xml:space="preserve"> </w:t>
      </w:r>
      <w:r w:rsidR="00535BE4">
        <w:rPr>
          <w:szCs w:val="22"/>
        </w:rPr>
        <w:t xml:space="preserve">universal service </w:t>
      </w:r>
      <w:r w:rsidR="009D3B6F">
        <w:rPr>
          <w:szCs w:val="22"/>
        </w:rPr>
        <w:t>support, to Liberty</w:t>
      </w:r>
      <w:r>
        <w:rPr>
          <w:szCs w:val="22"/>
        </w:rPr>
        <w:t>.</w:t>
      </w:r>
      <w:bookmarkStart w:id="7" w:name="_Hlk72758776"/>
      <w:r>
        <w:rPr>
          <w:rStyle w:val="FootnoteReference"/>
          <w:szCs w:val="22"/>
        </w:rPr>
        <w:footnoteReference w:id="5"/>
      </w:r>
      <w:bookmarkEnd w:id="7"/>
      <w:r>
        <w:rPr>
          <w:szCs w:val="22"/>
        </w:rPr>
        <w:t xml:space="preserve">  </w:t>
      </w:r>
    </w:p>
    <w:p w:rsidR="007D01D9" w:rsidP="007D01D9" w14:paraId="34B7F080" w14:textId="64BF44BF">
      <w:pPr>
        <w:autoSpaceDE w:val="0"/>
        <w:autoSpaceDN w:val="0"/>
        <w:adjustRightInd w:val="0"/>
        <w:spacing w:after="120"/>
        <w:ind w:firstLine="720"/>
        <w:rPr>
          <w:szCs w:val="22"/>
        </w:rPr>
      </w:pPr>
      <w:bookmarkStart w:id="9" w:name="_Hlk67918832"/>
      <w:r>
        <w:rPr>
          <w:szCs w:val="22"/>
        </w:rPr>
        <w:t>BBVI, a limited liability company</w:t>
      </w:r>
      <w:r w:rsidR="00B70032">
        <w:rPr>
          <w:szCs w:val="22"/>
        </w:rPr>
        <w:t xml:space="preserve"> (LLC)</w:t>
      </w:r>
      <w:r>
        <w:rPr>
          <w:szCs w:val="22"/>
        </w:rPr>
        <w:t xml:space="preserve"> organized under the laws of the U.S. Virgin Islands, provides fixed wireless broadband and voice services to approximately 9,000 consumers, businesses, educational institutions, and government facilities throughout the U.S. Virgin Islands.</w:t>
      </w:r>
      <w:r>
        <w:rPr>
          <w:rStyle w:val="FootnoteReference"/>
          <w:szCs w:val="22"/>
        </w:rPr>
        <w:footnoteReference w:id="6"/>
      </w:r>
      <w:r>
        <w:rPr>
          <w:szCs w:val="22"/>
        </w:rPr>
        <w:t xml:space="preserve">  </w:t>
      </w:r>
      <w:r w:rsidR="00E4034F">
        <w:rPr>
          <w:szCs w:val="22"/>
        </w:rPr>
        <w:t>BBVI is designated as an ETC.</w:t>
      </w:r>
      <w:r>
        <w:rPr>
          <w:rStyle w:val="FootnoteReference"/>
          <w:szCs w:val="22"/>
        </w:rPr>
        <w:footnoteReference w:id="7"/>
      </w:r>
      <w:r w:rsidR="00E4034F">
        <w:rPr>
          <w:szCs w:val="22"/>
        </w:rPr>
        <w:t xml:space="preserve">  </w:t>
      </w:r>
      <w:r w:rsidR="00285BEB">
        <w:rPr>
          <w:szCs w:val="22"/>
        </w:rPr>
        <w:t>The members of BBVI</w:t>
      </w:r>
      <w:r w:rsidRPr="00285BEB" w:rsidR="00285BEB">
        <w:rPr>
          <w:szCs w:val="22"/>
        </w:rPr>
        <w:t xml:space="preserve"> are Broadband Investments LLLP (Investments), a U.S. Virgin Islands limited liability limited partnership, and Michael J. Meluskey, an individual who is also the Chief Technology Officer of BBVI. </w:t>
      </w:r>
      <w:r w:rsidR="00285BEB">
        <w:rPr>
          <w:szCs w:val="22"/>
        </w:rPr>
        <w:t xml:space="preserve"> </w:t>
      </w:r>
      <w:r w:rsidRPr="00285BEB" w:rsidR="00285BEB">
        <w:rPr>
          <w:szCs w:val="22"/>
        </w:rPr>
        <w:t>Investments holds 63.87</w:t>
      </w:r>
      <w:r w:rsidR="00285BEB">
        <w:rPr>
          <w:szCs w:val="22"/>
        </w:rPr>
        <w:t>%</w:t>
      </w:r>
      <w:r w:rsidRPr="00285BEB" w:rsidR="00285BEB">
        <w:rPr>
          <w:szCs w:val="22"/>
        </w:rPr>
        <w:t xml:space="preserve"> of the membership units in BBVI. </w:t>
      </w:r>
      <w:r w:rsidR="00285BEB">
        <w:rPr>
          <w:szCs w:val="22"/>
        </w:rPr>
        <w:t xml:space="preserve"> </w:t>
      </w:r>
      <w:r w:rsidRPr="00285BEB" w:rsidR="00285BEB">
        <w:rPr>
          <w:szCs w:val="22"/>
        </w:rPr>
        <w:t>Investments is ultimately controlled by William V. Neville, who is also the CEO of BBVI, and his wife</w:t>
      </w:r>
      <w:r w:rsidR="00787182">
        <w:rPr>
          <w:szCs w:val="22"/>
        </w:rPr>
        <w:t>,</w:t>
      </w:r>
      <w:r w:rsidRPr="00285BEB" w:rsidR="00285BEB">
        <w:rPr>
          <w:szCs w:val="22"/>
        </w:rPr>
        <w:t xml:space="preserve"> Connie Jones Neville, both of whom are U.S. citizens.</w:t>
      </w:r>
      <w:r>
        <w:rPr>
          <w:rStyle w:val="FootnoteReference"/>
          <w:szCs w:val="22"/>
        </w:rPr>
        <w:footnoteReference w:id="8"/>
      </w:r>
      <w:r w:rsidRPr="00285BEB" w:rsidR="00285BEB">
        <w:rPr>
          <w:szCs w:val="22"/>
        </w:rPr>
        <w:t xml:space="preserve"> </w:t>
      </w:r>
      <w:r w:rsidR="00285BEB">
        <w:rPr>
          <w:szCs w:val="22"/>
        </w:rPr>
        <w:t xml:space="preserve"> </w:t>
      </w:r>
      <w:r w:rsidRPr="00285BEB" w:rsidR="00285BEB">
        <w:rPr>
          <w:szCs w:val="22"/>
        </w:rPr>
        <w:t>Mr. Meluskey, also a U.S. citizen, holds 31.93</w:t>
      </w:r>
      <w:r w:rsidR="00285BEB">
        <w:rPr>
          <w:szCs w:val="22"/>
        </w:rPr>
        <w:t>%</w:t>
      </w:r>
      <w:r w:rsidRPr="00285BEB" w:rsidR="00285BEB">
        <w:rPr>
          <w:szCs w:val="22"/>
        </w:rPr>
        <w:t xml:space="preserve"> of the membership units in BBVI.</w:t>
      </w:r>
      <w:r>
        <w:rPr>
          <w:rStyle w:val="FootnoteReference"/>
          <w:szCs w:val="22"/>
        </w:rPr>
        <w:footnoteReference w:id="9"/>
      </w:r>
      <w:r w:rsidRPr="00285BEB" w:rsidR="00285BEB">
        <w:rPr>
          <w:szCs w:val="22"/>
        </w:rPr>
        <w:t xml:space="preserve"> </w:t>
      </w:r>
      <w:r w:rsidR="00285BEB">
        <w:rPr>
          <w:szCs w:val="22"/>
        </w:rPr>
        <w:t xml:space="preserve"> </w:t>
      </w:r>
      <w:r w:rsidRPr="00285BEB" w:rsidR="00285BEB">
        <w:rPr>
          <w:szCs w:val="22"/>
        </w:rPr>
        <w:t>Two other individuals hold a total of 0.20</w:t>
      </w:r>
      <w:r w:rsidR="00285BEB">
        <w:rPr>
          <w:szCs w:val="22"/>
        </w:rPr>
        <w:t xml:space="preserve">% </w:t>
      </w:r>
      <w:r w:rsidRPr="00285BEB" w:rsidR="00285BEB">
        <w:rPr>
          <w:szCs w:val="22"/>
        </w:rPr>
        <w:t xml:space="preserve">of BBVI and are expected to transfer their ownership interests as part of the </w:t>
      </w:r>
      <w:r w:rsidR="00285BEB">
        <w:rPr>
          <w:szCs w:val="22"/>
        </w:rPr>
        <w:t>p</w:t>
      </w:r>
      <w:r w:rsidRPr="00285BEB" w:rsidR="00285BEB">
        <w:rPr>
          <w:szCs w:val="22"/>
        </w:rPr>
        <w:t xml:space="preserve">roposed </w:t>
      </w:r>
      <w:r w:rsidR="00285BEB">
        <w:rPr>
          <w:szCs w:val="22"/>
        </w:rPr>
        <w:t>t</w:t>
      </w:r>
      <w:r w:rsidRPr="00285BEB" w:rsidR="00285BEB">
        <w:rPr>
          <w:szCs w:val="22"/>
        </w:rPr>
        <w:t>ransaction.</w:t>
      </w:r>
      <w:r>
        <w:rPr>
          <w:rStyle w:val="FootnoteReference"/>
          <w:szCs w:val="22"/>
        </w:rPr>
        <w:footnoteReference w:id="10"/>
      </w:r>
      <w:r w:rsidRPr="00285BEB" w:rsidR="00285BEB">
        <w:rPr>
          <w:szCs w:val="22"/>
        </w:rPr>
        <w:t xml:space="preserve"> </w:t>
      </w:r>
      <w:r w:rsidR="00285BEB">
        <w:rPr>
          <w:szCs w:val="22"/>
        </w:rPr>
        <w:t xml:space="preserve"> </w:t>
      </w:r>
      <w:r w:rsidRPr="00285BEB" w:rsidR="00285BEB">
        <w:rPr>
          <w:szCs w:val="22"/>
        </w:rPr>
        <w:t xml:space="preserve">University of the Virgin Islands Research Park Corporation holds </w:t>
      </w:r>
      <w:r w:rsidR="00285BEB">
        <w:rPr>
          <w:szCs w:val="22"/>
        </w:rPr>
        <w:t>4%</w:t>
      </w:r>
      <w:r w:rsidRPr="00285BEB" w:rsidR="00285BEB">
        <w:rPr>
          <w:szCs w:val="22"/>
        </w:rPr>
        <w:t xml:space="preserve"> of BBVI and the parties do not expect it to transfer its ownership as part of the Proposed Transaction.</w:t>
      </w:r>
      <w:r>
        <w:rPr>
          <w:rStyle w:val="FootnoteReference"/>
          <w:szCs w:val="22"/>
        </w:rPr>
        <w:footnoteReference w:id="11"/>
      </w:r>
      <w:r w:rsidRPr="00285BEB" w:rsidR="00285BEB">
        <w:rPr>
          <w:szCs w:val="22"/>
        </w:rPr>
        <w:t xml:space="preserve"> </w:t>
      </w:r>
      <w:r w:rsidR="00285BEB">
        <w:rPr>
          <w:szCs w:val="22"/>
        </w:rPr>
        <w:t xml:space="preserve"> If the proposed transaction is consummated</w:t>
      </w:r>
      <w:r w:rsidRPr="00285BEB" w:rsidR="00285BEB">
        <w:rPr>
          <w:szCs w:val="22"/>
        </w:rPr>
        <w:t>, Liberty will own approximately 96</w:t>
      </w:r>
      <w:r w:rsidR="00544B51">
        <w:rPr>
          <w:szCs w:val="22"/>
        </w:rPr>
        <w:t>%</w:t>
      </w:r>
      <w:r w:rsidRPr="00285BEB" w:rsidR="00285BEB">
        <w:rPr>
          <w:szCs w:val="22"/>
        </w:rPr>
        <w:t xml:space="preserve"> of BBVI.</w:t>
      </w:r>
      <w:r>
        <w:rPr>
          <w:rStyle w:val="FootnoteReference"/>
          <w:szCs w:val="22"/>
        </w:rPr>
        <w:footnoteReference w:id="12"/>
      </w:r>
      <w:r w:rsidRPr="00285BEB" w:rsidR="00285BEB">
        <w:rPr>
          <w:szCs w:val="22"/>
        </w:rPr>
        <w:t xml:space="preserve"> </w:t>
      </w:r>
    </w:p>
    <w:p w:rsidR="007D01D9" w:rsidP="00D04FBA" w14:paraId="768802CF" w14:textId="096A52E6">
      <w:pPr>
        <w:autoSpaceDE w:val="0"/>
        <w:autoSpaceDN w:val="0"/>
        <w:adjustRightInd w:val="0"/>
        <w:spacing w:after="120"/>
        <w:ind w:firstLine="720"/>
        <w:rPr>
          <w:szCs w:val="22"/>
        </w:rPr>
      </w:pPr>
      <w:r>
        <w:rPr>
          <w:szCs w:val="22"/>
        </w:rPr>
        <w:t>Liberty, a Delaware corporation, provides</w:t>
      </w:r>
      <w:r w:rsidRPr="007D01D9">
        <w:rPr>
          <w:szCs w:val="22"/>
        </w:rPr>
        <w:t xml:space="preserve"> commercial mobile services in the </w:t>
      </w:r>
      <w:r>
        <w:rPr>
          <w:szCs w:val="22"/>
        </w:rPr>
        <w:t>U.S. Virgin Islands.</w:t>
      </w:r>
      <w:r>
        <w:rPr>
          <w:rStyle w:val="FootnoteReference"/>
          <w:szCs w:val="22"/>
        </w:rPr>
        <w:footnoteReference w:id="13"/>
      </w:r>
      <w:r>
        <w:rPr>
          <w:szCs w:val="22"/>
        </w:rPr>
        <w:t xml:space="preserve"> </w:t>
      </w:r>
      <w:r w:rsidRPr="007D01D9">
        <w:rPr>
          <w:szCs w:val="22"/>
        </w:rPr>
        <w:t xml:space="preserve"> Liberty Latin America Ltd. (LLA)</w:t>
      </w:r>
      <w:r>
        <w:rPr>
          <w:szCs w:val="22"/>
        </w:rPr>
        <w:t>, a publicly traded Bermuda corporation,</w:t>
      </w:r>
      <w:r w:rsidRPr="007D01D9">
        <w:rPr>
          <w:szCs w:val="22"/>
        </w:rPr>
        <w:t xml:space="preserve"> is the ultimate corporate parent to multiple wireline and wireless telecommunications, broadband, and video services</w:t>
      </w:r>
      <w:r w:rsidR="007F11AD">
        <w:rPr>
          <w:szCs w:val="22"/>
        </w:rPr>
        <w:t xml:space="preserve"> </w:t>
      </w:r>
      <w:r w:rsidRPr="007D01D9">
        <w:rPr>
          <w:szCs w:val="22"/>
        </w:rPr>
        <w:t xml:space="preserve">operating in the </w:t>
      </w:r>
      <w:r>
        <w:rPr>
          <w:szCs w:val="22"/>
        </w:rPr>
        <w:t>U.S. Virgin Islands</w:t>
      </w:r>
      <w:r w:rsidRPr="007D01D9">
        <w:rPr>
          <w:szCs w:val="22"/>
        </w:rPr>
        <w:t>, Puerto Rico, and other areas of Latin America and the Caribbean</w:t>
      </w:r>
      <w:r w:rsidR="00CC0917">
        <w:rPr>
          <w:szCs w:val="22"/>
        </w:rPr>
        <w:t>.</w:t>
      </w:r>
      <w:r>
        <w:rPr>
          <w:rStyle w:val="FootnoteReference"/>
          <w:szCs w:val="22"/>
        </w:rPr>
        <w:footnoteReference w:id="14"/>
      </w:r>
      <w:r w:rsidR="00CC0917">
        <w:rPr>
          <w:szCs w:val="22"/>
        </w:rPr>
        <w:t xml:space="preserve">  LLA</w:t>
      </w:r>
      <w:r w:rsidR="007F11AD">
        <w:rPr>
          <w:szCs w:val="22"/>
        </w:rPr>
        <w:t xml:space="preserve"> holds a 100% indirect interest in Liberty</w:t>
      </w:r>
      <w:r w:rsidR="00CC0917">
        <w:rPr>
          <w:szCs w:val="22"/>
        </w:rPr>
        <w:t xml:space="preserve"> through </w:t>
      </w:r>
      <w:r w:rsidRPr="007D01D9" w:rsidR="00CC0917">
        <w:rPr>
          <w:szCs w:val="22"/>
        </w:rPr>
        <w:t>Liberty Mobile Inc. (f/k/a Beach Holding Corporation)</w:t>
      </w:r>
      <w:r w:rsidR="007265EE">
        <w:rPr>
          <w:szCs w:val="22"/>
        </w:rPr>
        <w:t xml:space="preserve">, </w:t>
      </w:r>
      <w:r w:rsidRPr="007D01D9" w:rsidR="007265EE">
        <w:rPr>
          <w:szCs w:val="22"/>
        </w:rPr>
        <w:t>LLA Holdco LLC</w:t>
      </w:r>
      <w:r w:rsidR="007265EE">
        <w:rPr>
          <w:szCs w:val="22"/>
        </w:rPr>
        <w:t>,</w:t>
      </w:r>
      <w:r w:rsidRPr="007265EE" w:rsidR="007265EE">
        <w:rPr>
          <w:szCs w:val="22"/>
        </w:rPr>
        <w:t xml:space="preserve"> </w:t>
      </w:r>
      <w:r w:rsidRPr="007D01D9" w:rsidR="007265EE">
        <w:rPr>
          <w:szCs w:val="22"/>
        </w:rPr>
        <w:t>LCPR Ventures LLC</w:t>
      </w:r>
      <w:r w:rsidR="007265EE">
        <w:rPr>
          <w:szCs w:val="22"/>
        </w:rPr>
        <w:t xml:space="preserve">, and </w:t>
      </w:r>
      <w:r w:rsidRPr="007D01D9" w:rsidR="007265EE">
        <w:rPr>
          <w:szCs w:val="22"/>
        </w:rPr>
        <w:t>Liberty Communications PR Holding LP (f/k/a Leo Cable LP)</w:t>
      </w:r>
      <w:r w:rsidR="007265EE">
        <w:rPr>
          <w:szCs w:val="22"/>
        </w:rPr>
        <w:t>—each of which is a Delaware holding company,</w:t>
      </w:r>
      <w:r w:rsidRPr="007265EE" w:rsidR="007265EE">
        <w:rPr>
          <w:szCs w:val="22"/>
        </w:rPr>
        <w:t xml:space="preserve"> </w:t>
      </w:r>
      <w:r w:rsidRPr="007D01D9" w:rsidR="007265EE">
        <w:rPr>
          <w:szCs w:val="22"/>
        </w:rPr>
        <w:t>hold</w:t>
      </w:r>
      <w:r w:rsidR="007265EE">
        <w:rPr>
          <w:szCs w:val="22"/>
        </w:rPr>
        <w:t>ing</w:t>
      </w:r>
      <w:r w:rsidRPr="007D01D9" w:rsidR="007265EE">
        <w:rPr>
          <w:szCs w:val="22"/>
        </w:rPr>
        <w:t xml:space="preserve"> a 100% direct equity and voting interest in </w:t>
      </w:r>
      <w:r w:rsidR="007265EE">
        <w:rPr>
          <w:szCs w:val="22"/>
        </w:rPr>
        <w:t>the company below it in the corporate structure.</w:t>
      </w:r>
      <w:r>
        <w:rPr>
          <w:rStyle w:val="FootnoteReference"/>
          <w:szCs w:val="22"/>
        </w:rPr>
        <w:footnoteReference w:id="15"/>
      </w:r>
      <w:r w:rsidR="007265EE">
        <w:rPr>
          <w:szCs w:val="22"/>
        </w:rPr>
        <w:t xml:space="preserve">  </w:t>
      </w:r>
      <w:r w:rsidRPr="007D01D9" w:rsidR="007265EE">
        <w:rPr>
          <w:szCs w:val="22"/>
        </w:rPr>
        <w:t>Leo Cable LLC</w:t>
      </w:r>
      <w:r w:rsidR="006F041D">
        <w:rPr>
          <w:szCs w:val="22"/>
        </w:rPr>
        <w:t>, a Delaware LLC,</w:t>
      </w:r>
      <w:r w:rsidRPr="007265EE" w:rsidR="007265EE">
        <w:rPr>
          <w:szCs w:val="22"/>
        </w:rPr>
        <w:t xml:space="preserve"> </w:t>
      </w:r>
      <w:r w:rsidRPr="007D01D9" w:rsidR="007265EE">
        <w:rPr>
          <w:szCs w:val="22"/>
        </w:rPr>
        <w:t>holds a 100</w:t>
      </w:r>
      <w:r w:rsidR="006F041D">
        <w:rPr>
          <w:szCs w:val="22"/>
        </w:rPr>
        <w:t xml:space="preserve">% </w:t>
      </w:r>
      <w:r w:rsidRPr="007D01D9" w:rsidR="007265EE">
        <w:rPr>
          <w:szCs w:val="22"/>
        </w:rPr>
        <w:t>voting (general partner interest) in Liberty Communications PR Holding LP</w:t>
      </w:r>
      <w:r w:rsidR="006F041D">
        <w:rPr>
          <w:szCs w:val="22"/>
        </w:rPr>
        <w:t>.</w:t>
      </w:r>
      <w:r>
        <w:rPr>
          <w:rStyle w:val="FootnoteReference"/>
          <w:szCs w:val="22"/>
        </w:rPr>
        <w:footnoteReference w:id="16"/>
      </w:r>
      <w:r w:rsidR="006F041D">
        <w:rPr>
          <w:szCs w:val="22"/>
        </w:rPr>
        <w:t xml:space="preserve">  </w:t>
      </w:r>
      <w:r w:rsidRPr="007D01D9" w:rsidR="006F041D">
        <w:rPr>
          <w:szCs w:val="22"/>
        </w:rPr>
        <w:t>LiLAC</w:t>
      </w:r>
      <w:r w:rsidRPr="007D01D9" w:rsidR="006F041D">
        <w:rPr>
          <w:szCs w:val="22"/>
        </w:rPr>
        <w:t xml:space="preserve"> Ventures Ltd.</w:t>
      </w:r>
      <w:r w:rsidR="009C4F5A">
        <w:rPr>
          <w:szCs w:val="22"/>
        </w:rPr>
        <w:t xml:space="preserve"> of the Cayman Islands</w:t>
      </w:r>
      <w:r w:rsidRPr="006F041D" w:rsidR="006F041D">
        <w:rPr>
          <w:szCs w:val="22"/>
        </w:rPr>
        <w:t xml:space="preserve"> </w:t>
      </w:r>
      <w:r w:rsidRPr="007D01D9" w:rsidR="006F041D">
        <w:rPr>
          <w:szCs w:val="22"/>
        </w:rPr>
        <w:t>holds a 66.39</w:t>
      </w:r>
      <w:r w:rsidR="00544B51">
        <w:rPr>
          <w:szCs w:val="22"/>
        </w:rPr>
        <w:t>%</w:t>
      </w:r>
      <w:r w:rsidRPr="007D01D9" w:rsidR="006F041D">
        <w:rPr>
          <w:szCs w:val="22"/>
        </w:rPr>
        <w:t xml:space="preserve"> limited partnership/economic interest in Liberty Communications PR Holding LP and a </w:t>
      </w:r>
      <w:r w:rsidRPr="007D01D9" w:rsidR="006F041D">
        <w:rPr>
          <w:szCs w:val="22"/>
        </w:rPr>
        <w:t>66.39</w:t>
      </w:r>
      <w:r w:rsidR="00544B51">
        <w:rPr>
          <w:szCs w:val="22"/>
        </w:rPr>
        <w:t>%</w:t>
      </w:r>
      <w:r w:rsidRPr="007D01D9" w:rsidR="006F041D">
        <w:rPr>
          <w:szCs w:val="22"/>
        </w:rPr>
        <w:t xml:space="preserve"> voting/equity interest in Leo Cable LLC</w:t>
      </w:r>
      <w:r w:rsidR="009C4F5A">
        <w:rPr>
          <w:szCs w:val="22"/>
        </w:rPr>
        <w:t>.</w:t>
      </w:r>
      <w:r>
        <w:rPr>
          <w:rStyle w:val="FootnoteReference"/>
          <w:szCs w:val="22"/>
        </w:rPr>
        <w:footnoteReference w:id="17"/>
      </w:r>
      <w:r w:rsidRPr="009C4F5A" w:rsidR="009C4F5A">
        <w:rPr>
          <w:szCs w:val="22"/>
        </w:rPr>
        <w:t xml:space="preserve"> </w:t>
      </w:r>
      <w:r w:rsidR="009C4F5A">
        <w:rPr>
          <w:szCs w:val="22"/>
        </w:rPr>
        <w:t xml:space="preserve"> </w:t>
      </w:r>
      <w:r w:rsidRPr="007D01D9" w:rsidR="009C4F5A">
        <w:rPr>
          <w:szCs w:val="22"/>
        </w:rPr>
        <w:t>LiLAC</w:t>
      </w:r>
      <w:r w:rsidRPr="007D01D9" w:rsidR="009C4F5A">
        <w:rPr>
          <w:szCs w:val="22"/>
        </w:rPr>
        <w:t xml:space="preserve"> Communications Inc.</w:t>
      </w:r>
      <w:r w:rsidR="009C4F5A">
        <w:rPr>
          <w:szCs w:val="22"/>
        </w:rPr>
        <w:t xml:space="preserve">, a Delaware corporation, </w:t>
      </w:r>
      <w:r w:rsidRPr="007D01D9" w:rsidR="009C4F5A">
        <w:rPr>
          <w:szCs w:val="22"/>
        </w:rPr>
        <w:t>holds a 33.61</w:t>
      </w:r>
      <w:r w:rsidR="00B567EB">
        <w:rPr>
          <w:szCs w:val="22"/>
        </w:rPr>
        <w:t>%</w:t>
      </w:r>
      <w:r w:rsidRPr="007D01D9" w:rsidR="009C4F5A">
        <w:rPr>
          <w:szCs w:val="22"/>
        </w:rPr>
        <w:t xml:space="preserve"> limited partnership/economic interest in Liberty Communications PR Holding LP and a 33.61</w:t>
      </w:r>
      <w:r w:rsidR="00544B51">
        <w:rPr>
          <w:szCs w:val="22"/>
        </w:rPr>
        <w:t>%</w:t>
      </w:r>
      <w:r w:rsidRPr="007D01D9" w:rsidR="009C4F5A">
        <w:rPr>
          <w:szCs w:val="22"/>
        </w:rPr>
        <w:t xml:space="preserve"> voting/equity interest in Leo Cable LLC</w:t>
      </w:r>
      <w:r w:rsidR="009C4F5A">
        <w:rPr>
          <w:szCs w:val="22"/>
        </w:rPr>
        <w:t>.</w:t>
      </w:r>
      <w:r>
        <w:rPr>
          <w:rStyle w:val="FootnoteReference"/>
          <w:szCs w:val="22"/>
        </w:rPr>
        <w:footnoteReference w:id="18"/>
      </w:r>
      <w:r w:rsidR="009C4F5A">
        <w:rPr>
          <w:szCs w:val="22"/>
        </w:rPr>
        <w:t xml:space="preserve"> </w:t>
      </w:r>
      <w:r w:rsidRPr="009C4F5A" w:rsidR="009C4F5A">
        <w:rPr>
          <w:szCs w:val="22"/>
        </w:rPr>
        <w:t xml:space="preserve"> </w:t>
      </w:r>
      <w:r w:rsidRPr="007D01D9" w:rsidR="009C4F5A">
        <w:rPr>
          <w:szCs w:val="22"/>
        </w:rPr>
        <w:t>LGI International Holdings, LLC</w:t>
      </w:r>
      <w:r w:rsidR="009C4F5A">
        <w:rPr>
          <w:szCs w:val="22"/>
        </w:rPr>
        <w:t xml:space="preserve">, a Colorado </w:t>
      </w:r>
      <w:r w:rsidR="00787182">
        <w:rPr>
          <w:szCs w:val="22"/>
        </w:rPr>
        <w:t>limited liability company</w:t>
      </w:r>
      <w:r w:rsidR="009C4F5A">
        <w:rPr>
          <w:szCs w:val="22"/>
        </w:rPr>
        <w:t>,</w:t>
      </w:r>
      <w:r w:rsidRPr="009C4F5A" w:rsidR="009C4F5A">
        <w:rPr>
          <w:szCs w:val="22"/>
        </w:rPr>
        <w:t xml:space="preserve"> </w:t>
      </w:r>
      <w:r w:rsidRPr="007D01D9" w:rsidR="009C4F5A">
        <w:rPr>
          <w:szCs w:val="22"/>
        </w:rPr>
        <w:t>holds a direct 100</w:t>
      </w:r>
      <w:r w:rsidR="00544B51">
        <w:rPr>
          <w:szCs w:val="22"/>
        </w:rPr>
        <w:t>%</w:t>
      </w:r>
      <w:r w:rsidRPr="007D01D9" w:rsidR="009C4F5A">
        <w:rPr>
          <w:szCs w:val="22"/>
        </w:rPr>
        <w:t xml:space="preserve"> equity/voting interest in </w:t>
      </w:r>
      <w:r w:rsidRPr="007D01D9" w:rsidR="009C4F5A">
        <w:rPr>
          <w:szCs w:val="22"/>
        </w:rPr>
        <w:t>LiLAC</w:t>
      </w:r>
      <w:r w:rsidRPr="007D01D9" w:rsidR="009C4F5A">
        <w:rPr>
          <w:szCs w:val="22"/>
        </w:rPr>
        <w:t xml:space="preserve"> Communications, Inc.</w:t>
      </w:r>
      <w:r>
        <w:rPr>
          <w:rStyle w:val="FootnoteReference"/>
          <w:szCs w:val="22"/>
        </w:rPr>
        <w:footnoteReference w:id="19"/>
      </w:r>
      <w:r w:rsidRPr="009C4F5A" w:rsidR="009C4F5A">
        <w:rPr>
          <w:szCs w:val="22"/>
        </w:rPr>
        <w:t xml:space="preserve"> </w:t>
      </w:r>
      <w:r w:rsidR="009C4F5A">
        <w:rPr>
          <w:szCs w:val="22"/>
        </w:rPr>
        <w:t xml:space="preserve"> </w:t>
      </w:r>
      <w:r w:rsidRPr="007D01D9" w:rsidR="009C4F5A">
        <w:rPr>
          <w:szCs w:val="22"/>
        </w:rPr>
        <w:t>LiLAC</w:t>
      </w:r>
      <w:r w:rsidRPr="007D01D9" w:rsidR="009C4F5A">
        <w:rPr>
          <w:szCs w:val="22"/>
        </w:rPr>
        <w:t xml:space="preserve"> Services Ltd.</w:t>
      </w:r>
      <w:r w:rsidR="009C4F5A">
        <w:rPr>
          <w:szCs w:val="22"/>
        </w:rPr>
        <w:t xml:space="preserve"> of Bermuda </w:t>
      </w:r>
      <w:r w:rsidRPr="007D01D9" w:rsidR="009C4F5A">
        <w:rPr>
          <w:szCs w:val="22"/>
        </w:rPr>
        <w:t>holds a direct 100</w:t>
      </w:r>
      <w:r w:rsidR="00544B51">
        <w:rPr>
          <w:szCs w:val="22"/>
        </w:rPr>
        <w:t>%</w:t>
      </w:r>
      <w:r w:rsidRPr="007D01D9" w:rsidR="009C4F5A">
        <w:rPr>
          <w:szCs w:val="22"/>
        </w:rPr>
        <w:t xml:space="preserve"> equity/voting interest in LGI International Holdings, LLC</w:t>
      </w:r>
      <w:r w:rsidR="009C4F5A">
        <w:rPr>
          <w:szCs w:val="22"/>
        </w:rPr>
        <w:t>.</w:t>
      </w:r>
      <w:r>
        <w:rPr>
          <w:rStyle w:val="FootnoteReference"/>
          <w:szCs w:val="22"/>
        </w:rPr>
        <w:footnoteReference w:id="20"/>
      </w:r>
      <w:r w:rsidRPr="009C4F5A" w:rsidR="009C4F5A">
        <w:rPr>
          <w:szCs w:val="22"/>
        </w:rPr>
        <w:t xml:space="preserve"> </w:t>
      </w:r>
      <w:r w:rsidR="009C4F5A">
        <w:rPr>
          <w:szCs w:val="22"/>
        </w:rPr>
        <w:t xml:space="preserve"> </w:t>
      </w:r>
      <w:r w:rsidR="00787182">
        <w:rPr>
          <w:szCs w:val="22"/>
        </w:rPr>
        <w:t>LLA</w:t>
      </w:r>
      <w:r w:rsidR="009C4F5A">
        <w:rPr>
          <w:szCs w:val="22"/>
        </w:rPr>
        <w:t xml:space="preserve"> </w:t>
      </w:r>
      <w:r w:rsidRPr="007D01D9" w:rsidR="009C4F5A">
        <w:rPr>
          <w:szCs w:val="22"/>
        </w:rPr>
        <w:t>holds a direct 100</w:t>
      </w:r>
      <w:r w:rsidR="00544B51">
        <w:rPr>
          <w:szCs w:val="22"/>
        </w:rPr>
        <w:t>%</w:t>
      </w:r>
      <w:r w:rsidRPr="007D01D9" w:rsidR="009C4F5A">
        <w:rPr>
          <w:szCs w:val="22"/>
        </w:rPr>
        <w:t xml:space="preserve"> equity/voting interest in </w:t>
      </w:r>
      <w:r w:rsidRPr="007D01D9" w:rsidR="009C4F5A">
        <w:rPr>
          <w:szCs w:val="22"/>
        </w:rPr>
        <w:t>LiLAC</w:t>
      </w:r>
      <w:r w:rsidRPr="007D01D9" w:rsidR="009C4F5A">
        <w:rPr>
          <w:szCs w:val="22"/>
        </w:rPr>
        <w:t xml:space="preserve"> Services Ltd.</w:t>
      </w:r>
      <w:r>
        <w:rPr>
          <w:rStyle w:val="FootnoteReference"/>
          <w:szCs w:val="22"/>
        </w:rPr>
        <w:footnoteReference w:id="21"/>
      </w:r>
      <w:r w:rsidR="009C4F5A">
        <w:rPr>
          <w:szCs w:val="22"/>
        </w:rPr>
        <w:t xml:space="preserve">  </w:t>
      </w:r>
      <w:r w:rsidRPr="007D01D9" w:rsidR="009C4F5A">
        <w:rPr>
          <w:szCs w:val="22"/>
        </w:rPr>
        <w:t>John C. Malone</w:t>
      </w:r>
      <w:r w:rsidR="009C4F5A">
        <w:rPr>
          <w:szCs w:val="22"/>
        </w:rPr>
        <w:t xml:space="preserve">, a U.S. Citizen, holds a direct 10% or greater interest in </w:t>
      </w:r>
      <w:r w:rsidRPr="007D01D9" w:rsidR="009C4F5A">
        <w:rPr>
          <w:szCs w:val="22"/>
        </w:rPr>
        <w:t>Liberty Latin America Ltd.</w:t>
      </w:r>
      <w:r w:rsidRPr="009C4F5A" w:rsidR="009C4F5A">
        <w:rPr>
          <w:szCs w:val="22"/>
        </w:rPr>
        <w:t xml:space="preserve"> </w:t>
      </w:r>
      <w:r w:rsidR="009C4F5A">
        <w:rPr>
          <w:szCs w:val="22"/>
        </w:rPr>
        <w:t xml:space="preserve"> As a result, Mr. Malone holds a </w:t>
      </w:r>
      <w:r w:rsidRPr="007D01D9" w:rsidR="009C4F5A">
        <w:rPr>
          <w:szCs w:val="22"/>
        </w:rPr>
        <w:t>25.40</w:t>
      </w:r>
      <w:r w:rsidR="00B567EB">
        <w:rPr>
          <w:szCs w:val="22"/>
        </w:rPr>
        <w:t>%</w:t>
      </w:r>
      <w:r w:rsidRPr="007D01D9" w:rsidR="009C4F5A">
        <w:rPr>
          <w:szCs w:val="22"/>
        </w:rPr>
        <w:t xml:space="preserve"> indirect voting and 5.40</w:t>
      </w:r>
      <w:r w:rsidR="00B567EB">
        <w:rPr>
          <w:szCs w:val="22"/>
        </w:rPr>
        <w:t>%</w:t>
      </w:r>
      <w:r w:rsidRPr="007D01D9" w:rsidR="009C4F5A">
        <w:rPr>
          <w:szCs w:val="22"/>
        </w:rPr>
        <w:t xml:space="preserve"> indirect equity interest in Liberty</w:t>
      </w:r>
      <w:r w:rsidR="009C4F5A">
        <w:rPr>
          <w:szCs w:val="22"/>
        </w:rPr>
        <w:t>.</w:t>
      </w:r>
      <w:r>
        <w:rPr>
          <w:rStyle w:val="FootnoteReference"/>
          <w:szCs w:val="22"/>
        </w:rPr>
        <w:footnoteReference w:id="22"/>
      </w:r>
      <w:r w:rsidR="009C4F5A">
        <w:rPr>
          <w:szCs w:val="22"/>
        </w:rPr>
        <w:t xml:space="preserve">  </w:t>
      </w:r>
    </w:p>
    <w:bookmarkEnd w:id="9"/>
    <w:p w:rsidR="00E90C98" w:rsidRPr="007029E3" w:rsidP="004903C4" w14:paraId="43C287EE" w14:textId="4D6DBBEB">
      <w:pPr>
        <w:autoSpaceDE w:val="0"/>
        <w:autoSpaceDN w:val="0"/>
        <w:adjustRightInd w:val="0"/>
        <w:spacing w:after="120"/>
        <w:ind w:firstLine="720"/>
        <w:rPr>
          <w:rFonts w:ascii="TimesNewRomanPSMT" w:hAnsi="TimesNewRomanPSMT"/>
        </w:rPr>
      </w:pPr>
      <w:r>
        <w:rPr>
          <w:szCs w:val="22"/>
        </w:rPr>
        <w:t>Pursuant to the terms of the proposed transaction,</w:t>
      </w:r>
      <w:r w:rsidRPr="000253E5">
        <w:rPr>
          <w:szCs w:val="22"/>
        </w:rPr>
        <w:t xml:space="preserve"> </w:t>
      </w:r>
      <w:r w:rsidRPr="000253E5" w:rsidR="00EC5E3D">
        <w:rPr>
          <w:szCs w:val="22"/>
        </w:rPr>
        <w:t xml:space="preserve">Liberty </w:t>
      </w:r>
      <w:r w:rsidR="000253E5">
        <w:rPr>
          <w:szCs w:val="22"/>
        </w:rPr>
        <w:t>would</w:t>
      </w:r>
      <w:r w:rsidRPr="000253E5" w:rsidR="00EC5E3D">
        <w:rPr>
          <w:szCs w:val="22"/>
        </w:rPr>
        <w:t xml:space="preserve"> acquire a controlling interest of approximately 96</w:t>
      </w:r>
      <w:r w:rsidR="000253E5">
        <w:rPr>
          <w:szCs w:val="22"/>
        </w:rPr>
        <w:t>%</w:t>
      </w:r>
      <w:r w:rsidRPr="000253E5" w:rsidR="00EC5E3D">
        <w:rPr>
          <w:szCs w:val="22"/>
        </w:rPr>
        <w:t xml:space="preserve"> of BBVI</w:t>
      </w:r>
      <w:r w:rsidR="000253E5">
        <w:rPr>
          <w:szCs w:val="22"/>
        </w:rPr>
        <w:t xml:space="preserve"> from B</w:t>
      </w:r>
      <w:r w:rsidRPr="000253E5" w:rsidR="000253E5">
        <w:rPr>
          <w:szCs w:val="22"/>
        </w:rPr>
        <w:t>roadband Investments LLLP</w:t>
      </w:r>
      <w:r w:rsidR="000253E5">
        <w:rPr>
          <w:szCs w:val="22"/>
        </w:rPr>
        <w:t>,</w:t>
      </w:r>
      <w:r w:rsidRPr="000253E5" w:rsidR="000253E5">
        <w:rPr>
          <w:szCs w:val="22"/>
        </w:rPr>
        <w:t xml:space="preserve"> Michael J. Meluskey</w:t>
      </w:r>
      <w:r w:rsidR="000253E5">
        <w:rPr>
          <w:szCs w:val="22"/>
        </w:rPr>
        <w:t xml:space="preserve">, and </w:t>
      </w:r>
      <w:r w:rsidRPr="000253E5" w:rsidR="000253E5">
        <w:rPr>
          <w:szCs w:val="22"/>
        </w:rPr>
        <w:t>two other individuals who hold a total of 0.20% of BBVI.</w:t>
      </w:r>
      <w:r>
        <w:rPr>
          <w:rStyle w:val="FootnoteReference"/>
          <w:szCs w:val="22"/>
        </w:rPr>
        <w:footnoteReference w:id="23"/>
      </w:r>
      <w:r w:rsidRPr="000253E5" w:rsidR="000253E5">
        <w:rPr>
          <w:szCs w:val="22"/>
        </w:rPr>
        <w:t xml:space="preserve"> </w:t>
      </w:r>
      <w:r w:rsidR="000253E5">
        <w:rPr>
          <w:szCs w:val="22"/>
        </w:rPr>
        <w:t xml:space="preserve"> </w:t>
      </w:r>
      <w:r w:rsidR="007029E3">
        <w:rPr>
          <w:rFonts w:ascii="TimesNewRomanPSMT" w:hAnsi="TimesNewRomanPSMT"/>
        </w:rPr>
        <w:t>Applicants explain that, u</w:t>
      </w:r>
      <w:r w:rsidRPr="000253E5" w:rsidR="000253E5">
        <w:rPr>
          <w:rFonts w:ascii="TimesNewRomanPSMT" w:hAnsi="TimesNewRomanPSMT"/>
        </w:rPr>
        <w:t xml:space="preserve">pon consummation of the </w:t>
      </w:r>
      <w:r w:rsidR="00F66954">
        <w:rPr>
          <w:rFonts w:ascii="TimesNewRomanPSMT" w:hAnsi="TimesNewRomanPSMT"/>
        </w:rPr>
        <w:t>p</w:t>
      </w:r>
      <w:r w:rsidRPr="000253E5" w:rsidR="000253E5">
        <w:rPr>
          <w:rFonts w:ascii="TimesNewRomanPSMT" w:hAnsi="TimesNewRomanPSMT"/>
        </w:rPr>
        <w:t xml:space="preserve">roposed </w:t>
      </w:r>
      <w:r w:rsidR="00F66954">
        <w:rPr>
          <w:rFonts w:ascii="TimesNewRomanPSMT" w:hAnsi="TimesNewRomanPSMT"/>
        </w:rPr>
        <w:t>t</w:t>
      </w:r>
      <w:r w:rsidRPr="000253E5" w:rsidR="000253E5">
        <w:rPr>
          <w:rFonts w:ascii="TimesNewRomanPSMT" w:hAnsi="TimesNewRomanPSMT"/>
        </w:rPr>
        <w:t xml:space="preserve">ransaction, Liberty’s experienced management team </w:t>
      </w:r>
      <w:r w:rsidR="00F66954">
        <w:rPr>
          <w:rFonts w:ascii="TimesNewRomanPSMT" w:hAnsi="TimesNewRomanPSMT"/>
        </w:rPr>
        <w:t>would</w:t>
      </w:r>
      <w:r w:rsidRPr="000253E5" w:rsidR="000253E5">
        <w:rPr>
          <w:rFonts w:ascii="TimesNewRomanPSMT" w:hAnsi="TimesNewRomanPSMT"/>
        </w:rPr>
        <w:t xml:space="preserve"> assume the operations of BBVI, including BBVI’s C</w:t>
      </w:r>
      <w:r w:rsidR="00F66954">
        <w:rPr>
          <w:rFonts w:ascii="TimesNewRomanPSMT" w:hAnsi="TimesNewRomanPSMT"/>
        </w:rPr>
        <w:t xml:space="preserve">onnect </w:t>
      </w:r>
      <w:r w:rsidRPr="000253E5" w:rsidR="000253E5">
        <w:rPr>
          <w:rFonts w:ascii="TimesNewRomanPSMT" w:hAnsi="TimesNewRomanPSMT"/>
        </w:rPr>
        <w:t>USVI Fund obligations.</w:t>
      </w:r>
      <w:r>
        <w:rPr>
          <w:rStyle w:val="FootnoteReference"/>
          <w:rFonts w:ascii="TimesNewRomanPSMT" w:hAnsi="TimesNewRomanPSMT"/>
        </w:rPr>
        <w:footnoteReference w:id="24"/>
      </w:r>
      <w:r w:rsidR="00F66954">
        <w:rPr>
          <w:rFonts w:ascii="TimesNewRomanPSMT" w:hAnsi="TimesNewRomanPSMT"/>
        </w:rPr>
        <w:t xml:space="preserve"> </w:t>
      </w:r>
      <w:r w:rsidRPr="000253E5" w:rsidR="000253E5">
        <w:rPr>
          <w:rFonts w:ascii="TimesNewRomanPSMT" w:hAnsi="TimesNewRomanPSMT"/>
        </w:rPr>
        <w:t xml:space="preserve"> </w:t>
      </w:r>
    </w:p>
    <w:p w:rsidR="00E90C98" w:rsidRPr="009D6CBA" w:rsidP="009D6CBA" w14:paraId="372ACC01" w14:textId="7E0B0466">
      <w:pPr>
        <w:autoSpaceDE w:val="0"/>
        <w:autoSpaceDN w:val="0"/>
        <w:adjustRightInd w:val="0"/>
        <w:spacing w:after="120"/>
        <w:ind w:firstLine="720"/>
      </w:pPr>
      <w:r>
        <w:rPr>
          <w:bCs/>
          <w:szCs w:val="22"/>
        </w:rPr>
        <w:t xml:space="preserve">Applicants assert that a grant of the </w:t>
      </w:r>
      <w:r w:rsidR="00AC5DFB">
        <w:rPr>
          <w:bCs/>
          <w:szCs w:val="22"/>
        </w:rPr>
        <w:t>A</w:t>
      </w:r>
      <w:r>
        <w:rPr>
          <w:bCs/>
          <w:szCs w:val="22"/>
        </w:rPr>
        <w:t>pplication would serve the public interest, convenience, and necessity.  They</w:t>
      </w:r>
      <w:r>
        <w:t xml:space="preserve"> state that the proposed transaction </w:t>
      </w:r>
      <w:r w:rsidR="00EC5E3D">
        <w:t>“</w:t>
      </w:r>
      <w:r w:rsidRPr="00EC5E3D" w:rsidR="00EC5E3D">
        <w:t>will promote the public interest by providing BBVI with additional financial resources, operational capability and management expertise that will allow the company to accelerate its efforts to deploy resilient fiber-based voice and broadband services in the U.S. Virgin Islands and thereby help bridge the digital divide.</w:t>
      </w:r>
      <w:r w:rsidR="00EC5E3D">
        <w:t>”</w:t>
      </w:r>
      <w:r>
        <w:rPr>
          <w:rStyle w:val="FootnoteReference"/>
        </w:rPr>
        <w:footnoteReference w:id="25"/>
      </w:r>
      <w:r w:rsidR="009D6CBA">
        <w:t xml:space="preserve">  </w:t>
      </w:r>
      <w:r w:rsidRPr="00F42676" w:rsidR="009D6CBA">
        <w:rPr>
          <w:bCs/>
          <w:szCs w:val="22"/>
        </w:rPr>
        <w:t xml:space="preserve">Specifically, Applicants state that </w:t>
      </w:r>
      <w:r w:rsidRPr="004903C4" w:rsidR="004903C4">
        <w:rPr>
          <w:bCs/>
          <w:szCs w:val="22"/>
        </w:rPr>
        <w:t xml:space="preserve">the </w:t>
      </w:r>
      <w:r w:rsidRPr="00F42676" w:rsidR="009D6CBA">
        <w:rPr>
          <w:bCs/>
          <w:szCs w:val="22"/>
        </w:rPr>
        <w:t>p</w:t>
      </w:r>
      <w:r w:rsidRPr="004903C4" w:rsidR="004903C4">
        <w:rPr>
          <w:bCs/>
          <w:szCs w:val="22"/>
        </w:rPr>
        <w:t xml:space="preserve">roposed </w:t>
      </w:r>
      <w:r w:rsidRPr="00F42676" w:rsidR="009D6CBA">
        <w:rPr>
          <w:bCs/>
          <w:szCs w:val="22"/>
        </w:rPr>
        <w:t>t</w:t>
      </w:r>
      <w:r w:rsidRPr="004903C4" w:rsidR="004903C4">
        <w:rPr>
          <w:bCs/>
          <w:szCs w:val="22"/>
        </w:rPr>
        <w:t xml:space="preserve">ransaction will provide BBVI access to capital from Liberty’s substantial financial resources, </w:t>
      </w:r>
      <w:r w:rsidRPr="00F42676" w:rsidR="009D6CBA">
        <w:rPr>
          <w:bCs/>
          <w:szCs w:val="22"/>
        </w:rPr>
        <w:t>and that</w:t>
      </w:r>
      <w:r w:rsidRPr="00F42676" w:rsidR="004903C4">
        <w:rPr>
          <w:bCs/>
          <w:szCs w:val="22"/>
        </w:rPr>
        <w:t xml:space="preserve"> </w:t>
      </w:r>
      <w:r w:rsidRPr="00F42676" w:rsidR="009D6CBA">
        <w:rPr>
          <w:bCs/>
          <w:szCs w:val="22"/>
        </w:rPr>
        <w:t>“</w:t>
      </w:r>
      <w:r w:rsidRPr="00F42676" w:rsidR="004903C4">
        <w:rPr>
          <w:bCs/>
          <w:szCs w:val="22"/>
        </w:rPr>
        <w:t xml:space="preserve">as a result of this infusion of capital, BBVI will be well positioned to accelerate the network construction and deployment of the </w:t>
      </w:r>
      <w:r w:rsidRPr="00F42676" w:rsidR="009D6CBA">
        <w:rPr>
          <w:bCs/>
          <w:szCs w:val="22"/>
        </w:rPr>
        <w:t xml:space="preserve">[Connect] </w:t>
      </w:r>
      <w:r w:rsidRPr="00F42676" w:rsidR="004903C4">
        <w:rPr>
          <w:bCs/>
          <w:szCs w:val="22"/>
        </w:rPr>
        <w:t xml:space="preserve">USVI Fund fiber network that will make voice and Gigabit broadband available to all 46,039 locations in the U.S. Virgin Islands by the end of 2027, as required by Stage 2 of the </w:t>
      </w:r>
      <w:r w:rsidRPr="00F42676" w:rsidR="009D6CBA">
        <w:rPr>
          <w:bCs/>
          <w:szCs w:val="22"/>
        </w:rPr>
        <w:t xml:space="preserve">[Connect] </w:t>
      </w:r>
      <w:r w:rsidRPr="00F42676" w:rsidR="004903C4">
        <w:rPr>
          <w:bCs/>
          <w:szCs w:val="22"/>
        </w:rPr>
        <w:t>USVI Fund program.</w:t>
      </w:r>
      <w:r w:rsidRPr="00F42676" w:rsidR="009D6CBA">
        <w:rPr>
          <w:bCs/>
          <w:szCs w:val="22"/>
        </w:rPr>
        <w:t>”</w:t>
      </w:r>
      <w:r>
        <w:rPr>
          <w:rStyle w:val="FootnoteReference"/>
          <w:rFonts w:ascii="TimesNewRomanPSMT" w:hAnsi="TimesNewRomanPSMT"/>
        </w:rPr>
        <w:footnoteReference w:id="26"/>
      </w:r>
      <w:r w:rsidRPr="004903C4" w:rsidR="004903C4">
        <w:rPr>
          <w:rFonts w:ascii="TimesNewRomanPSMT" w:hAnsi="TimesNewRomanPSMT"/>
        </w:rPr>
        <w:t xml:space="preserve"> </w:t>
      </w:r>
      <w:r w:rsidR="009D6CBA">
        <w:rPr>
          <w:rFonts w:ascii="TimesNewRomanPSMT" w:hAnsi="TimesNewRomanPSMT"/>
        </w:rPr>
        <w:t xml:space="preserve"> </w:t>
      </w:r>
      <w:r w:rsidRPr="00F42676" w:rsidR="009D6CBA">
        <w:rPr>
          <w:bCs/>
          <w:szCs w:val="22"/>
        </w:rPr>
        <w:t xml:space="preserve">Applicants further contend that </w:t>
      </w:r>
      <w:r w:rsidRPr="004903C4" w:rsidR="004903C4">
        <w:rPr>
          <w:bCs/>
          <w:szCs w:val="22"/>
        </w:rPr>
        <w:t xml:space="preserve">Liberty </w:t>
      </w:r>
      <w:r w:rsidRPr="00F42676" w:rsidR="009D6CBA">
        <w:rPr>
          <w:bCs/>
          <w:szCs w:val="22"/>
        </w:rPr>
        <w:t>“</w:t>
      </w:r>
      <w:r w:rsidRPr="004903C4" w:rsidR="004903C4">
        <w:rPr>
          <w:bCs/>
          <w:szCs w:val="22"/>
        </w:rPr>
        <w:t>has extensive operational experience and managerial capabilities and resources, which will help steer BBVI’s service enhancements and expansion, including in connection with BBVI’s existing fixed wireless broadband network and deployment of the planned fiber network.</w:t>
      </w:r>
      <w:r w:rsidRPr="00F42676" w:rsidR="009D6CBA">
        <w:rPr>
          <w:bCs/>
          <w:szCs w:val="22"/>
        </w:rPr>
        <w:t>”</w:t>
      </w:r>
      <w:r>
        <w:rPr>
          <w:rStyle w:val="FootnoteReference"/>
          <w:sz w:val="24"/>
          <w:szCs w:val="24"/>
        </w:rPr>
        <w:footnoteReference w:id="27"/>
      </w:r>
      <w:r w:rsidRPr="004903C4" w:rsidR="004903C4">
        <w:rPr>
          <w:sz w:val="24"/>
          <w:szCs w:val="24"/>
        </w:rPr>
        <w:t xml:space="preserve"> </w:t>
      </w:r>
      <w:r w:rsidR="009D6CBA">
        <w:rPr>
          <w:sz w:val="24"/>
          <w:szCs w:val="24"/>
        </w:rPr>
        <w:t xml:space="preserve"> </w:t>
      </w:r>
      <w:r w:rsidRPr="00F42676" w:rsidR="009D6CBA">
        <w:rPr>
          <w:bCs/>
          <w:szCs w:val="22"/>
        </w:rPr>
        <w:t xml:space="preserve">Finally, Applicants assert that </w:t>
      </w:r>
      <w:r w:rsidRPr="00F42676" w:rsidR="009D6CBA">
        <w:rPr>
          <w:bCs/>
          <w:szCs w:val="22"/>
        </w:rPr>
        <w:t>the proposed transaction will not adversely affect competition and will be seamless with respect to BBVI’s existing customers.</w:t>
      </w:r>
      <w:r>
        <w:rPr>
          <w:rStyle w:val="FootnoteReference"/>
          <w:sz w:val="24"/>
          <w:szCs w:val="24"/>
        </w:rPr>
        <w:footnoteReference w:id="28"/>
      </w:r>
    </w:p>
    <w:p w:rsidR="00E90C98" w:rsidP="00E90C98" w14:paraId="7FE10426" w14:textId="569FB407">
      <w:pPr>
        <w:autoSpaceDE w:val="0"/>
        <w:autoSpaceDN w:val="0"/>
        <w:adjustRightInd w:val="0"/>
        <w:spacing w:after="120"/>
        <w:ind w:firstLine="720"/>
        <w:rPr>
          <w:bCs/>
          <w:szCs w:val="22"/>
        </w:rPr>
      </w:pPr>
      <w:r>
        <w:rPr>
          <w:color w:val="000000"/>
          <w:szCs w:val="22"/>
        </w:rPr>
        <w:t xml:space="preserve">Because the proposed transaction involves </w:t>
      </w:r>
      <w:r w:rsidR="003F0E0D">
        <w:rPr>
          <w:color w:val="000000"/>
          <w:szCs w:val="22"/>
        </w:rPr>
        <w:t>the</w:t>
      </w:r>
      <w:r>
        <w:rPr>
          <w:color w:val="000000"/>
          <w:szCs w:val="22"/>
        </w:rPr>
        <w:t xml:space="preserve"> </w:t>
      </w:r>
      <w:r w:rsidR="00BC0F48">
        <w:rPr>
          <w:color w:val="000000"/>
          <w:szCs w:val="22"/>
        </w:rPr>
        <w:t>exchange and assumption of Universal Service Fund high-cost mechanism obligations</w:t>
      </w:r>
      <w:r>
        <w:rPr>
          <w:color w:val="000000"/>
          <w:szCs w:val="22"/>
        </w:rPr>
        <w:t>, we accept the Application for non-streamlined processing</w:t>
      </w:r>
      <w:r w:rsidR="003F0E0D">
        <w:rPr>
          <w:color w:val="000000"/>
          <w:szCs w:val="22"/>
        </w:rPr>
        <w:t xml:space="preserve"> to sufficiently analyze whether the proposed transaction would serve the public interest</w:t>
      </w:r>
      <w:r>
        <w:rPr>
          <w:bCs/>
          <w:szCs w:val="22"/>
        </w:rPr>
        <w:t>.</w:t>
      </w:r>
      <w:r>
        <w:rPr>
          <w:rStyle w:val="FootnoteReference"/>
          <w:bCs/>
          <w:szCs w:val="22"/>
        </w:rPr>
        <w:footnoteReference w:id="29"/>
      </w:r>
      <w:r>
        <w:rPr>
          <w:bCs/>
          <w:szCs w:val="22"/>
        </w:rPr>
        <w:t xml:space="preserve">  </w:t>
      </w:r>
    </w:p>
    <w:p w:rsidR="00E90C98" w:rsidP="00E90C98" w14:paraId="37E74EE0" w14:textId="77777777">
      <w:pPr>
        <w:autoSpaceDE w:val="0"/>
        <w:autoSpaceDN w:val="0"/>
        <w:adjustRightInd w:val="0"/>
        <w:rPr>
          <w:b/>
          <w:szCs w:val="22"/>
          <w:u w:val="single"/>
        </w:rPr>
      </w:pPr>
    </w:p>
    <w:p w:rsidR="00E90C98" w:rsidP="00E90C98" w14:paraId="3FC9B779" w14:textId="77777777">
      <w:pPr>
        <w:autoSpaceDE w:val="0"/>
        <w:autoSpaceDN w:val="0"/>
        <w:adjustRightInd w:val="0"/>
        <w:rPr>
          <w:szCs w:val="22"/>
        </w:rPr>
      </w:pPr>
      <w:r>
        <w:rPr>
          <w:b/>
          <w:szCs w:val="22"/>
          <w:u w:val="single"/>
        </w:rPr>
        <w:t>GENERAL INFORMATION</w:t>
      </w:r>
    </w:p>
    <w:p w:rsidR="00E90C98" w:rsidP="00E90C98" w14:paraId="38907D77" w14:textId="77777777">
      <w:pPr>
        <w:autoSpaceDE w:val="0"/>
        <w:autoSpaceDN w:val="0"/>
        <w:adjustRightInd w:val="0"/>
        <w:rPr>
          <w:szCs w:val="22"/>
        </w:rPr>
      </w:pPr>
    </w:p>
    <w:p w:rsidR="00E90C98" w:rsidP="00E90C98" w14:paraId="1A2A1646" w14:textId="77777777">
      <w:pPr>
        <w:autoSpaceDE w:val="0"/>
        <w:autoSpaceDN w:val="0"/>
        <w:adjustRightInd w:val="0"/>
        <w:spacing w:after="120"/>
        <w:ind w:firstLine="720"/>
        <w:rPr>
          <w:szCs w:val="22"/>
        </w:rPr>
      </w:pPr>
      <w:r>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E90C98" w:rsidP="00E90C98" w14:paraId="5BA53F50" w14:textId="008DB28B">
      <w:pPr>
        <w:autoSpaceDE w:val="0"/>
        <w:autoSpaceDN w:val="0"/>
        <w:adjustRightInd w:val="0"/>
        <w:spacing w:after="120"/>
        <w:ind w:firstLine="720"/>
        <w:rPr>
          <w:szCs w:val="22"/>
        </w:rPr>
      </w:pPr>
      <w:r>
        <w:rPr>
          <w:szCs w:val="22"/>
        </w:rPr>
        <w:t xml:space="preserve">Interested parties may file comments </w:t>
      </w:r>
      <w:r>
        <w:rPr>
          <w:b/>
          <w:szCs w:val="22"/>
        </w:rPr>
        <w:t xml:space="preserve">on or before </w:t>
      </w:r>
      <w:r w:rsidR="00E546D7">
        <w:rPr>
          <w:b/>
          <w:szCs w:val="22"/>
        </w:rPr>
        <w:t>November 5, 2021,</w:t>
      </w:r>
      <w:r>
        <w:rPr>
          <w:szCs w:val="22"/>
        </w:rPr>
        <w:t xml:space="preserve"> and reply comments </w:t>
      </w:r>
      <w:r>
        <w:rPr>
          <w:b/>
          <w:szCs w:val="22"/>
        </w:rPr>
        <w:t xml:space="preserve">on or before </w:t>
      </w:r>
      <w:r w:rsidR="00E546D7">
        <w:rPr>
          <w:b/>
          <w:szCs w:val="22"/>
        </w:rPr>
        <w:t>November 12, 2021.</w:t>
      </w:r>
      <w:r>
        <w:rPr>
          <w:szCs w:val="22"/>
        </w:rPr>
        <w:t xml:space="preserve">  Comments may be filed using the Commission’s Electronic Comment Filing System (ECFS) or by paper.  </w:t>
      </w:r>
    </w:p>
    <w:p w:rsidR="00E90C98" w:rsidP="00E90C98" w14:paraId="6D7ACFA1" w14:textId="77777777">
      <w:pPr>
        <w:numPr>
          <w:ilvl w:val="0"/>
          <w:numId w:val="26"/>
        </w:numPr>
        <w:autoSpaceDE w:val="0"/>
        <w:autoSpaceDN w:val="0"/>
        <w:adjustRightInd w:val="0"/>
        <w:rPr>
          <w:szCs w:val="22"/>
        </w:rPr>
      </w:pPr>
      <w:r>
        <w:rPr>
          <w:szCs w:val="22"/>
        </w:rPr>
        <w:t>Electronic Filers:  Comments may be filed electronically by accessing ECFS at </w:t>
      </w:r>
      <w:hyperlink r:id="rId9" w:history="1">
        <w:r>
          <w:rPr>
            <w:rStyle w:val="Hyperlink"/>
            <w:szCs w:val="22"/>
          </w:rPr>
          <w:t>http://apps.fcc.gov/ecfs/</w:t>
        </w:r>
      </w:hyperlink>
      <w:r>
        <w:rPr>
          <w:rStyle w:val="Hyperlink"/>
          <w:szCs w:val="22"/>
        </w:rPr>
        <w:t xml:space="preserve"> </w:t>
      </w:r>
      <w:r>
        <w:rPr>
          <w:szCs w:val="22"/>
        </w:rPr>
        <w:t>.</w:t>
      </w:r>
    </w:p>
    <w:p w:rsidR="00E90C98" w:rsidP="00E90C98" w14:paraId="1B7C3F16" w14:textId="77777777">
      <w:pPr>
        <w:autoSpaceDE w:val="0"/>
        <w:autoSpaceDN w:val="0"/>
        <w:adjustRightInd w:val="0"/>
        <w:ind w:left="720"/>
        <w:rPr>
          <w:szCs w:val="22"/>
        </w:rPr>
      </w:pPr>
    </w:p>
    <w:p w:rsidR="00E90C98" w:rsidP="00E90C98" w14:paraId="088D028A" w14:textId="77777777">
      <w:pPr>
        <w:numPr>
          <w:ilvl w:val="0"/>
          <w:numId w:val="27"/>
        </w:numPr>
        <w:autoSpaceDE w:val="0"/>
        <w:autoSpaceDN w:val="0"/>
        <w:adjustRightInd w:val="0"/>
        <w:rPr>
          <w:szCs w:val="22"/>
        </w:rPr>
      </w:pPr>
      <w:r>
        <w:rPr>
          <w:i/>
          <w:iCs/>
          <w:szCs w:val="22"/>
        </w:rPr>
        <w:t>Paper Filers</w:t>
      </w:r>
      <w:r>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90C98" w:rsidP="00E90C98" w14:paraId="24A72FEB" w14:textId="77777777">
      <w:pPr>
        <w:autoSpaceDE w:val="0"/>
        <w:autoSpaceDN w:val="0"/>
        <w:adjustRightInd w:val="0"/>
        <w:ind w:left="720"/>
        <w:rPr>
          <w:szCs w:val="22"/>
        </w:rPr>
      </w:pPr>
    </w:p>
    <w:p w:rsidR="00E90C98" w:rsidP="00E90C98" w14:paraId="3CE5FE4C" w14:textId="77777777">
      <w:pPr>
        <w:numPr>
          <w:ilvl w:val="1"/>
          <w:numId w:val="27"/>
        </w:numPr>
        <w:autoSpaceDE w:val="0"/>
        <w:autoSpaceDN w:val="0"/>
        <w:adjustRightInd w:val="0"/>
        <w:rPr>
          <w:szCs w:val="22"/>
        </w:rPr>
      </w:pPr>
      <w:r>
        <w:rPr>
          <w:szCs w:val="22"/>
        </w:rPr>
        <w:t>Filings can be sent by commercial overnight courier or by first-class or overnight U.S. Postal Service mail.</w:t>
      </w:r>
      <w:r>
        <w:rPr>
          <w:szCs w:val="22"/>
          <w:vertAlign w:val="superscript"/>
        </w:rPr>
        <w:footnoteReference w:id="30"/>
      </w:r>
      <w:r>
        <w:rPr>
          <w:szCs w:val="22"/>
        </w:rPr>
        <w:t xml:space="preserve">  All filings must be addressed to the Commission’s Secretary, Office of the Secretary, Federal Communications Commission.</w:t>
      </w:r>
    </w:p>
    <w:p w:rsidR="00E90C98" w:rsidP="00E90C98" w14:paraId="5E597EBA" w14:textId="77777777">
      <w:pPr>
        <w:numPr>
          <w:ilvl w:val="1"/>
          <w:numId w:val="27"/>
        </w:numPr>
        <w:autoSpaceDE w:val="0"/>
        <w:autoSpaceDN w:val="0"/>
        <w:adjustRightInd w:val="0"/>
        <w:rPr>
          <w:szCs w:val="22"/>
        </w:rPr>
      </w:pPr>
      <w:r>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E90C98" w:rsidP="00E90C98" w14:paraId="2A5F8C99" w14:textId="536AF010">
      <w:pPr>
        <w:autoSpaceDE w:val="0"/>
        <w:autoSpaceDN w:val="0"/>
        <w:adjustRightInd w:val="0"/>
        <w:spacing w:after="120"/>
        <w:rPr>
          <w:szCs w:val="22"/>
        </w:rPr>
      </w:pPr>
    </w:p>
    <w:p w:rsidR="006A69F4" w:rsidP="00E90C98" w14:paraId="4888841B" w14:textId="3840E809">
      <w:pPr>
        <w:autoSpaceDE w:val="0"/>
        <w:autoSpaceDN w:val="0"/>
        <w:adjustRightInd w:val="0"/>
        <w:spacing w:after="120"/>
        <w:rPr>
          <w:szCs w:val="22"/>
        </w:rPr>
      </w:pPr>
    </w:p>
    <w:p w:rsidR="006A69F4" w:rsidP="00E90C98" w14:paraId="2D126E26" w14:textId="77777777">
      <w:pPr>
        <w:autoSpaceDE w:val="0"/>
        <w:autoSpaceDN w:val="0"/>
        <w:adjustRightInd w:val="0"/>
        <w:spacing w:after="120"/>
        <w:rPr>
          <w:szCs w:val="22"/>
        </w:rPr>
      </w:pPr>
    </w:p>
    <w:p w:rsidR="00E90C98" w:rsidP="00E90C98" w14:paraId="2EA19A0E" w14:textId="77777777">
      <w:pPr>
        <w:autoSpaceDE w:val="0"/>
        <w:autoSpaceDN w:val="0"/>
        <w:adjustRightInd w:val="0"/>
        <w:spacing w:after="120"/>
        <w:ind w:firstLine="720"/>
        <w:rPr>
          <w:b/>
          <w:szCs w:val="22"/>
        </w:rPr>
      </w:pPr>
      <w:r>
        <w:rPr>
          <w:b/>
          <w:szCs w:val="22"/>
        </w:rPr>
        <w:t>In addition, e-mail one copy of each pleading to each of the following:</w:t>
      </w:r>
    </w:p>
    <w:p w:rsidR="00E90C98" w:rsidP="00E90C98" w14:paraId="089FE813" w14:textId="77777777">
      <w:pPr>
        <w:numPr>
          <w:ilvl w:val="0"/>
          <w:numId w:val="22"/>
        </w:numPr>
        <w:autoSpaceDE w:val="0"/>
        <w:autoSpaceDN w:val="0"/>
        <w:adjustRightInd w:val="0"/>
        <w:spacing w:after="120"/>
        <w:rPr>
          <w:szCs w:val="22"/>
        </w:rPr>
      </w:pPr>
      <w:r>
        <w:rPr>
          <w:szCs w:val="22"/>
        </w:rPr>
        <w:t xml:space="preserve">Myrva Charles, Competition Policy Division, Wireline Competition Bureau,  </w:t>
      </w:r>
      <w:hyperlink r:id="rId10" w:history="1">
        <w:r>
          <w:rPr>
            <w:rStyle w:val="Hyperlink"/>
            <w:szCs w:val="22"/>
          </w:rPr>
          <w:t>myrva.charles@fcc.gov</w:t>
        </w:r>
      </w:hyperlink>
      <w:r>
        <w:rPr>
          <w:szCs w:val="22"/>
        </w:rPr>
        <w:t>;</w:t>
      </w:r>
    </w:p>
    <w:p w:rsidR="00E90C98" w:rsidP="00E90C98" w14:paraId="7996E456" w14:textId="77777777">
      <w:pPr>
        <w:numPr>
          <w:ilvl w:val="0"/>
          <w:numId w:val="22"/>
        </w:numPr>
        <w:autoSpaceDE w:val="0"/>
        <w:autoSpaceDN w:val="0"/>
        <w:adjustRightInd w:val="0"/>
        <w:spacing w:after="120"/>
        <w:rPr>
          <w:szCs w:val="22"/>
        </w:rPr>
      </w:pPr>
      <w:r>
        <w:rPr>
          <w:szCs w:val="22"/>
        </w:rPr>
        <w:t xml:space="preserve">Christi Shewman, Competition Policy Division, Wireline Competition Bureau, </w:t>
      </w:r>
      <w:hyperlink r:id="rId11" w:history="1">
        <w:r>
          <w:rPr>
            <w:rStyle w:val="Hyperlink"/>
            <w:szCs w:val="22"/>
          </w:rPr>
          <w:t>christi.shewman@fcc.gov</w:t>
        </w:r>
      </w:hyperlink>
      <w:r>
        <w:rPr>
          <w:szCs w:val="22"/>
        </w:rPr>
        <w:t xml:space="preserve">; </w:t>
      </w:r>
      <w:r>
        <w:rPr>
          <w:color w:val="000000"/>
          <w:szCs w:val="22"/>
        </w:rPr>
        <w:t>and</w:t>
      </w:r>
    </w:p>
    <w:p w:rsidR="00E90C98" w:rsidP="00E90C98" w14:paraId="2CC2A35D" w14:textId="77777777">
      <w:pPr>
        <w:numPr>
          <w:ilvl w:val="0"/>
          <w:numId w:val="22"/>
        </w:numPr>
        <w:autoSpaceDE w:val="0"/>
        <w:autoSpaceDN w:val="0"/>
        <w:adjustRightInd w:val="0"/>
        <w:spacing w:after="120"/>
        <w:rPr>
          <w:szCs w:val="22"/>
        </w:rPr>
      </w:pPr>
      <w:r>
        <w:rPr>
          <w:szCs w:val="22"/>
        </w:rPr>
        <w:t xml:space="preserve">Jim Bird, Office of General Counsel, </w:t>
      </w:r>
      <w:hyperlink r:id="rId12" w:history="1">
        <w:r>
          <w:rPr>
            <w:rStyle w:val="Hyperlink"/>
            <w:szCs w:val="22"/>
          </w:rPr>
          <w:t>jim.bird@fcc.gov</w:t>
        </w:r>
      </w:hyperlink>
      <w:r>
        <w:rPr>
          <w:szCs w:val="22"/>
        </w:rPr>
        <w:t>.</w:t>
      </w:r>
    </w:p>
    <w:p w:rsidR="00E90C98" w:rsidP="00E90C98" w14:paraId="420204D2" w14:textId="77777777">
      <w:pPr>
        <w:autoSpaceDE w:val="0"/>
        <w:autoSpaceDN w:val="0"/>
        <w:adjustRightInd w:val="0"/>
        <w:spacing w:after="120"/>
        <w:ind w:firstLine="720"/>
        <w:rPr>
          <w:szCs w:val="22"/>
        </w:rPr>
      </w:pPr>
      <w:r>
        <w:rPr>
          <w:szCs w:val="22"/>
        </w:rPr>
        <w:t>People with Disabilities:  We ask that requests for accommodations be made as soon as possible in order to allow the agency to satisfy such requests whenever possible.  Send an email to </w:t>
      </w:r>
      <w:hyperlink r:id="rId13" w:tgtFrame="_blank" w:history="1">
        <w:r>
          <w:rPr>
            <w:rStyle w:val="Hyperlink"/>
            <w:szCs w:val="22"/>
          </w:rPr>
          <w:t>fcc504@fcc.gov</w:t>
        </w:r>
      </w:hyperlink>
      <w:r>
        <w:rPr>
          <w:szCs w:val="22"/>
        </w:rPr>
        <w:t> or call the Consumer and Governmental Affairs Bureau at (202) 418-0530.</w:t>
      </w:r>
    </w:p>
    <w:p w:rsidR="00E90C98" w:rsidP="00E90C98" w14:paraId="627FC48E"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90C98" w:rsidP="00E90C98" w14:paraId="5AA45460"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31"/>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90C98" w:rsidP="00E90C98" w14:paraId="6D45CA14" w14:textId="77777777">
      <w:pPr>
        <w:autoSpaceDE w:val="0"/>
        <w:autoSpaceDN w:val="0"/>
        <w:adjustRightInd w:val="0"/>
        <w:spacing w:after="120"/>
        <w:ind w:firstLine="720"/>
        <w:rPr>
          <w:szCs w:val="22"/>
        </w:rPr>
      </w:pPr>
      <w:r>
        <w:rPr>
          <w:szCs w:val="22"/>
        </w:rPr>
        <w:t>For further information, please contact Myrva Charles at (202) 418-1506 or Christi Shewman at (202) 418-0646.</w:t>
      </w:r>
    </w:p>
    <w:p w:rsidR="00E90C98" w:rsidP="00E90C98" w14:paraId="29664DFD" w14:textId="77777777">
      <w:pPr>
        <w:autoSpaceDE w:val="0"/>
        <w:autoSpaceDN w:val="0"/>
        <w:adjustRightInd w:val="0"/>
        <w:rPr>
          <w:szCs w:val="22"/>
        </w:rPr>
      </w:pPr>
    </w:p>
    <w:p w:rsidR="00E90C98" w:rsidP="00E90C98" w14:paraId="54CAABF7" w14:textId="7CED6B31">
      <w:pPr>
        <w:autoSpaceDE w:val="0"/>
        <w:autoSpaceDN w:val="0"/>
        <w:adjustRightInd w:val="0"/>
        <w:jc w:val="center"/>
        <w:rPr>
          <w:color w:val="000000"/>
          <w:szCs w:val="22"/>
        </w:rPr>
      </w:pPr>
      <w:r>
        <w:rPr>
          <w:b/>
          <w:szCs w:val="22"/>
        </w:rPr>
        <w:t>-FCC-</w:t>
      </w:r>
    </w:p>
    <w:p w:rsidR="00CF704F" w:rsidP="00CF704F" w14:paraId="2DB3218F" w14:textId="585AE907">
      <w:pPr>
        <w:autoSpaceDE w:val="0"/>
        <w:autoSpaceDN w:val="0"/>
        <w:adjustRightInd w:val="0"/>
        <w:jc w:val="center"/>
        <w:rPr>
          <w:szCs w:val="22"/>
        </w:rPr>
      </w:pPr>
    </w:p>
    <w:p w:rsidR="00CF704F" w:rsidP="00CF704F" w14:paraId="4C1B283D" w14:textId="77777777">
      <w:pPr>
        <w:suppressAutoHyphens/>
        <w:rPr>
          <w:color w:val="000000"/>
          <w:szCs w:val="22"/>
        </w:rPr>
      </w:pPr>
    </w:p>
    <w:p w:rsidR="00CF704F" w:rsidRPr="00AD45FC" w:rsidP="00AD45FC" w14:paraId="4277F804" w14:textId="48E39C54">
      <w:pPr>
        <w:autoSpaceDE w:val="0"/>
        <w:autoSpaceDN w:val="0"/>
        <w:adjustRightInd w:val="0"/>
        <w:jc w:val="center"/>
        <w:rPr>
          <w:b/>
          <w:szCs w:val="22"/>
          <w:u w:val="single"/>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674888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72A8" w14:paraId="649CC0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08CE5F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2A8" w14:paraId="702A10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5D2633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272A8" w14:paraId="6F6484E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0FF3591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1C77" w14:paraId="3BBC4882" w14:textId="77777777">
      <w:r>
        <w:separator/>
      </w:r>
    </w:p>
  </w:footnote>
  <w:footnote w:type="continuationSeparator" w:id="1">
    <w:p w:rsidR="00AC1C77" w14:paraId="3D5BD056" w14:textId="77777777">
      <w:r>
        <w:continuationSeparator/>
      </w:r>
    </w:p>
  </w:footnote>
  <w:footnote w:type="continuationNotice" w:id="2">
    <w:p w:rsidR="00AC1C77" w14:paraId="6B998ABD" w14:textId="77777777"/>
  </w:footnote>
  <w:footnote w:id="3">
    <w:p w:rsidR="00E90C98" w:rsidP="00E90C98" w14:paraId="7E340063" w14:textId="64FC8BB9">
      <w:pPr>
        <w:pStyle w:val="FootnoteText"/>
      </w:pPr>
      <w:r>
        <w:rPr>
          <w:rStyle w:val="FootnoteReference"/>
        </w:rPr>
        <w:footnoteRef/>
      </w:r>
      <w:r>
        <w:t xml:space="preserve"> </w:t>
      </w:r>
      <w:r w:rsidR="009D3B6F">
        <w:t>Application of Members of Broadband VI, LLC, and Liberty Mobile USVI Inc. for Consent to Transfer of Control of Broadband VI, LLC Pursuant to Section 214 of the Communications Act of 1934, as Amended</w:t>
      </w:r>
      <w:r>
        <w:t>, WC Docket No. 21-</w:t>
      </w:r>
      <w:r w:rsidR="009D3B6F">
        <w:t>386</w:t>
      </w:r>
      <w:r w:rsidR="00907F30">
        <w:t xml:space="preserve"> at 1, 11</w:t>
      </w:r>
      <w:r>
        <w:t xml:space="preserve"> (filed </w:t>
      </w:r>
      <w:r w:rsidR="009D3B6F">
        <w:t>Oct.</w:t>
      </w:r>
      <w:r>
        <w:t xml:space="preserve"> </w:t>
      </w:r>
      <w:r w:rsidR="009D3B6F">
        <w:t>5</w:t>
      </w:r>
      <w:r>
        <w:t xml:space="preserve">, 2021), </w:t>
      </w:r>
      <w:r w:rsidRPr="009D3B6F" w:rsidR="009D3B6F">
        <w:t xml:space="preserve">https://ecfsapi.fcc.gov/file/1005426810528/BBVI-Liberty%20Section%20214%20Transfer%20Application%20(2021.10.05).pdf </w:t>
      </w:r>
      <w:r>
        <w:t xml:space="preserve">(Application).  </w:t>
      </w:r>
      <w:r w:rsidR="000B31C3">
        <w:t xml:space="preserve">Applicants are also seeking consent to transfer control of non-common carrier microwave licenses held by BBVI.  Application at 6, 14.  </w:t>
      </w:r>
      <w:r>
        <w:t>Any action on the section 214 application is without prejudice to Commission action on other related, pending applications.</w:t>
      </w:r>
      <w:r w:rsidR="000B31C3">
        <w:t xml:space="preserve">  </w:t>
      </w:r>
      <w:r w:rsidR="00CE413E">
        <w:t xml:space="preserve">BBVI does not hold international section 214 authority.  </w:t>
      </w:r>
      <w:r w:rsidRPr="00176139" w:rsidR="00176139">
        <w:rPr>
          <w:i/>
          <w:iCs/>
        </w:rPr>
        <w:t>Id.</w:t>
      </w:r>
      <w:r w:rsidR="00CE413E">
        <w:t xml:space="preserve"> at 2.</w:t>
      </w:r>
    </w:p>
  </w:footnote>
  <w:footnote w:id="4">
    <w:p w:rsidR="009D3B6F" w:rsidP="009D3B6F" w14:paraId="03C757BF" w14:textId="26D21ABB">
      <w:pPr>
        <w:pStyle w:val="FootnoteText"/>
      </w:pPr>
      <w:r>
        <w:rPr>
          <w:rStyle w:val="FootnoteReference"/>
        </w:rPr>
        <w:footnoteRef/>
      </w:r>
      <w:r>
        <w:t xml:space="preserve"> </w:t>
      </w:r>
      <w:r>
        <w:rPr>
          <w:i/>
        </w:rPr>
        <w:t>See</w:t>
      </w:r>
      <w:r>
        <w:t xml:space="preserve"> 47 U.S.C. § 214; 47 </w:t>
      </w:r>
      <w:r w:rsidR="006843D0">
        <w:t>CFR</w:t>
      </w:r>
      <w:r>
        <w:t xml:space="preserve"> § 63.03-04</w:t>
      </w:r>
      <w:r>
        <w:rPr>
          <w:bCs/>
        </w:rPr>
        <w:t>.</w:t>
      </w:r>
    </w:p>
  </w:footnote>
  <w:footnote w:id="5">
    <w:p w:rsidR="00E90C98" w:rsidRPr="00F42676" w:rsidP="00E90C98" w14:paraId="1112BE02" w14:textId="75C1EAA6">
      <w:pPr>
        <w:spacing w:after="120"/>
        <w:rPr>
          <w:sz w:val="20"/>
        </w:rPr>
      </w:pPr>
      <w:r>
        <w:rPr>
          <w:rStyle w:val="FootnoteReference"/>
          <w:sz w:val="20"/>
        </w:rPr>
        <w:footnoteRef/>
      </w:r>
      <w:r>
        <w:rPr>
          <w:sz w:val="20"/>
        </w:rPr>
        <w:t xml:space="preserve"> Application at 1</w:t>
      </w:r>
      <w:bookmarkStart w:id="8" w:name="_Hlk77059285"/>
      <w:r w:rsidR="00CE413E">
        <w:rPr>
          <w:sz w:val="20"/>
        </w:rPr>
        <w:t xml:space="preserve">; </w:t>
      </w:r>
      <w:r w:rsidRPr="00CE413E" w:rsidR="00CE413E">
        <w:rPr>
          <w:i/>
          <w:iCs/>
          <w:sz w:val="20"/>
        </w:rPr>
        <w:t>s</w:t>
      </w:r>
      <w:r>
        <w:rPr>
          <w:i/>
          <w:sz w:val="20"/>
        </w:rPr>
        <w:t>ee</w:t>
      </w:r>
      <w:r>
        <w:rPr>
          <w:sz w:val="20"/>
        </w:rPr>
        <w:t xml:space="preserve"> </w:t>
      </w:r>
      <w:r w:rsidRPr="00CE413E" w:rsidR="00CE413E">
        <w:rPr>
          <w:i/>
          <w:iCs/>
          <w:sz w:val="20"/>
        </w:rPr>
        <w:t>Connect USVI Fund Stage 2 Support Authorized for Broadband VI</w:t>
      </w:r>
      <w:r w:rsidRPr="00CE413E" w:rsidR="00CE413E">
        <w:rPr>
          <w:sz w:val="20"/>
        </w:rPr>
        <w:t>, WC Docket Nos. 18-143, 10-90, Public Notice, DA 21-666 (</w:t>
      </w:r>
      <w:r w:rsidR="00CE413E">
        <w:rPr>
          <w:sz w:val="20"/>
        </w:rPr>
        <w:t xml:space="preserve">WCB </w:t>
      </w:r>
      <w:r w:rsidRPr="00CE413E" w:rsidR="00CE413E">
        <w:rPr>
          <w:sz w:val="20"/>
        </w:rPr>
        <w:t>June 8, 2021) (</w:t>
      </w:r>
      <w:r w:rsidRPr="00587F9A" w:rsidR="00CE413E">
        <w:rPr>
          <w:i/>
          <w:iCs/>
          <w:sz w:val="20"/>
        </w:rPr>
        <w:t>BBVI Authorization Notice</w:t>
      </w:r>
      <w:r w:rsidRPr="00CE413E" w:rsidR="00CE413E">
        <w:rPr>
          <w:sz w:val="20"/>
        </w:rPr>
        <w:t>) at 6</w:t>
      </w:r>
      <w:r w:rsidR="008C75E6">
        <w:rPr>
          <w:sz w:val="20"/>
        </w:rPr>
        <w:t xml:space="preserve"> (</w:t>
      </w:r>
      <w:r w:rsidRPr="008C75E6" w:rsidR="008C75E6">
        <w:rPr>
          <w:sz w:val="20"/>
        </w:rPr>
        <w:t>authoriz</w:t>
      </w:r>
      <w:r w:rsidR="008C75E6">
        <w:rPr>
          <w:sz w:val="20"/>
        </w:rPr>
        <w:t>ing</w:t>
      </w:r>
      <w:r w:rsidRPr="008C75E6" w:rsidR="008C75E6">
        <w:rPr>
          <w:sz w:val="20"/>
        </w:rPr>
        <w:t xml:space="preserve"> BBVI to receive $84,456,870 in support for the deployment of </w:t>
      </w:r>
      <w:r w:rsidR="008C75E6">
        <w:rPr>
          <w:sz w:val="20"/>
        </w:rPr>
        <w:t>v</w:t>
      </w:r>
      <w:r w:rsidRPr="008C75E6" w:rsidR="008C75E6">
        <w:rPr>
          <w:sz w:val="20"/>
        </w:rPr>
        <w:t xml:space="preserve">oice and fixed broadband service to 46,039 locations throughout the </w:t>
      </w:r>
      <w:r w:rsidR="008C75E6">
        <w:rPr>
          <w:sz w:val="20"/>
        </w:rPr>
        <w:t>U.S. Virgin Islands</w:t>
      </w:r>
      <w:r w:rsidRPr="008C75E6" w:rsidR="008C75E6">
        <w:rPr>
          <w:sz w:val="20"/>
        </w:rPr>
        <w:t xml:space="preserve"> at speeds of 1 Gbps download and 500 Mbps upload</w:t>
      </w:r>
      <w:r w:rsidR="008C75E6">
        <w:rPr>
          <w:sz w:val="20"/>
        </w:rPr>
        <w:t>).</w:t>
      </w:r>
      <w:r w:rsidRPr="008C75E6" w:rsidR="008C75E6">
        <w:rPr>
          <w:sz w:val="20"/>
        </w:rPr>
        <w:t xml:space="preserve"> </w:t>
      </w:r>
      <w:bookmarkEnd w:id="8"/>
      <w:r w:rsidR="00DE4D49">
        <w:rPr>
          <w:sz w:val="20"/>
        </w:rPr>
        <w:t xml:space="preserve"> </w:t>
      </w:r>
    </w:p>
  </w:footnote>
  <w:footnote w:id="6">
    <w:p w:rsidR="00285BEB" w:rsidRPr="00285BEB" w14:paraId="7C9147AC" w14:textId="645BB092">
      <w:pPr>
        <w:pStyle w:val="FootnoteText"/>
      </w:pPr>
      <w:r>
        <w:rPr>
          <w:rStyle w:val="FootnoteReference"/>
        </w:rPr>
        <w:footnoteRef/>
      </w:r>
      <w:r>
        <w:t xml:space="preserve"> </w:t>
      </w:r>
      <w:r w:rsidRPr="00285BEB">
        <w:t>Application at 2.</w:t>
      </w:r>
      <w:r w:rsidR="00E4034F">
        <w:t xml:space="preserve">  </w:t>
      </w:r>
    </w:p>
  </w:footnote>
  <w:footnote w:id="7">
    <w:p w:rsidR="00E4034F" w14:paraId="18BD46DB" w14:textId="47CA5E03">
      <w:pPr>
        <w:pStyle w:val="FootnoteText"/>
      </w:pPr>
      <w:r>
        <w:rPr>
          <w:rStyle w:val="FootnoteReference"/>
        </w:rPr>
        <w:footnoteRef/>
      </w:r>
      <w:r>
        <w:t xml:space="preserve"> </w:t>
      </w:r>
      <w:r w:rsidRPr="00D5321C">
        <w:rPr>
          <w:i/>
          <w:iCs/>
        </w:rPr>
        <w:t>Id</w:t>
      </w:r>
      <w:r>
        <w:t xml:space="preserve">. at 2 (citing </w:t>
      </w:r>
      <w:r w:rsidR="00535BE4">
        <w:t xml:space="preserve">U.S. Virgin Islands Public Service Commission, </w:t>
      </w:r>
      <w:r>
        <w:t>Order, Docket No. 669, Order No. 49/2018 (Sept. 5, 2021</w:t>
      </w:r>
      <w:r w:rsidR="00D5321C">
        <w:t>).</w:t>
      </w:r>
      <w:r w:rsidRPr="00D5321C" w:rsidR="00D5321C">
        <w:rPr>
          <w:szCs w:val="22"/>
        </w:rPr>
        <w:t xml:space="preserve"> </w:t>
      </w:r>
      <w:r w:rsidRPr="004D63F5" w:rsidR="00D5321C">
        <w:rPr>
          <w:szCs w:val="22"/>
        </w:rPr>
        <w:t>ETCs seeking to transfer control of their domestic authorizations to operate pursuant to section 214 of the</w:t>
      </w:r>
      <w:r w:rsidR="00D5321C">
        <w:rPr>
          <w:szCs w:val="22"/>
        </w:rPr>
        <w:t xml:space="preserve"> Act</w:t>
      </w:r>
      <w:r w:rsidRPr="004D63F5" w:rsidR="00D5321C">
        <w:rPr>
          <w:szCs w:val="22"/>
        </w:rPr>
        <w:t>, or to engage in the sale of assets under section 214 must first receive approval from the Commission in accordance with sections 63.03 and 63.04 of the Commission’s rules governing the procedures for domestic transfer of control/asset applications.</w:t>
      </w:r>
      <w:r w:rsidR="00D5321C">
        <w:rPr>
          <w:szCs w:val="22"/>
        </w:rPr>
        <w:t xml:space="preserve">  </w:t>
      </w:r>
      <w:r w:rsidR="00D5321C">
        <w:rPr>
          <w:i/>
          <w:iCs/>
          <w:szCs w:val="22"/>
        </w:rPr>
        <w:t>BBVI Authorization Notice</w:t>
      </w:r>
      <w:r w:rsidR="00D5321C">
        <w:rPr>
          <w:szCs w:val="22"/>
        </w:rPr>
        <w:t xml:space="preserve"> at 6.</w:t>
      </w:r>
      <w:r w:rsidR="00D5321C">
        <w:t xml:space="preserve">  </w:t>
      </w:r>
      <w:r w:rsidRPr="00CB0C66">
        <w:t xml:space="preserve">  </w:t>
      </w:r>
    </w:p>
  </w:footnote>
  <w:footnote w:id="8">
    <w:p w:rsidR="008B2900" w:rsidRPr="008B2900" w14:paraId="717EB391" w14:textId="39858164">
      <w:pPr>
        <w:pStyle w:val="FootnoteText"/>
      </w:pPr>
      <w:r>
        <w:rPr>
          <w:rStyle w:val="FootnoteReference"/>
        </w:rPr>
        <w:footnoteRef/>
      </w:r>
      <w:r>
        <w:t xml:space="preserve"> </w:t>
      </w:r>
      <w:r w:rsidR="00D5321C">
        <w:t>Application</w:t>
      </w:r>
      <w:r w:rsidRPr="008B2900">
        <w:t xml:space="preserve"> at 3</w:t>
      </w:r>
      <w:r w:rsidR="003238CB">
        <w:t xml:space="preserve">, </w:t>
      </w:r>
      <w:r w:rsidR="003238CB">
        <w:t>Exh</w:t>
      </w:r>
      <w:r w:rsidR="003238CB">
        <w:t>. A</w:t>
      </w:r>
      <w:r w:rsidR="00D5321C">
        <w:t xml:space="preserve"> (Pre-Transaction Ownership of BBVI)</w:t>
      </w:r>
      <w:r w:rsidR="003238CB">
        <w:t>.</w:t>
      </w:r>
    </w:p>
  </w:footnote>
  <w:footnote w:id="9">
    <w:p w:rsidR="008B2900" w:rsidRPr="008B2900" w14:paraId="3A62935F" w14:textId="18EC745E">
      <w:pPr>
        <w:pStyle w:val="FootnoteText"/>
      </w:pPr>
      <w:r>
        <w:rPr>
          <w:rStyle w:val="FootnoteReference"/>
        </w:rPr>
        <w:footnoteRef/>
      </w:r>
      <w:r>
        <w:t xml:space="preserve"> </w:t>
      </w:r>
      <w:r w:rsidRPr="008B2900">
        <w:rPr>
          <w:i/>
          <w:iCs/>
        </w:rPr>
        <w:t>Id.</w:t>
      </w:r>
      <w:r w:rsidRPr="008B2900">
        <w:t xml:space="preserve"> </w:t>
      </w:r>
    </w:p>
  </w:footnote>
  <w:footnote w:id="10">
    <w:p w:rsidR="008B2900" w14:paraId="7573B79C" w14:textId="1B0E2307">
      <w:pPr>
        <w:pStyle w:val="FootnoteText"/>
      </w:pPr>
      <w:r>
        <w:rPr>
          <w:rStyle w:val="FootnoteReference"/>
        </w:rPr>
        <w:footnoteRef/>
      </w:r>
      <w:r>
        <w:t xml:space="preserve"> </w:t>
      </w:r>
      <w:r w:rsidRPr="008B2900">
        <w:rPr>
          <w:i/>
          <w:iCs/>
        </w:rPr>
        <w:t>Id.</w:t>
      </w:r>
    </w:p>
  </w:footnote>
  <w:footnote w:id="11">
    <w:p w:rsidR="008B2900" w14:paraId="22356DD3" w14:textId="086294C5">
      <w:pPr>
        <w:pStyle w:val="FootnoteText"/>
      </w:pPr>
      <w:r>
        <w:rPr>
          <w:rStyle w:val="FootnoteReference"/>
        </w:rPr>
        <w:footnoteRef/>
      </w:r>
      <w:r>
        <w:t xml:space="preserve"> </w:t>
      </w:r>
      <w:r w:rsidRPr="008B2900">
        <w:rPr>
          <w:i/>
          <w:iCs/>
        </w:rPr>
        <w:t>Id.</w:t>
      </w:r>
    </w:p>
  </w:footnote>
  <w:footnote w:id="12">
    <w:p w:rsidR="008B2900" w14:paraId="3E4B30F6" w14:textId="48F1F925">
      <w:pPr>
        <w:pStyle w:val="FootnoteText"/>
      </w:pPr>
      <w:r>
        <w:rPr>
          <w:rStyle w:val="FootnoteReference"/>
        </w:rPr>
        <w:footnoteRef/>
      </w:r>
      <w:r>
        <w:t xml:space="preserve"> </w:t>
      </w:r>
      <w:r w:rsidRPr="008B2900">
        <w:rPr>
          <w:i/>
          <w:iCs/>
        </w:rPr>
        <w:t>Id.</w:t>
      </w:r>
    </w:p>
  </w:footnote>
  <w:footnote w:id="13">
    <w:p w:rsidR="00D04FBA" w:rsidRPr="009070DC" w:rsidP="00783DDE" w14:paraId="602C202C" w14:textId="6BEB1C59">
      <w:pPr>
        <w:pStyle w:val="FootnoteText"/>
      </w:pPr>
      <w:r>
        <w:rPr>
          <w:rStyle w:val="FootnoteReference"/>
        </w:rPr>
        <w:footnoteRef/>
      </w:r>
      <w:r>
        <w:t xml:space="preserve"> </w:t>
      </w:r>
      <w:r w:rsidRPr="00783DDE" w:rsidR="00783DDE">
        <w:t>Application at 3, 9.</w:t>
      </w:r>
      <w:r w:rsidR="009070DC">
        <w:t xml:space="preserve">  The Bureau authorized Liberty Communications of Puerto Rico LLC, an affiliate of Liberty, to receive </w:t>
      </w:r>
      <w:r w:rsidR="0014152F">
        <w:t xml:space="preserve">universal service support </w:t>
      </w:r>
      <w:r w:rsidR="009070DC">
        <w:t xml:space="preserve">through the </w:t>
      </w:r>
      <w:r w:rsidR="00397ABD">
        <w:t>Bringing</w:t>
      </w:r>
      <w:r w:rsidR="009070DC">
        <w:t xml:space="preserve"> Puerto Rico</w:t>
      </w:r>
      <w:r w:rsidR="00397ABD">
        <w:t xml:space="preserve"> Together</w:t>
      </w:r>
      <w:r w:rsidR="009070DC">
        <w:t xml:space="preserve"> Fund to serve 914,000 locations in Puerto Rico.  </w:t>
      </w:r>
      <w:r w:rsidR="009070DC">
        <w:rPr>
          <w:i/>
          <w:iCs/>
        </w:rPr>
        <w:t>Id</w:t>
      </w:r>
      <w:r w:rsidR="009070DC">
        <w:t xml:space="preserve">. at 4 (citing </w:t>
      </w:r>
      <w:r w:rsidRPr="008B7187" w:rsidR="009070DC">
        <w:rPr>
          <w:i/>
          <w:iCs/>
        </w:rPr>
        <w:t>Wireline Competition Bureau Authorizes Stage 2 Support for Puerto Rico Telephone Company and Liberty Communications of Puerto Rico</w:t>
      </w:r>
      <w:r w:rsidR="009070DC">
        <w:t>, WC Docket Nos. 18-143, 10-90, Public Notice, DA 21-718 (WC</w:t>
      </w:r>
      <w:r w:rsidR="008B7187">
        <w:t>B</w:t>
      </w:r>
      <w:r w:rsidR="009070DC">
        <w:t xml:space="preserve"> 2021)).</w:t>
      </w:r>
      <w:r w:rsidR="00397ABD">
        <w:t xml:space="preserve">  An application for review filed by Puerto Rico Telephone Company, Inc. challenging the selection of Liberty Communications of Puerto Rico as the winning applicant of certain areas remains pending.  Application for Review filed by Puerto Rico Telephone Company, Inc. d/b/a Claro, WC Docket Nos. 18-143, 10-90 (Dec. 2, 2020).</w:t>
      </w:r>
    </w:p>
  </w:footnote>
  <w:footnote w:id="14">
    <w:p w:rsidR="00D04FBA" w14:paraId="350B2715" w14:textId="60F19BA2">
      <w:pPr>
        <w:pStyle w:val="FootnoteText"/>
      </w:pPr>
      <w:r>
        <w:rPr>
          <w:rStyle w:val="FootnoteReference"/>
        </w:rPr>
        <w:footnoteRef/>
      </w:r>
      <w:r>
        <w:t xml:space="preserve"> </w:t>
      </w:r>
      <w:r w:rsidRPr="00783DDE" w:rsidR="00783DDE">
        <w:rPr>
          <w:i/>
          <w:iCs/>
        </w:rPr>
        <w:t>Id.</w:t>
      </w:r>
      <w:r w:rsidR="00783DDE">
        <w:t xml:space="preserve"> at 3, 13, Exh. B</w:t>
      </w:r>
      <w:r w:rsidR="00D5321C">
        <w:t xml:space="preserve"> (Post-Transaction Ownership of BBVI)</w:t>
      </w:r>
      <w:r w:rsidR="00783DDE">
        <w:t>.</w:t>
      </w:r>
      <w:r w:rsidR="00DE4D49">
        <w:t xml:space="preserve">  </w:t>
      </w:r>
    </w:p>
  </w:footnote>
  <w:footnote w:id="15">
    <w:p w:rsidR="00D04FBA" w14:paraId="3BDE90B8" w14:textId="6D4F7BF8">
      <w:pPr>
        <w:pStyle w:val="FootnoteText"/>
      </w:pPr>
      <w:r>
        <w:rPr>
          <w:rStyle w:val="FootnoteReference"/>
        </w:rPr>
        <w:footnoteRef/>
      </w:r>
      <w:r>
        <w:t xml:space="preserve"> </w:t>
      </w:r>
      <w:r w:rsidRPr="009F780C" w:rsidR="009F780C">
        <w:rPr>
          <w:i/>
          <w:iCs/>
        </w:rPr>
        <w:t>Id.</w:t>
      </w:r>
      <w:r w:rsidR="009F780C">
        <w:t xml:space="preserve"> at 11</w:t>
      </w:r>
      <w:r w:rsidR="003358B9">
        <w:t>, Exh. B.</w:t>
      </w:r>
    </w:p>
  </w:footnote>
  <w:footnote w:id="16">
    <w:p w:rsidR="00D04FBA" w14:paraId="2293AB18" w14:textId="362A5634">
      <w:pPr>
        <w:pStyle w:val="FootnoteText"/>
      </w:pPr>
      <w:r>
        <w:rPr>
          <w:rStyle w:val="FootnoteReference"/>
        </w:rPr>
        <w:footnoteRef/>
      </w:r>
      <w:r>
        <w:t xml:space="preserve"> </w:t>
      </w:r>
      <w:r w:rsidRPr="009F780C" w:rsidR="009F780C">
        <w:rPr>
          <w:i/>
          <w:iCs/>
        </w:rPr>
        <w:t>Id.</w:t>
      </w:r>
      <w:r w:rsidR="009F780C">
        <w:t xml:space="preserve"> at 12.</w:t>
      </w:r>
    </w:p>
  </w:footnote>
  <w:footnote w:id="17">
    <w:p w:rsidR="00D04FBA" w14:paraId="5389F3D6" w14:textId="41F9862D">
      <w:pPr>
        <w:pStyle w:val="FootnoteText"/>
      </w:pPr>
      <w:r>
        <w:rPr>
          <w:rStyle w:val="FootnoteReference"/>
        </w:rPr>
        <w:footnoteRef/>
      </w:r>
      <w:r>
        <w:t xml:space="preserve"> </w:t>
      </w:r>
      <w:r w:rsidRPr="009F780C" w:rsidR="009F780C">
        <w:rPr>
          <w:i/>
          <w:iCs/>
        </w:rPr>
        <w:t>Id.</w:t>
      </w:r>
      <w:r w:rsidR="009F780C">
        <w:t xml:space="preserve"> </w:t>
      </w:r>
    </w:p>
  </w:footnote>
  <w:footnote w:id="18">
    <w:p w:rsidR="00D04FBA" w14:paraId="4E218A5A" w14:textId="595F439C">
      <w:pPr>
        <w:pStyle w:val="FootnoteText"/>
      </w:pPr>
      <w:r>
        <w:rPr>
          <w:rStyle w:val="FootnoteReference"/>
        </w:rPr>
        <w:footnoteRef/>
      </w:r>
      <w:r>
        <w:t xml:space="preserve"> </w:t>
      </w:r>
      <w:r w:rsidRPr="009F780C" w:rsidR="009F780C">
        <w:rPr>
          <w:i/>
          <w:iCs/>
        </w:rPr>
        <w:t>Id.</w:t>
      </w:r>
    </w:p>
  </w:footnote>
  <w:footnote w:id="19">
    <w:p w:rsidR="00D04FBA" w:rsidRPr="00176139" w14:paraId="68CBE0D2" w14:textId="04875C73">
      <w:pPr>
        <w:pStyle w:val="FootnoteText"/>
      </w:pPr>
      <w:r>
        <w:rPr>
          <w:rStyle w:val="FootnoteReference"/>
        </w:rPr>
        <w:footnoteRef/>
      </w:r>
      <w:r>
        <w:t xml:space="preserve"> </w:t>
      </w:r>
      <w:r w:rsidRPr="00176139" w:rsidR="00176139">
        <w:t>Application at 12.</w:t>
      </w:r>
    </w:p>
  </w:footnote>
  <w:footnote w:id="20">
    <w:p w:rsidR="00D04FBA" w14:paraId="353113F6" w14:textId="6257F072">
      <w:pPr>
        <w:pStyle w:val="FootnoteText"/>
      </w:pPr>
      <w:r>
        <w:rPr>
          <w:rStyle w:val="FootnoteReference"/>
        </w:rPr>
        <w:footnoteRef/>
      </w:r>
      <w:r>
        <w:t xml:space="preserve"> </w:t>
      </w:r>
      <w:r w:rsidRPr="009F780C" w:rsidR="00002230">
        <w:rPr>
          <w:i/>
          <w:iCs/>
        </w:rPr>
        <w:t>Id.</w:t>
      </w:r>
      <w:r w:rsidR="00002230">
        <w:rPr>
          <w:i/>
          <w:iCs/>
        </w:rPr>
        <w:t xml:space="preserve"> </w:t>
      </w:r>
      <w:r w:rsidRPr="00002230" w:rsidR="00002230">
        <w:t>at 12-13</w:t>
      </w:r>
      <w:r w:rsidR="003358B9">
        <w:t>, Exh. B.</w:t>
      </w:r>
    </w:p>
  </w:footnote>
  <w:footnote w:id="21">
    <w:p w:rsidR="00D04FBA" w:rsidRPr="00002230" w14:paraId="2AAD49FE" w14:textId="1DF0C44C">
      <w:pPr>
        <w:pStyle w:val="FootnoteText"/>
      </w:pPr>
      <w:r>
        <w:rPr>
          <w:rStyle w:val="FootnoteReference"/>
        </w:rPr>
        <w:footnoteRef/>
      </w:r>
      <w:r>
        <w:t xml:space="preserve"> </w:t>
      </w:r>
      <w:r w:rsidRPr="009F780C" w:rsidR="00002230">
        <w:rPr>
          <w:i/>
          <w:iCs/>
        </w:rPr>
        <w:t>Id.</w:t>
      </w:r>
      <w:r w:rsidR="00002230">
        <w:t xml:space="preserve"> at 13</w:t>
      </w:r>
      <w:r w:rsidR="00F26580">
        <w:t>, Exh. B.</w:t>
      </w:r>
    </w:p>
  </w:footnote>
  <w:footnote w:id="22">
    <w:p w:rsidR="00D04FBA" w:rsidRPr="004E323A" w14:paraId="4616C222" w14:textId="345C557D">
      <w:pPr>
        <w:pStyle w:val="FootnoteText"/>
      </w:pPr>
      <w:r>
        <w:rPr>
          <w:rStyle w:val="FootnoteReference"/>
        </w:rPr>
        <w:footnoteRef/>
      </w:r>
      <w:r>
        <w:t xml:space="preserve"> </w:t>
      </w:r>
      <w:r w:rsidRPr="009F780C" w:rsidR="00002230">
        <w:rPr>
          <w:i/>
          <w:iCs/>
        </w:rPr>
        <w:t>Id.</w:t>
      </w:r>
      <w:r w:rsidR="004E323A">
        <w:t xml:space="preserve"> at 13.</w:t>
      </w:r>
    </w:p>
  </w:footnote>
  <w:footnote w:id="23">
    <w:p w:rsidR="00F66954" w14:paraId="75683C7D" w14:textId="6C2E4AF5">
      <w:pPr>
        <w:pStyle w:val="FootnoteText"/>
      </w:pPr>
      <w:r>
        <w:rPr>
          <w:rStyle w:val="FootnoteReference"/>
        </w:rPr>
        <w:footnoteRef/>
      </w:r>
      <w:r>
        <w:t xml:space="preserve"> </w:t>
      </w:r>
      <w:r w:rsidRPr="009F780C" w:rsidR="00176139">
        <w:rPr>
          <w:i/>
          <w:iCs/>
        </w:rPr>
        <w:t>Id.</w:t>
      </w:r>
      <w:r>
        <w:t xml:space="preserve"> at 3-4.  </w:t>
      </w:r>
    </w:p>
  </w:footnote>
  <w:footnote w:id="24">
    <w:p w:rsidR="007029E3" w14:paraId="2B8D798F" w14:textId="76035121">
      <w:pPr>
        <w:pStyle w:val="FootnoteText"/>
      </w:pPr>
      <w:r>
        <w:rPr>
          <w:rStyle w:val="FootnoteReference"/>
        </w:rPr>
        <w:footnoteRef/>
      </w:r>
      <w:r>
        <w:t xml:space="preserve"> Application at 5.</w:t>
      </w:r>
    </w:p>
  </w:footnote>
  <w:footnote w:id="25">
    <w:p w:rsidR="00EC5E3D" w14:paraId="5A88FD36" w14:textId="0846AA03">
      <w:pPr>
        <w:pStyle w:val="FootnoteText"/>
      </w:pPr>
      <w:r>
        <w:rPr>
          <w:rStyle w:val="FootnoteReference"/>
        </w:rPr>
        <w:footnoteRef/>
      </w:r>
      <w:r>
        <w:t xml:space="preserve"> </w:t>
      </w:r>
      <w:r w:rsidRPr="009F780C" w:rsidR="00176139">
        <w:rPr>
          <w:i/>
          <w:iCs/>
        </w:rPr>
        <w:t>Id.</w:t>
      </w:r>
      <w:r>
        <w:t xml:space="preserve"> at 2. </w:t>
      </w:r>
    </w:p>
  </w:footnote>
  <w:footnote w:id="26">
    <w:p w:rsidR="009D6CBA" w14:paraId="614B8A54" w14:textId="61462E78">
      <w:pPr>
        <w:pStyle w:val="FootnoteText"/>
      </w:pPr>
      <w:r>
        <w:rPr>
          <w:rStyle w:val="FootnoteReference"/>
        </w:rPr>
        <w:footnoteRef/>
      </w:r>
      <w:r>
        <w:t xml:space="preserve"> </w:t>
      </w:r>
      <w:r w:rsidRPr="009F780C" w:rsidR="00176139">
        <w:rPr>
          <w:i/>
          <w:iCs/>
        </w:rPr>
        <w:t>Id.</w:t>
      </w:r>
      <w:r>
        <w:t xml:space="preserve"> at 7.</w:t>
      </w:r>
    </w:p>
  </w:footnote>
  <w:footnote w:id="27">
    <w:p w:rsidR="009D6CBA" w14:paraId="7C12AC93" w14:textId="30CAFB9D">
      <w:pPr>
        <w:pStyle w:val="FootnoteText"/>
      </w:pPr>
      <w:r>
        <w:rPr>
          <w:rStyle w:val="FootnoteReference"/>
        </w:rPr>
        <w:footnoteRef/>
      </w:r>
      <w:r>
        <w:t xml:space="preserve"> </w:t>
      </w:r>
      <w:r w:rsidRPr="009F780C" w:rsidR="00176139">
        <w:rPr>
          <w:i/>
          <w:iCs/>
        </w:rPr>
        <w:t>Id.</w:t>
      </w:r>
      <w:r>
        <w:t xml:space="preserve"> at 8.</w:t>
      </w:r>
    </w:p>
  </w:footnote>
  <w:footnote w:id="28">
    <w:p w:rsidR="009D6CBA" w14:paraId="07B4C222" w14:textId="4AA9597B">
      <w:pPr>
        <w:pStyle w:val="FootnoteText"/>
      </w:pPr>
      <w:r>
        <w:rPr>
          <w:rStyle w:val="FootnoteReference"/>
        </w:rPr>
        <w:footnoteRef/>
      </w:r>
      <w:r>
        <w:t xml:space="preserve"> Application at 8.</w:t>
      </w:r>
      <w:r w:rsidR="00DE4D49">
        <w:t xml:space="preserve">  Applicants state that </w:t>
      </w:r>
      <w:r w:rsidRPr="00DE4D49" w:rsidR="00DE4D49">
        <w:t xml:space="preserve">Liberty does not contemplate any changes to BBVI’s Disaster Preparation and Response Plan. </w:t>
      </w:r>
      <w:r w:rsidR="00DE4D49">
        <w:t xml:space="preserve"> </w:t>
      </w:r>
      <w:r w:rsidRPr="00DE4D49" w:rsidR="00DE4D49">
        <w:rPr>
          <w:i/>
          <w:iCs/>
        </w:rPr>
        <w:t>Id.</w:t>
      </w:r>
      <w:r w:rsidR="00DE4D49">
        <w:t xml:space="preserve"> at 7.  If the proposed transaction is consummated, </w:t>
      </w:r>
      <w:r w:rsidR="0019501D">
        <w:t>Liberty</w:t>
      </w:r>
      <w:r w:rsidRPr="69E7F779" w:rsidR="00DE4D49">
        <w:t xml:space="preserve"> must submit an updated Disaster Preparation and Response Plan for our</w:t>
      </w:r>
      <w:r w:rsidR="00DE4D49">
        <w:rPr>
          <w:szCs w:val="22"/>
        </w:rPr>
        <w:t xml:space="preserve"> </w:t>
      </w:r>
      <w:r w:rsidRPr="69E7F779" w:rsidR="00DE4D49">
        <w:t>consideration within 10 business days of the completed transfer</w:t>
      </w:r>
      <w:r w:rsidRPr="005A22EB" w:rsidR="00DE4D49">
        <w:rPr>
          <w:szCs w:val="22"/>
        </w:rPr>
        <w:t>.</w:t>
      </w:r>
      <w:r w:rsidR="001A0648">
        <w:rPr>
          <w:szCs w:val="22"/>
        </w:rPr>
        <w:t xml:space="preserve">  </w:t>
      </w:r>
      <w:r w:rsidR="001A0648">
        <w:t>Section 54.1515 of the Commission’s rules require</w:t>
      </w:r>
      <w:r w:rsidR="0019501D">
        <w:t>s</w:t>
      </w:r>
      <w:r w:rsidR="001A0648">
        <w:t xml:space="preserve"> </w:t>
      </w:r>
      <w:r w:rsidR="0019501D">
        <w:t>Connect USVI</w:t>
      </w:r>
      <w:r w:rsidR="001A0648">
        <w:t xml:space="preserve"> Fund recipients to amend their Disaster Preparation and Response Plan</w:t>
      </w:r>
      <w:r w:rsidR="0019501D">
        <w:t>s</w:t>
      </w:r>
      <w:r w:rsidR="001A0648">
        <w:t xml:space="preserve"> submitted to </w:t>
      </w:r>
      <w:r w:rsidR="0019501D">
        <w:t>the Bureau</w:t>
      </w:r>
      <w:r w:rsidR="001A0648">
        <w:t xml:space="preserve"> following “any material change(s) to internal processes and responsibilities and provide the updated Disaster Preparation and Response Plan to the Bureau within 10 business days following the material change(s).”  47 </w:t>
      </w:r>
      <w:r w:rsidR="006843D0">
        <w:t>CFR</w:t>
      </w:r>
      <w:r w:rsidR="001A0648">
        <w:t xml:space="preserve"> § 54.1515(c).</w:t>
      </w:r>
    </w:p>
  </w:footnote>
  <w:footnote w:id="29">
    <w:p w:rsidR="00E90C98" w:rsidP="00E90C98" w14:paraId="1D5291D7" w14:textId="18B19A3F">
      <w:pPr>
        <w:pStyle w:val="FootnoteText"/>
      </w:pPr>
      <w:r>
        <w:rPr>
          <w:rStyle w:val="FootnoteReference"/>
        </w:rPr>
        <w:footnoteRef/>
      </w:r>
      <w:r>
        <w:t xml:space="preserve"> 47 </w:t>
      </w:r>
      <w:r w:rsidR="006843D0">
        <w:t>CFR</w:t>
      </w:r>
      <w:r>
        <w:t xml:space="preserve"> § 63.03(c)(1)(v).</w:t>
      </w:r>
    </w:p>
  </w:footnote>
  <w:footnote w:id="30">
    <w:p w:rsidR="00E90C98" w:rsidP="00E90C98" w14:paraId="03B1A3F9" w14:textId="77777777">
      <w:pPr>
        <w:pStyle w:val="FootnoteText"/>
        <w:spacing w:after="120"/>
      </w:pPr>
      <w:r>
        <w:rPr>
          <w:rStyle w:val="FootnoteReference"/>
        </w:rPr>
        <w:footnoteRef/>
      </w:r>
      <w: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Pr>
          <w:i/>
          <w:iCs/>
        </w:rPr>
        <w:t>See FCC Announces Closure of FCC Headquarters Open Window and Change in Hand-Delivery Policy</w:t>
      </w:r>
      <w:r>
        <w:t xml:space="preserve">, Public Notice, 35 FCC Rcd 2788 (OS 2020)  </w:t>
      </w:r>
      <w:hyperlink r:id="rId1" w:history="1">
        <w:r>
          <w:rPr>
            <w:rStyle w:val="Hyperlink"/>
          </w:rPr>
          <w:t>https://www.fcc.gov/document/fcc-closes-headquarters-open-window-and-changes-hand-delivery-policy</w:t>
        </w:r>
      </w:hyperlink>
      <w:r>
        <w:rPr>
          <w:rStyle w:val="Hyperlink"/>
        </w:rPr>
        <w:t>.</w:t>
      </w:r>
    </w:p>
  </w:footnote>
  <w:footnote w:id="31">
    <w:p w:rsidR="00E90C98" w:rsidP="00E90C98" w14:paraId="50EC4A24" w14:textId="77777777">
      <w:pPr>
        <w:pStyle w:val="FootnoteText"/>
        <w:spacing w:after="120"/>
      </w:pPr>
      <w:r>
        <w:rPr>
          <w:rStyle w:val="FootnoteReference"/>
        </w:rPr>
        <w:footnoteRef/>
      </w:r>
      <w:r>
        <w:t xml:space="preserve"> </w:t>
      </w:r>
      <w:r>
        <w:rPr>
          <w:i/>
        </w:rPr>
        <w:t>See</w:t>
      </w:r>
      <w: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3B012AA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mso-height-percent:0;mso-width-percent:0;mso-wrap-edited:f;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mso-height-percent:0;mso-width-percent:0;mso-wrap-edited:f;mso-wrap-style:square;position:absolute;visibility:visible;v-text-anchor:top;z-index:251658240" o:allowincell="f" stroked="f">
          <v:textbox>
            <w:txbxContent>
              <w:p w:rsidR="008272A8" w14:paraId="0663DFE0" w14:textId="77777777">
                <w:pPr>
                  <w:rPr>
                    <w:rFonts w:ascii="Arial" w:hAnsi="Arial"/>
                    <w:b/>
                  </w:rPr>
                </w:pPr>
                <w:r>
                  <w:rPr>
                    <w:rFonts w:ascii="Arial" w:hAnsi="Arial"/>
                    <w:b/>
                  </w:rPr>
                  <w:t>Federal Communications Commission</w:t>
                </w:r>
              </w:p>
              <w:p w:rsidR="008272A8" w14:paraId="409044EE" w14:textId="77777777">
                <w:pPr>
                  <w:rPr>
                    <w:rFonts w:ascii="Arial" w:hAnsi="Arial"/>
                    <w:b/>
                  </w:rPr>
                </w:pPr>
                <w:r>
                  <w:rPr>
                    <w:rFonts w:ascii="Arial" w:hAnsi="Arial"/>
                    <w:b/>
                  </w:rPr>
                  <w:t>45 L St., N.E.</w:t>
                </w:r>
              </w:p>
              <w:p w:rsidR="008272A8" w14:paraId="79B12CE8" w14:textId="77777777">
                <w:pPr>
                  <w:rPr>
                    <w:rFonts w:ascii="Arial" w:hAnsi="Arial"/>
                    <w:sz w:val="24"/>
                  </w:rPr>
                </w:pPr>
                <w:r>
                  <w:rPr>
                    <w:rFonts w:ascii="Arial" w:hAnsi="Arial"/>
                    <w:b/>
                  </w:rPr>
                  <w:t>Washington, D.C. 20554</w:t>
                </w:r>
              </w:p>
            </w:txbxContent>
          </v:textbox>
        </v:shape>
      </w:pict>
    </w:r>
    <w:r w:rsidRPr="7B6157F7" w:rsidR="00E44EAC">
      <w:rPr>
        <w:rFonts w:ascii="News Gothic MT" w:hAnsi="News Gothic MT"/>
        <w:b/>
        <w:bCs/>
        <w:kern w:val="28"/>
        <w:sz w:val="96"/>
        <w:szCs w:val="96"/>
      </w:rPr>
      <w:t>PUBLIC NOTICE</w:t>
    </w:r>
  </w:p>
  <w:p w:rsidR="008272A8" w14:paraId="36CEDA28"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mso-height-percent:0;mso-width-percent:0;mso-wrap-edited:f;position:absolute;visibility:visible;z-index:251659264" from="0,54.95pt" to="540pt,55.15pt" o:allowincell="f"/>
      </w:pict>
    </w:r>
    <w:r>
      <w:rPr>
        <w:noProof/>
      </w:rPr>
      <w:pict>
        <v:shape id="Text Box 3" o:spid="_x0000_s2052" type="#_x0000_t202" style="width:207.95pt;height:43.2pt;margin-top:10.25pt;margin-left:336.7pt;mso-height-percent:0;mso-width-percent:0;mso-wrap-edited:f;mso-wrap-style:square;position:absolute;visibility:visible;v-text-anchor:top;z-index:251660288" o:allowincell="f" stroked="f">
          <v:textbox inset=",0,,0">
            <w:txbxContent>
              <w:p w:rsidR="008272A8" w14:paraId="412EBB1A" w14:textId="77777777">
                <w:pPr>
                  <w:spacing w:before="40"/>
                  <w:jc w:val="right"/>
                  <w:rPr>
                    <w:rFonts w:ascii="Arial" w:hAnsi="Arial"/>
                    <w:b/>
                    <w:sz w:val="16"/>
                  </w:rPr>
                </w:pPr>
                <w:r>
                  <w:rPr>
                    <w:rFonts w:ascii="Arial" w:hAnsi="Arial"/>
                    <w:b/>
                    <w:sz w:val="16"/>
                  </w:rPr>
                  <w:t>News Media Information 202 / 418-0500</w:t>
                </w:r>
              </w:p>
              <w:p w:rsidR="008272A8" w14:paraId="38CC9E0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272A8" w14:paraId="06FC86EC" w14:textId="77777777">
                <w:pPr>
                  <w:jc w:val="right"/>
                </w:pPr>
              </w:p>
            </w:txbxContent>
          </v:textbox>
        </v:shape>
      </w:pict>
    </w:r>
  </w:p>
  <w:p w:rsidR="008272A8" w14:paraId="389409E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2F93BA9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30"/>
    <w:rsid w:val="0000298C"/>
    <w:rsid w:val="00005F75"/>
    <w:rsid w:val="000064CD"/>
    <w:rsid w:val="00007FDC"/>
    <w:rsid w:val="0001023F"/>
    <w:rsid w:val="0001135F"/>
    <w:rsid w:val="0001280D"/>
    <w:rsid w:val="00017A3A"/>
    <w:rsid w:val="000211AC"/>
    <w:rsid w:val="00021F2D"/>
    <w:rsid w:val="0002470A"/>
    <w:rsid w:val="000253E5"/>
    <w:rsid w:val="00035F32"/>
    <w:rsid w:val="00040610"/>
    <w:rsid w:val="00040BA0"/>
    <w:rsid w:val="00040DAF"/>
    <w:rsid w:val="00041C01"/>
    <w:rsid w:val="00042890"/>
    <w:rsid w:val="000439B6"/>
    <w:rsid w:val="00051E2C"/>
    <w:rsid w:val="000534AC"/>
    <w:rsid w:val="00057E12"/>
    <w:rsid w:val="000629CF"/>
    <w:rsid w:val="000656F9"/>
    <w:rsid w:val="00066D12"/>
    <w:rsid w:val="000735C8"/>
    <w:rsid w:val="00074C6C"/>
    <w:rsid w:val="0008381D"/>
    <w:rsid w:val="00087205"/>
    <w:rsid w:val="00095E72"/>
    <w:rsid w:val="000A3BF0"/>
    <w:rsid w:val="000B069D"/>
    <w:rsid w:val="000B31C3"/>
    <w:rsid w:val="000B4EDD"/>
    <w:rsid w:val="000B7587"/>
    <w:rsid w:val="000C28FC"/>
    <w:rsid w:val="000D04B7"/>
    <w:rsid w:val="000D0D16"/>
    <w:rsid w:val="000E3E17"/>
    <w:rsid w:val="000E42F9"/>
    <w:rsid w:val="000F02F7"/>
    <w:rsid w:val="00101D0B"/>
    <w:rsid w:val="001032DD"/>
    <w:rsid w:val="0011311D"/>
    <w:rsid w:val="001150BA"/>
    <w:rsid w:val="00126638"/>
    <w:rsid w:val="0013405D"/>
    <w:rsid w:val="00140814"/>
    <w:rsid w:val="00141388"/>
    <w:rsid w:val="0014152F"/>
    <w:rsid w:val="00141D25"/>
    <w:rsid w:val="001470F0"/>
    <w:rsid w:val="001516AE"/>
    <w:rsid w:val="0015217F"/>
    <w:rsid w:val="00157952"/>
    <w:rsid w:val="00157E29"/>
    <w:rsid w:val="0016562C"/>
    <w:rsid w:val="00171000"/>
    <w:rsid w:val="00176139"/>
    <w:rsid w:val="001827FB"/>
    <w:rsid w:val="00187617"/>
    <w:rsid w:val="00194E1E"/>
    <w:rsid w:val="0019501D"/>
    <w:rsid w:val="001A00A7"/>
    <w:rsid w:val="001A0648"/>
    <w:rsid w:val="001A3813"/>
    <w:rsid w:val="001A4CCE"/>
    <w:rsid w:val="001A5568"/>
    <w:rsid w:val="001B15FB"/>
    <w:rsid w:val="001B4C2F"/>
    <w:rsid w:val="001B69F9"/>
    <w:rsid w:val="001C12C2"/>
    <w:rsid w:val="001C3C98"/>
    <w:rsid w:val="001E382D"/>
    <w:rsid w:val="001E659B"/>
    <w:rsid w:val="001F28BA"/>
    <w:rsid w:val="001F4ED3"/>
    <w:rsid w:val="001F5138"/>
    <w:rsid w:val="001F6762"/>
    <w:rsid w:val="0021524B"/>
    <w:rsid w:val="0021680F"/>
    <w:rsid w:val="00220B67"/>
    <w:rsid w:val="002217F0"/>
    <w:rsid w:val="00221CCF"/>
    <w:rsid w:val="0022449B"/>
    <w:rsid w:val="00225F62"/>
    <w:rsid w:val="0022664E"/>
    <w:rsid w:val="00234E4F"/>
    <w:rsid w:val="002448F4"/>
    <w:rsid w:val="00247623"/>
    <w:rsid w:val="00252880"/>
    <w:rsid w:val="00253247"/>
    <w:rsid w:val="0025743F"/>
    <w:rsid w:val="00262E65"/>
    <w:rsid w:val="00275EE0"/>
    <w:rsid w:val="00280802"/>
    <w:rsid w:val="0028149F"/>
    <w:rsid w:val="0028555C"/>
    <w:rsid w:val="00285BEB"/>
    <w:rsid w:val="002906ED"/>
    <w:rsid w:val="00291913"/>
    <w:rsid w:val="00292C84"/>
    <w:rsid w:val="002A1D13"/>
    <w:rsid w:val="002A5A6E"/>
    <w:rsid w:val="002B16FA"/>
    <w:rsid w:val="002B1AFB"/>
    <w:rsid w:val="002B4971"/>
    <w:rsid w:val="002C1DC1"/>
    <w:rsid w:val="002C203E"/>
    <w:rsid w:val="002C22F3"/>
    <w:rsid w:val="002C27F4"/>
    <w:rsid w:val="002C3ADF"/>
    <w:rsid w:val="002D09E2"/>
    <w:rsid w:val="002D1B19"/>
    <w:rsid w:val="002D2251"/>
    <w:rsid w:val="002D65CC"/>
    <w:rsid w:val="002D6F61"/>
    <w:rsid w:val="002E053A"/>
    <w:rsid w:val="002E1E27"/>
    <w:rsid w:val="00302C56"/>
    <w:rsid w:val="00303877"/>
    <w:rsid w:val="00306670"/>
    <w:rsid w:val="0031156F"/>
    <w:rsid w:val="00313546"/>
    <w:rsid w:val="00313924"/>
    <w:rsid w:val="00314891"/>
    <w:rsid w:val="0031554B"/>
    <w:rsid w:val="00315D50"/>
    <w:rsid w:val="00315FCD"/>
    <w:rsid w:val="0031636F"/>
    <w:rsid w:val="00323153"/>
    <w:rsid w:val="003238CB"/>
    <w:rsid w:val="0032625B"/>
    <w:rsid w:val="00332884"/>
    <w:rsid w:val="003358B9"/>
    <w:rsid w:val="00340D4E"/>
    <w:rsid w:val="00341BC2"/>
    <w:rsid w:val="00350329"/>
    <w:rsid w:val="00353CB5"/>
    <w:rsid w:val="003632CF"/>
    <w:rsid w:val="00363960"/>
    <w:rsid w:val="00365194"/>
    <w:rsid w:val="00367E50"/>
    <w:rsid w:val="00372CA2"/>
    <w:rsid w:val="00376094"/>
    <w:rsid w:val="003855A0"/>
    <w:rsid w:val="003856EC"/>
    <w:rsid w:val="0038632F"/>
    <w:rsid w:val="003879D0"/>
    <w:rsid w:val="00387BBE"/>
    <w:rsid w:val="00395A7A"/>
    <w:rsid w:val="00397ABD"/>
    <w:rsid w:val="003A104F"/>
    <w:rsid w:val="003A18A0"/>
    <w:rsid w:val="003A580D"/>
    <w:rsid w:val="003B1DA0"/>
    <w:rsid w:val="003B43C3"/>
    <w:rsid w:val="003B5CEE"/>
    <w:rsid w:val="003D0F8F"/>
    <w:rsid w:val="003D410C"/>
    <w:rsid w:val="003D43D6"/>
    <w:rsid w:val="003E00F5"/>
    <w:rsid w:val="003E40DA"/>
    <w:rsid w:val="003E58EC"/>
    <w:rsid w:val="003E6571"/>
    <w:rsid w:val="003F01B8"/>
    <w:rsid w:val="003F0BDB"/>
    <w:rsid w:val="003F0E0D"/>
    <w:rsid w:val="003F0ECD"/>
    <w:rsid w:val="003F1D04"/>
    <w:rsid w:val="003F41B0"/>
    <w:rsid w:val="003F45E5"/>
    <w:rsid w:val="003F7A3F"/>
    <w:rsid w:val="00400AB9"/>
    <w:rsid w:val="0040580F"/>
    <w:rsid w:val="00405815"/>
    <w:rsid w:val="00406679"/>
    <w:rsid w:val="004077D0"/>
    <w:rsid w:val="004331D7"/>
    <w:rsid w:val="00433D8C"/>
    <w:rsid w:val="00434C96"/>
    <w:rsid w:val="00445CF7"/>
    <w:rsid w:val="0044608C"/>
    <w:rsid w:val="004547DB"/>
    <w:rsid w:val="0046036F"/>
    <w:rsid w:val="00460914"/>
    <w:rsid w:val="004609A4"/>
    <w:rsid w:val="00460BDC"/>
    <w:rsid w:val="00464E8A"/>
    <w:rsid w:val="00467976"/>
    <w:rsid w:val="00476B50"/>
    <w:rsid w:val="00477D20"/>
    <w:rsid w:val="004808FC"/>
    <w:rsid w:val="00482EB0"/>
    <w:rsid w:val="0048538B"/>
    <w:rsid w:val="00485DD1"/>
    <w:rsid w:val="004903C4"/>
    <w:rsid w:val="00490F2D"/>
    <w:rsid w:val="004913FF"/>
    <w:rsid w:val="00492290"/>
    <w:rsid w:val="004951AE"/>
    <w:rsid w:val="004A2872"/>
    <w:rsid w:val="004A684C"/>
    <w:rsid w:val="004A7EFC"/>
    <w:rsid w:val="004B1D86"/>
    <w:rsid w:val="004B3EAE"/>
    <w:rsid w:val="004B60D7"/>
    <w:rsid w:val="004B7520"/>
    <w:rsid w:val="004C219F"/>
    <w:rsid w:val="004C22B8"/>
    <w:rsid w:val="004C3DB0"/>
    <w:rsid w:val="004C712F"/>
    <w:rsid w:val="004C73D8"/>
    <w:rsid w:val="004D5A7C"/>
    <w:rsid w:val="004D63F5"/>
    <w:rsid w:val="004D7912"/>
    <w:rsid w:val="004E323A"/>
    <w:rsid w:val="004E49E1"/>
    <w:rsid w:val="004E5A60"/>
    <w:rsid w:val="004F3603"/>
    <w:rsid w:val="004F3CEC"/>
    <w:rsid w:val="004F6F64"/>
    <w:rsid w:val="00501D17"/>
    <w:rsid w:val="0052588A"/>
    <w:rsid w:val="00525F17"/>
    <w:rsid w:val="005273AB"/>
    <w:rsid w:val="0053007F"/>
    <w:rsid w:val="005320B5"/>
    <w:rsid w:val="00533E67"/>
    <w:rsid w:val="0053439A"/>
    <w:rsid w:val="00535BE4"/>
    <w:rsid w:val="00536ED2"/>
    <w:rsid w:val="00537D6B"/>
    <w:rsid w:val="00541FF2"/>
    <w:rsid w:val="00544B51"/>
    <w:rsid w:val="005524B5"/>
    <w:rsid w:val="0056058F"/>
    <w:rsid w:val="00560D99"/>
    <w:rsid w:val="00560E2D"/>
    <w:rsid w:val="00573808"/>
    <w:rsid w:val="00574EF6"/>
    <w:rsid w:val="00581220"/>
    <w:rsid w:val="00581792"/>
    <w:rsid w:val="00582EAB"/>
    <w:rsid w:val="00585942"/>
    <w:rsid w:val="00586E49"/>
    <w:rsid w:val="00587F9A"/>
    <w:rsid w:val="005932BA"/>
    <w:rsid w:val="005A13D0"/>
    <w:rsid w:val="005A22EB"/>
    <w:rsid w:val="005A64A7"/>
    <w:rsid w:val="005B2105"/>
    <w:rsid w:val="005B57F1"/>
    <w:rsid w:val="005B6764"/>
    <w:rsid w:val="005B6F2E"/>
    <w:rsid w:val="005B758D"/>
    <w:rsid w:val="005C403A"/>
    <w:rsid w:val="005C5165"/>
    <w:rsid w:val="005C740F"/>
    <w:rsid w:val="005D0E2C"/>
    <w:rsid w:val="005D6D5C"/>
    <w:rsid w:val="005E370E"/>
    <w:rsid w:val="005E5E11"/>
    <w:rsid w:val="005F73CF"/>
    <w:rsid w:val="0060105E"/>
    <w:rsid w:val="0060106A"/>
    <w:rsid w:val="00603E2B"/>
    <w:rsid w:val="00604A3C"/>
    <w:rsid w:val="00604CFF"/>
    <w:rsid w:val="006079F6"/>
    <w:rsid w:val="0061137C"/>
    <w:rsid w:val="00614227"/>
    <w:rsid w:val="006144A3"/>
    <w:rsid w:val="00616221"/>
    <w:rsid w:val="00616638"/>
    <w:rsid w:val="00617185"/>
    <w:rsid w:val="006342D4"/>
    <w:rsid w:val="00641B1C"/>
    <w:rsid w:val="00653610"/>
    <w:rsid w:val="00654447"/>
    <w:rsid w:val="00654465"/>
    <w:rsid w:val="00656777"/>
    <w:rsid w:val="0065693D"/>
    <w:rsid w:val="00663975"/>
    <w:rsid w:val="00670CC1"/>
    <w:rsid w:val="006768CC"/>
    <w:rsid w:val="0068188D"/>
    <w:rsid w:val="006823D9"/>
    <w:rsid w:val="00683A96"/>
    <w:rsid w:val="006843D0"/>
    <w:rsid w:val="00687959"/>
    <w:rsid w:val="006903A7"/>
    <w:rsid w:val="00690EA9"/>
    <w:rsid w:val="00691832"/>
    <w:rsid w:val="00697359"/>
    <w:rsid w:val="006A201E"/>
    <w:rsid w:val="006A69F4"/>
    <w:rsid w:val="006A78F0"/>
    <w:rsid w:val="006B5C06"/>
    <w:rsid w:val="006B6AC8"/>
    <w:rsid w:val="006B7F06"/>
    <w:rsid w:val="006C32C8"/>
    <w:rsid w:val="006C591C"/>
    <w:rsid w:val="006C781A"/>
    <w:rsid w:val="006D1302"/>
    <w:rsid w:val="006D31FF"/>
    <w:rsid w:val="006D6C82"/>
    <w:rsid w:val="006E0531"/>
    <w:rsid w:val="006E3E11"/>
    <w:rsid w:val="006E61ED"/>
    <w:rsid w:val="006E7452"/>
    <w:rsid w:val="006F041D"/>
    <w:rsid w:val="006F2832"/>
    <w:rsid w:val="006F2F1F"/>
    <w:rsid w:val="006F3441"/>
    <w:rsid w:val="006F44AB"/>
    <w:rsid w:val="006F4D60"/>
    <w:rsid w:val="006F586C"/>
    <w:rsid w:val="007029E3"/>
    <w:rsid w:val="00704B2F"/>
    <w:rsid w:val="007067E2"/>
    <w:rsid w:val="00706D49"/>
    <w:rsid w:val="0071041E"/>
    <w:rsid w:val="00711C81"/>
    <w:rsid w:val="007124C8"/>
    <w:rsid w:val="00712888"/>
    <w:rsid w:val="007150A2"/>
    <w:rsid w:val="00720864"/>
    <w:rsid w:val="00721AA9"/>
    <w:rsid w:val="00724176"/>
    <w:rsid w:val="00724722"/>
    <w:rsid w:val="007265EE"/>
    <w:rsid w:val="00732C3A"/>
    <w:rsid w:val="00733B9B"/>
    <w:rsid w:val="007361D6"/>
    <w:rsid w:val="00740AD9"/>
    <w:rsid w:val="00747FB8"/>
    <w:rsid w:val="0075046C"/>
    <w:rsid w:val="00750B9D"/>
    <w:rsid w:val="0075291B"/>
    <w:rsid w:val="007569C5"/>
    <w:rsid w:val="0075743F"/>
    <w:rsid w:val="00760269"/>
    <w:rsid w:val="00760571"/>
    <w:rsid w:val="00762D92"/>
    <w:rsid w:val="007631B9"/>
    <w:rsid w:val="007679F3"/>
    <w:rsid w:val="00771214"/>
    <w:rsid w:val="00775CD4"/>
    <w:rsid w:val="0078057D"/>
    <w:rsid w:val="00780F55"/>
    <w:rsid w:val="00783DDE"/>
    <w:rsid w:val="00787182"/>
    <w:rsid w:val="00795DF8"/>
    <w:rsid w:val="00796E19"/>
    <w:rsid w:val="007A426E"/>
    <w:rsid w:val="007A5130"/>
    <w:rsid w:val="007B0FA7"/>
    <w:rsid w:val="007B1EAE"/>
    <w:rsid w:val="007B4D1E"/>
    <w:rsid w:val="007B7204"/>
    <w:rsid w:val="007C263F"/>
    <w:rsid w:val="007C3551"/>
    <w:rsid w:val="007C4108"/>
    <w:rsid w:val="007D01D9"/>
    <w:rsid w:val="007D6881"/>
    <w:rsid w:val="007E03E5"/>
    <w:rsid w:val="007E5DAA"/>
    <w:rsid w:val="007F11AD"/>
    <w:rsid w:val="007F327F"/>
    <w:rsid w:val="007F63BD"/>
    <w:rsid w:val="007F7FCD"/>
    <w:rsid w:val="008036BB"/>
    <w:rsid w:val="0080674A"/>
    <w:rsid w:val="00812369"/>
    <w:rsid w:val="00813C6D"/>
    <w:rsid w:val="00816285"/>
    <w:rsid w:val="00821491"/>
    <w:rsid w:val="00821889"/>
    <w:rsid w:val="00824E65"/>
    <w:rsid w:val="008272A8"/>
    <w:rsid w:val="00830743"/>
    <w:rsid w:val="008325EE"/>
    <w:rsid w:val="0084363A"/>
    <w:rsid w:val="008446BC"/>
    <w:rsid w:val="0084778A"/>
    <w:rsid w:val="0085137C"/>
    <w:rsid w:val="00853114"/>
    <w:rsid w:val="0085536D"/>
    <w:rsid w:val="0085579D"/>
    <w:rsid w:val="00856944"/>
    <w:rsid w:val="00860F11"/>
    <w:rsid w:val="0086688B"/>
    <w:rsid w:val="0086691C"/>
    <w:rsid w:val="008675C7"/>
    <w:rsid w:val="00872454"/>
    <w:rsid w:val="0087554B"/>
    <w:rsid w:val="00876514"/>
    <w:rsid w:val="0087685F"/>
    <w:rsid w:val="00876E9B"/>
    <w:rsid w:val="00877D35"/>
    <w:rsid w:val="008832EE"/>
    <w:rsid w:val="00890541"/>
    <w:rsid w:val="00896EDF"/>
    <w:rsid w:val="00897F74"/>
    <w:rsid w:val="008A3786"/>
    <w:rsid w:val="008B241F"/>
    <w:rsid w:val="008B2900"/>
    <w:rsid w:val="008B4FC7"/>
    <w:rsid w:val="008B7187"/>
    <w:rsid w:val="008C0A81"/>
    <w:rsid w:val="008C294A"/>
    <w:rsid w:val="008C48A3"/>
    <w:rsid w:val="008C564D"/>
    <w:rsid w:val="008C75E6"/>
    <w:rsid w:val="008C7999"/>
    <w:rsid w:val="008D03C4"/>
    <w:rsid w:val="008D0E14"/>
    <w:rsid w:val="008D2804"/>
    <w:rsid w:val="008D5A69"/>
    <w:rsid w:val="008D79D6"/>
    <w:rsid w:val="008E11C1"/>
    <w:rsid w:val="008E1CB4"/>
    <w:rsid w:val="008E27B4"/>
    <w:rsid w:val="008E282A"/>
    <w:rsid w:val="008E416A"/>
    <w:rsid w:val="008E581F"/>
    <w:rsid w:val="008E69D9"/>
    <w:rsid w:val="008F6981"/>
    <w:rsid w:val="00903154"/>
    <w:rsid w:val="00903DE0"/>
    <w:rsid w:val="0090615E"/>
    <w:rsid w:val="009070DC"/>
    <w:rsid w:val="0090751E"/>
    <w:rsid w:val="009075DA"/>
    <w:rsid w:val="00907F30"/>
    <w:rsid w:val="00910140"/>
    <w:rsid w:val="009101A4"/>
    <w:rsid w:val="00910B40"/>
    <w:rsid w:val="00913852"/>
    <w:rsid w:val="00913DB8"/>
    <w:rsid w:val="00916D50"/>
    <w:rsid w:val="009211C4"/>
    <w:rsid w:val="009236BF"/>
    <w:rsid w:val="00935846"/>
    <w:rsid w:val="009362B8"/>
    <w:rsid w:val="009375A4"/>
    <w:rsid w:val="00937CB0"/>
    <w:rsid w:val="00950639"/>
    <w:rsid w:val="00954C80"/>
    <w:rsid w:val="009558A7"/>
    <w:rsid w:val="00962DA3"/>
    <w:rsid w:val="009703C9"/>
    <w:rsid w:val="009753C0"/>
    <w:rsid w:val="0098015F"/>
    <w:rsid w:val="009926EB"/>
    <w:rsid w:val="009A0D7F"/>
    <w:rsid w:val="009A124E"/>
    <w:rsid w:val="009B0128"/>
    <w:rsid w:val="009B18C4"/>
    <w:rsid w:val="009B1CCF"/>
    <w:rsid w:val="009B6797"/>
    <w:rsid w:val="009C3EC2"/>
    <w:rsid w:val="009C4A1C"/>
    <w:rsid w:val="009C4F5A"/>
    <w:rsid w:val="009C66BD"/>
    <w:rsid w:val="009D0731"/>
    <w:rsid w:val="009D34D7"/>
    <w:rsid w:val="009D3B6F"/>
    <w:rsid w:val="009D6CBA"/>
    <w:rsid w:val="009E1C83"/>
    <w:rsid w:val="009F09EF"/>
    <w:rsid w:val="009F780C"/>
    <w:rsid w:val="009F7BAB"/>
    <w:rsid w:val="00A002BA"/>
    <w:rsid w:val="00A00CAA"/>
    <w:rsid w:val="00A05E78"/>
    <w:rsid w:val="00A06C0A"/>
    <w:rsid w:val="00A11865"/>
    <w:rsid w:val="00A15248"/>
    <w:rsid w:val="00A1544A"/>
    <w:rsid w:val="00A1692B"/>
    <w:rsid w:val="00A214C6"/>
    <w:rsid w:val="00A229F0"/>
    <w:rsid w:val="00A25AB6"/>
    <w:rsid w:val="00A25C41"/>
    <w:rsid w:val="00A3545A"/>
    <w:rsid w:val="00A36DEA"/>
    <w:rsid w:val="00A44AD0"/>
    <w:rsid w:val="00A47815"/>
    <w:rsid w:val="00A54711"/>
    <w:rsid w:val="00A55F2F"/>
    <w:rsid w:val="00A569E4"/>
    <w:rsid w:val="00A7396F"/>
    <w:rsid w:val="00A77A3C"/>
    <w:rsid w:val="00A824AF"/>
    <w:rsid w:val="00A8336A"/>
    <w:rsid w:val="00A922FD"/>
    <w:rsid w:val="00A92C9E"/>
    <w:rsid w:val="00A9377C"/>
    <w:rsid w:val="00AA252A"/>
    <w:rsid w:val="00AA3683"/>
    <w:rsid w:val="00AA45EC"/>
    <w:rsid w:val="00AA79C4"/>
    <w:rsid w:val="00AB35BE"/>
    <w:rsid w:val="00AB369C"/>
    <w:rsid w:val="00AC1C77"/>
    <w:rsid w:val="00AC4CEF"/>
    <w:rsid w:val="00AC5DFB"/>
    <w:rsid w:val="00AD0360"/>
    <w:rsid w:val="00AD45FC"/>
    <w:rsid w:val="00AD6926"/>
    <w:rsid w:val="00AE16BD"/>
    <w:rsid w:val="00AE4EB4"/>
    <w:rsid w:val="00AE522A"/>
    <w:rsid w:val="00AF04F4"/>
    <w:rsid w:val="00AF1A8C"/>
    <w:rsid w:val="00AF2955"/>
    <w:rsid w:val="00AF35EB"/>
    <w:rsid w:val="00AF6AD7"/>
    <w:rsid w:val="00B00CBF"/>
    <w:rsid w:val="00B02CE4"/>
    <w:rsid w:val="00B06CA1"/>
    <w:rsid w:val="00B07323"/>
    <w:rsid w:val="00B12C5F"/>
    <w:rsid w:val="00B23981"/>
    <w:rsid w:val="00B24F56"/>
    <w:rsid w:val="00B25D2D"/>
    <w:rsid w:val="00B30941"/>
    <w:rsid w:val="00B335D6"/>
    <w:rsid w:val="00B44E2C"/>
    <w:rsid w:val="00B52358"/>
    <w:rsid w:val="00B55A93"/>
    <w:rsid w:val="00B567EB"/>
    <w:rsid w:val="00B56E1B"/>
    <w:rsid w:val="00B62EDB"/>
    <w:rsid w:val="00B70032"/>
    <w:rsid w:val="00B713DE"/>
    <w:rsid w:val="00B72F45"/>
    <w:rsid w:val="00B73AED"/>
    <w:rsid w:val="00B8520F"/>
    <w:rsid w:val="00B908C9"/>
    <w:rsid w:val="00B93BD0"/>
    <w:rsid w:val="00B958E7"/>
    <w:rsid w:val="00BA240A"/>
    <w:rsid w:val="00BA3568"/>
    <w:rsid w:val="00BA45FE"/>
    <w:rsid w:val="00BA52B0"/>
    <w:rsid w:val="00BA56E2"/>
    <w:rsid w:val="00BC0F23"/>
    <w:rsid w:val="00BC0F48"/>
    <w:rsid w:val="00BC6582"/>
    <w:rsid w:val="00BC7555"/>
    <w:rsid w:val="00BD0A4B"/>
    <w:rsid w:val="00BD2520"/>
    <w:rsid w:val="00BD3278"/>
    <w:rsid w:val="00BD5F83"/>
    <w:rsid w:val="00BD6631"/>
    <w:rsid w:val="00BE02A5"/>
    <w:rsid w:val="00BE1FC9"/>
    <w:rsid w:val="00BF0265"/>
    <w:rsid w:val="00BF07F1"/>
    <w:rsid w:val="00BF0B00"/>
    <w:rsid w:val="00C03EC3"/>
    <w:rsid w:val="00C100C9"/>
    <w:rsid w:val="00C117C2"/>
    <w:rsid w:val="00C11C1B"/>
    <w:rsid w:val="00C1683B"/>
    <w:rsid w:val="00C16F28"/>
    <w:rsid w:val="00C20B0B"/>
    <w:rsid w:val="00C219A5"/>
    <w:rsid w:val="00C229D8"/>
    <w:rsid w:val="00C25666"/>
    <w:rsid w:val="00C25D26"/>
    <w:rsid w:val="00C321CC"/>
    <w:rsid w:val="00C33C1D"/>
    <w:rsid w:val="00C4152D"/>
    <w:rsid w:val="00C4446E"/>
    <w:rsid w:val="00C55CF3"/>
    <w:rsid w:val="00C612FD"/>
    <w:rsid w:val="00C62132"/>
    <w:rsid w:val="00C64B14"/>
    <w:rsid w:val="00C657ED"/>
    <w:rsid w:val="00C668E5"/>
    <w:rsid w:val="00C72163"/>
    <w:rsid w:val="00C749BC"/>
    <w:rsid w:val="00C75DF3"/>
    <w:rsid w:val="00C7753F"/>
    <w:rsid w:val="00C80742"/>
    <w:rsid w:val="00C80E09"/>
    <w:rsid w:val="00C82D34"/>
    <w:rsid w:val="00C869E8"/>
    <w:rsid w:val="00C86D25"/>
    <w:rsid w:val="00C9095A"/>
    <w:rsid w:val="00C9414E"/>
    <w:rsid w:val="00C950B4"/>
    <w:rsid w:val="00CB08EA"/>
    <w:rsid w:val="00CB0C66"/>
    <w:rsid w:val="00CB2908"/>
    <w:rsid w:val="00CC0917"/>
    <w:rsid w:val="00CC236D"/>
    <w:rsid w:val="00CC70CB"/>
    <w:rsid w:val="00CD2211"/>
    <w:rsid w:val="00CD3CBE"/>
    <w:rsid w:val="00CD615B"/>
    <w:rsid w:val="00CE0363"/>
    <w:rsid w:val="00CE03DE"/>
    <w:rsid w:val="00CE413E"/>
    <w:rsid w:val="00CE49B4"/>
    <w:rsid w:val="00CF1452"/>
    <w:rsid w:val="00CF2BE4"/>
    <w:rsid w:val="00CF3254"/>
    <w:rsid w:val="00CF3F2C"/>
    <w:rsid w:val="00CF704F"/>
    <w:rsid w:val="00CF7885"/>
    <w:rsid w:val="00D04DB0"/>
    <w:rsid w:val="00D04FBA"/>
    <w:rsid w:val="00D111DF"/>
    <w:rsid w:val="00D1618E"/>
    <w:rsid w:val="00D17873"/>
    <w:rsid w:val="00D22738"/>
    <w:rsid w:val="00D24A27"/>
    <w:rsid w:val="00D252B2"/>
    <w:rsid w:val="00D30DAA"/>
    <w:rsid w:val="00D34BF8"/>
    <w:rsid w:val="00D42D5A"/>
    <w:rsid w:val="00D47918"/>
    <w:rsid w:val="00D51FA5"/>
    <w:rsid w:val="00D5321C"/>
    <w:rsid w:val="00D54101"/>
    <w:rsid w:val="00D553EC"/>
    <w:rsid w:val="00D64788"/>
    <w:rsid w:val="00D668AD"/>
    <w:rsid w:val="00D700F0"/>
    <w:rsid w:val="00D71B3A"/>
    <w:rsid w:val="00D8288E"/>
    <w:rsid w:val="00D94FDC"/>
    <w:rsid w:val="00D96301"/>
    <w:rsid w:val="00DA1392"/>
    <w:rsid w:val="00DA1A77"/>
    <w:rsid w:val="00DA4E06"/>
    <w:rsid w:val="00DB59FD"/>
    <w:rsid w:val="00DB6754"/>
    <w:rsid w:val="00DC4291"/>
    <w:rsid w:val="00DC5BDD"/>
    <w:rsid w:val="00DD0968"/>
    <w:rsid w:val="00DE4D49"/>
    <w:rsid w:val="00DE62DE"/>
    <w:rsid w:val="00DF0192"/>
    <w:rsid w:val="00DF1793"/>
    <w:rsid w:val="00DF1AD9"/>
    <w:rsid w:val="00DF4031"/>
    <w:rsid w:val="00DF6B3C"/>
    <w:rsid w:val="00DF72FD"/>
    <w:rsid w:val="00E0730C"/>
    <w:rsid w:val="00E11A1D"/>
    <w:rsid w:val="00E201EE"/>
    <w:rsid w:val="00E20DF3"/>
    <w:rsid w:val="00E21D8E"/>
    <w:rsid w:val="00E24121"/>
    <w:rsid w:val="00E25CC7"/>
    <w:rsid w:val="00E30610"/>
    <w:rsid w:val="00E30A5D"/>
    <w:rsid w:val="00E31538"/>
    <w:rsid w:val="00E32AED"/>
    <w:rsid w:val="00E36A37"/>
    <w:rsid w:val="00E4034F"/>
    <w:rsid w:val="00E40C67"/>
    <w:rsid w:val="00E417E3"/>
    <w:rsid w:val="00E44EAC"/>
    <w:rsid w:val="00E53F87"/>
    <w:rsid w:val="00E546D7"/>
    <w:rsid w:val="00E54722"/>
    <w:rsid w:val="00E554BA"/>
    <w:rsid w:val="00E55A96"/>
    <w:rsid w:val="00E56D1E"/>
    <w:rsid w:val="00E6660F"/>
    <w:rsid w:val="00E7033D"/>
    <w:rsid w:val="00E73EF8"/>
    <w:rsid w:val="00E77729"/>
    <w:rsid w:val="00E77D8D"/>
    <w:rsid w:val="00E84DF2"/>
    <w:rsid w:val="00E87A1A"/>
    <w:rsid w:val="00E90A56"/>
    <w:rsid w:val="00E90C98"/>
    <w:rsid w:val="00E913FE"/>
    <w:rsid w:val="00E9381B"/>
    <w:rsid w:val="00EA5056"/>
    <w:rsid w:val="00EA5DC9"/>
    <w:rsid w:val="00EB2E3F"/>
    <w:rsid w:val="00EB4B17"/>
    <w:rsid w:val="00EB5F81"/>
    <w:rsid w:val="00EC0FDA"/>
    <w:rsid w:val="00EC10D1"/>
    <w:rsid w:val="00EC3BF9"/>
    <w:rsid w:val="00EC3CCE"/>
    <w:rsid w:val="00EC3D67"/>
    <w:rsid w:val="00EC5E3D"/>
    <w:rsid w:val="00EC66CA"/>
    <w:rsid w:val="00ED40B2"/>
    <w:rsid w:val="00EE37C8"/>
    <w:rsid w:val="00EE4AD8"/>
    <w:rsid w:val="00EF4D1A"/>
    <w:rsid w:val="00F04824"/>
    <w:rsid w:val="00F04E22"/>
    <w:rsid w:val="00F05755"/>
    <w:rsid w:val="00F111A2"/>
    <w:rsid w:val="00F13E8E"/>
    <w:rsid w:val="00F21285"/>
    <w:rsid w:val="00F24030"/>
    <w:rsid w:val="00F242B0"/>
    <w:rsid w:val="00F24D54"/>
    <w:rsid w:val="00F25C6B"/>
    <w:rsid w:val="00F26580"/>
    <w:rsid w:val="00F26F03"/>
    <w:rsid w:val="00F3092F"/>
    <w:rsid w:val="00F3410B"/>
    <w:rsid w:val="00F42676"/>
    <w:rsid w:val="00F43CCF"/>
    <w:rsid w:val="00F4490B"/>
    <w:rsid w:val="00F63C45"/>
    <w:rsid w:val="00F65523"/>
    <w:rsid w:val="00F6664A"/>
    <w:rsid w:val="00F66954"/>
    <w:rsid w:val="00F67744"/>
    <w:rsid w:val="00F70158"/>
    <w:rsid w:val="00F81C0B"/>
    <w:rsid w:val="00F84CA8"/>
    <w:rsid w:val="00F871E9"/>
    <w:rsid w:val="00F91EBF"/>
    <w:rsid w:val="00F91F71"/>
    <w:rsid w:val="00F95BCF"/>
    <w:rsid w:val="00FA546C"/>
    <w:rsid w:val="00FB729A"/>
    <w:rsid w:val="00FC3E30"/>
    <w:rsid w:val="00FC55AB"/>
    <w:rsid w:val="00FC74B1"/>
    <w:rsid w:val="00FD12A3"/>
    <w:rsid w:val="00FD3D14"/>
    <w:rsid w:val="00FD40F2"/>
    <w:rsid w:val="00FE6F2D"/>
    <w:rsid w:val="00FF451A"/>
    <w:rsid w:val="00FF51E5"/>
    <w:rsid w:val="69E7F779"/>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7E33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rsid w:val="00783DDE"/>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783DDE"/>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 w:type="paragraph" w:styleId="NormalWeb">
    <w:name w:val="Normal (Web)"/>
    <w:basedOn w:val="Normal"/>
    <w:uiPriority w:val="99"/>
    <w:unhideWhenUsed/>
    <w:rsid w:val="00CE4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christi.shewman@fcc.gov" TargetMode="External" /><Relationship Id="rId12" Type="http://schemas.openxmlformats.org/officeDocument/2006/relationships/hyperlink" Target="mailto:jim.bird@fcc.gov" TargetMode="External" /><Relationship Id="rId13" Type="http://schemas.openxmlformats.org/officeDocument/2006/relationships/hyperlink" Target="mailto:fcc504@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