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B20363" w:rsidP="00013A8B" w14:paraId="49499BF2" w14:textId="49416246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2E240E">
        <w:rPr>
          <w:b/>
          <w:sz w:val="24"/>
        </w:rPr>
        <w:t>1</w:t>
      </w:r>
      <w:r>
        <w:rPr>
          <w:b/>
          <w:sz w:val="24"/>
        </w:rPr>
        <w:t>-</w:t>
      </w:r>
      <w:r w:rsidR="002C4F8A">
        <w:rPr>
          <w:b/>
          <w:sz w:val="24"/>
        </w:rPr>
        <w:t>132</w:t>
      </w:r>
    </w:p>
    <w:p w:rsidR="00013A8B" w:rsidRPr="00B20363" w:rsidP="00013A8B" w14:paraId="27F07020" w14:textId="2E101D4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F154AD">
        <w:rPr>
          <w:b/>
          <w:sz w:val="24"/>
        </w:rPr>
        <w:t xml:space="preserve">February </w:t>
      </w:r>
      <w:r w:rsidR="00FB45EC">
        <w:rPr>
          <w:b/>
          <w:sz w:val="24"/>
        </w:rPr>
        <w:t>8</w:t>
      </w:r>
      <w:r w:rsidR="00F154AD">
        <w:rPr>
          <w:b/>
          <w:sz w:val="24"/>
        </w:rPr>
        <w:t>, 2021</w:t>
      </w:r>
    </w:p>
    <w:p w:rsidR="00013A8B" w:rsidP="00013A8B" w14:paraId="4E0A53F7" w14:textId="77777777">
      <w:pPr>
        <w:jc w:val="right"/>
        <w:rPr>
          <w:sz w:val="24"/>
        </w:rPr>
      </w:pPr>
    </w:p>
    <w:p w:rsidR="00F154AD" w:rsidP="00013A8B" w14:paraId="7E906956" w14:textId="518C34CA">
      <w:pPr>
        <w:jc w:val="center"/>
        <w:rPr>
          <w:rFonts w:ascii="Times New Roman Bold" w:hAnsi="Times New Roman Bold"/>
          <w:b/>
          <w:caps/>
          <w:sz w:val="24"/>
        </w:rPr>
      </w:pPr>
      <w:r w:rsidRPr="00F154AD">
        <w:rPr>
          <w:rFonts w:ascii="Times New Roman Bold" w:hAnsi="Times New Roman Bold"/>
          <w:b/>
          <w:caps/>
          <w:sz w:val="24"/>
        </w:rPr>
        <w:t xml:space="preserve">Auction </w:t>
      </w:r>
      <w:r w:rsidRPr="002F25DA">
        <w:rPr>
          <w:rFonts w:ascii="Times New Roman Bold" w:hAnsi="Times New Roman Bold"/>
          <w:b/>
          <w:caps/>
          <w:sz w:val="24"/>
        </w:rPr>
        <w:t>1</w:t>
      </w:r>
      <w:r w:rsidRPr="002F25DA" w:rsidR="000E5EAC">
        <w:rPr>
          <w:rFonts w:ascii="Times New Roman Bold" w:hAnsi="Times New Roman Bold"/>
          <w:b/>
          <w:caps/>
          <w:sz w:val="24"/>
        </w:rPr>
        <w:t>09</w:t>
      </w:r>
      <w:r w:rsidRPr="00F154AD">
        <w:rPr>
          <w:rFonts w:ascii="Times New Roman Bold" w:hAnsi="Times New Roman Bold"/>
          <w:b/>
          <w:caps/>
          <w:sz w:val="24"/>
        </w:rPr>
        <w:t xml:space="preserve"> Freeze Announced for Certain FM Applications and Rulemaking Filings</w:t>
      </w:r>
    </w:p>
    <w:p w:rsidR="00F154AD" w:rsidP="00013A8B" w14:paraId="250C65EF" w14:textId="77777777">
      <w:pPr>
        <w:jc w:val="center"/>
        <w:rPr>
          <w:rFonts w:ascii="Times New Roman Bold" w:hAnsi="Times New Roman Bold"/>
          <w:b/>
          <w:caps/>
          <w:sz w:val="24"/>
        </w:rPr>
      </w:pPr>
    </w:p>
    <w:p w:rsidR="00013A8B" w:rsidP="00013A8B" w14:paraId="32449AF2" w14:textId="7BDA66C1">
      <w:pPr>
        <w:jc w:val="center"/>
        <w:rPr>
          <w:b/>
          <w:sz w:val="24"/>
        </w:rPr>
      </w:pPr>
      <w:r>
        <w:rPr>
          <w:b/>
          <w:sz w:val="24"/>
        </w:rPr>
        <w:t>AU Docket No. 2</w:t>
      </w:r>
      <w:r w:rsidR="000E5EAC">
        <w:rPr>
          <w:b/>
          <w:sz w:val="24"/>
        </w:rPr>
        <w:t>1</w:t>
      </w:r>
      <w:r>
        <w:rPr>
          <w:b/>
          <w:sz w:val="24"/>
        </w:rPr>
        <w:t>-</w:t>
      </w:r>
      <w:r w:rsidR="000E5EAC">
        <w:rPr>
          <w:b/>
          <w:sz w:val="24"/>
        </w:rPr>
        <w:t>39</w:t>
      </w:r>
    </w:p>
    <w:p w:rsidR="00F96F63" w:rsidRPr="00930ECF" w:rsidP="00F96F63" w14:paraId="0CF90258" w14:textId="77777777">
      <w:pPr>
        <w:rPr>
          <w:sz w:val="24"/>
        </w:rPr>
      </w:pPr>
      <w:bookmarkStart w:id="0" w:name="TOChere"/>
    </w:p>
    <w:bookmarkEnd w:id="0"/>
    <w:p w:rsidR="00F154AD" w:rsidP="00F154AD" w14:paraId="7EA64CA5" w14:textId="77777777">
      <w:pPr>
        <w:spacing w:after="120"/>
        <w:ind w:firstLine="720"/>
        <w:rPr>
          <w:szCs w:val="22"/>
        </w:rPr>
      </w:pPr>
      <w:r>
        <w:rPr>
          <w:szCs w:val="22"/>
        </w:rPr>
        <w:t>The Media Bureau announces a freeze, effective immediately, on the following filings (collectively, Filings):</w:t>
      </w:r>
    </w:p>
    <w:p w:rsidR="00F154AD" w:rsidP="00F154AD" w14:paraId="7ADFE8E5" w14:textId="5F87EF3E">
      <w:pPr>
        <w:numPr>
          <w:ilvl w:val="0"/>
          <w:numId w:val="7"/>
        </w:numPr>
        <w:spacing w:after="120"/>
      </w:pPr>
      <w:r>
        <w:rPr>
          <w:szCs w:val="22"/>
        </w:rPr>
        <w:t>Applications proposing to modify any of the vacant non-reserved band FM allotments scheduled for Auction 1</w:t>
      </w:r>
      <w:r w:rsidR="002A4AB8">
        <w:rPr>
          <w:szCs w:val="22"/>
        </w:rPr>
        <w:t>09</w:t>
      </w:r>
      <w:r>
        <w:rPr>
          <w:szCs w:val="22"/>
        </w:rPr>
        <w:t xml:space="preserve"> (Auction 1</w:t>
      </w:r>
      <w:r w:rsidR="002A4AB8">
        <w:rPr>
          <w:szCs w:val="22"/>
        </w:rPr>
        <w:t>09</w:t>
      </w:r>
      <w:r>
        <w:rPr>
          <w:szCs w:val="22"/>
        </w:rPr>
        <w:t xml:space="preserve"> FM Allotments</w:t>
      </w:r>
      <w:r>
        <w:rPr>
          <w:szCs w:val="22"/>
        </w:rPr>
        <w:t>);</w:t>
      </w:r>
      <w:r>
        <w:rPr>
          <w:szCs w:val="22"/>
        </w:rPr>
        <w:t xml:space="preserve"> </w:t>
      </w:r>
    </w:p>
    <w:p w:rsidR="00F154AD" w:rsidP="00F154AD" w14:paraId="7AF68862" w14:textId="01B86E94">
      <w:pPr>
        <w:numPr>
          <w:ilvl w:val="0"/>
          <w:numId w:val="7"/>
        </w:numPr>
        <w:spacing w:after="120"/>
      </w:pPr>
      <w:r>
        <w:rPr>
          <w:szCs w:val="22"/>
        </w:rPr>
        <w:t>Petitions and counterproposals that propose a change in channel, class, community, or reference coordinates for any of the vacant non-reserved band FM allotments scheduled for Auction 1</w:t>
      </w:r>
      <w:r w:rsidR="002A4AB8">
        <w:rPr>
          <w:szCs w:val="22"/>
        </w:rPr>
        <w:t>09</w:t>
      </w:r>
      <w:r>
        <w:rPr>
          <w:szCs w:val="22"/>
        </w:rPr>
        <w:t xml:space="preserve">; and </w:t>
      </w:r>
    </w:p>
    <w:p w:rsidR="00F154AD" w:rsidP="00F154AD" w14:paraId="5EDB06B8" w14:textId="07E807E9">
      <w:pPr>
        <w:numPr>
          <w:ilvl w:val="0"/>
          <w:numId w:val="7"/>
        </w:numPr>
        <w:spacing w:after="120"/>
      </w:pPr>
      <w:r>
        <w:t xml:space="preserve">Applications, </w:t>
      </w:r>
      <w:r>
        <w:t>petitions</w:t>
      </w:r>
      <w:r>
        <w:t xml:space="preserve"> and counterproposals that fail to fully protect any Auction 1</w:t>
      </w:r>
      <w:r w:rsidR="002A4AB8">
        <w:t>09</w:t>
      </w:r>
      <w:r>
        <w:t xml:space="preserve"> FM Allotment. </w:t>
      </w:r>
    </w:p>
    <w:p w:rsidR="00F154AD" w:rsidP="00F154AD" w14:paraId="226BE46B" w14:textId="17F9A536">
      <w:pPr>
        <w:spacing w:after="120"/>
        <w:ind w:firstLine="720"/>
      </w:pPr>
      <w:r>
        <w:rPr>
          <w:szCs w:val="22"/>
        </w:rPr>
        <w:t xml:space="preserve">Auction </w:t>
      </w:r>
      <w:r w:rsidRPr="002F25DA">
        <w:rPr>
          <w:szCs w:val="22"/>
        </w:rPr>
        <w:t>1</w:t>
      </w:r>
      <w:r w:rsidRPr="002F25DA" w:rsidR="002A4AB8">
        <w:rPr>
          <w:szCs w:val="22"/>
        </w:rPr>
        <w:t>09</w:t>
      </w:r>
      <w:r>
        <w:rPr>
          <w:szCs w:val="22"/>
        </w:rPr>
        <w:t xml:space="preserve"> FM Allotments are listed in Attachment A of the </w:t>
      </w:r>
      <w:r>
        <w:rPr>
          <w:i/>
          <w:szCs w:val="22"/>
        </w:rPr>
        <w:t>Auction 1</w:t>
      </w:r>
      <w:r w:rsidR="002A4AB8">
        <w:rPr>
          <w:i/>
          <w:szCs w:val="22"/>
        </w:rPr>
        <w:t>09</w:t>
      </w:r>
      <w:r>
        <w:rPr>
          <w:i/>
          <w:szCs w:val="22"/>
        </w:rPr>
        <w:t xml:space="preserve"> Comment Public Notice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All Filings submitted after the release of this Public Notice will be dismissed.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</w:t>
      </w:r>
      <w:r w:rsidRPr="00FA638C">
        <w:rPr>
          <w:szCs w:val="22"/>
        </w:rPr>
        <w:t>This</w:t>
      </w:r>
      <w:r>
        <w:rPr>
          <w:szCs w:val="22"/>
        </w:rPr>
        <w:t xml:space="preserve"> freeze will automatically terminate the day after the filing deadline for post-Auction 1</w:t>
      </w:r>
      <w:r w:rsidR="002A4AB8">
        <w:rPr>
          <w:szCs w:val="22"/>
        </w:rPr>
        <w:t>09</w:t>
      </w:r>
      <w:r>
        <w:rPr>
          <w:szCs w:val="22"/>
        </w:rPr>
        <w:t xml:space="preserve"> long form applications. </w:t>
      </w:r>
      <w:r>
        <w:t xml:space="preserve"> This temporary freeze is designed to promote a </w:t>
      </w:r>
      <w:r>
        <w:t>more certain and speedy</w:t>
      </w:r>
      <w:r>
        <w:t xml:space="preserve"> auction process.  </w:t>
      </w:r>
    </w:p>
    <w:p w:rsidR="00F154AD" w:rsidP="00F154AD" w14:paraId="04931FF4" w14:textId="0C5881F7">
      <w:pPr>
        <w:spacing w:after="120"/>
        <w:ind w:firstLine="720"/>
      </w:pPr>
      <w:r>
        <w:t xml:space="preserve">In Auction </w:t>
      </w:r>
      <w:r w:rsidRPr="003736BA">
        <w:t>1</w:t>
      </w:r>
      <w:r w:rsidRPr="003736BA" w:rsidR="002A4AB8">
        <w:t>09</w:t>
      </w:r>
      <w:r>
        <w:t>, the Office of Economics and Analytics and the Media Bureau will make available through competitive bidding procedures 136 vacant non-reserved band allotments in the FM broadcast service, and four AM facilities, the licenses of which have expired and their call signs deleted.</w:t>
      </w:r>
      <w:r>
        <w:rPr>
          <w:rStyle w:val="FootnoteReference"/>
        </w:rPr>
        <w:footnoteReference w:id="5"/>
      </w:r>
      <w:r>
        <w:t xml:space="preserve">  FM minor change applications, which can now be filed on a first-come first-served basis, must protect the reference coordinates of each of these allotments.  </w:t>
      </w:r>
    </w:p>
    <w:p w:rsidR="00F154AD" w:rsidP="00F154AD" w14:paraId="333C643B" w14:textId="5F59206A">
      <w:pPr>
        <w:widowControl/>
        <w:spacing w:after="120"/>
        <w:ind w:firstLine="720"/>
      </w:pPr>
      <w:r>
        <w:t xml:space="preserve">For additional information, contact James Bradshaw or Rudy Bonacci, Audio Division, Media Bureau at (202) 418-2700.  </w:t>
      </w:r>
    </w:p>
    <w:p w:rsidR="00F154AD" w:rsidRPr="00F154AD" w:rsidP="00F154AD" w14:paraId="7C300DAA" w14:textId="16F652FE">
      <w:pPr>
        <w:spacing w:after="120"/>
        <w:ind w:firstLine="720"/>
        <w:rPr>
          <w:szCs w:val="22"/>
        </w:rPr>
      </w:pPr>
      <w:r w:rsidRPr="00A97543">
        <w:rPr>
          <w:szCs w:val="22"/>
        </w:rPr>
        <w:t>This action is taken by the Chief, Media Bureau, pursuant to authority delegated by sections 0.61 and 0.283 of the Commission</w:t>
      </w:r>
      <w:r>
        <w:rPr>
          <w:szCs w:val="22"/>
        </w:rPr>
        <w:t>’</w:t>
      </w:r>
      <w:r w:rsidRPr="00A97543">
        <w:rPr>
          <w:szCs w:val="22"/>
        </w:rPr>
        <w:t>s rules.</w:t>
      </w:r>
      <w:r>
        <w:rPr>
          <w:rStyle w:val="FootnoteReference"/>
          <w:szCs w:val="22"/>
        </w:rPr>
        <w:footnoteReference w:id="6"/>
      </w:r>
    </w:p>
    <w:p w:rsidR="00F96F63" w:rsidRPr="00F154AD" w:rsidP="00F154AD" w14:paraId="47DBA7EF" w14:textId="20108FFA">
      <w:pPr>
        <w:spacing w:after="120"/>
        <w:ind w:firstLine="720"/>
        <w:jc w:val="center"/>
        <w:rPr>
          <w:b/>
        </w:rPr>
      </w:pPr>
      <w:r>
        <w:rPr>
          <w:b/>
        </w:rPr>
        <w:t>-FCC-</w:t>
      </w:r>
    </w:p>
    <w:p w:rsidR="00930ECF" w:rsidRPr="00930ECF" w:rsidP="00F154AD" w14:paraId="50C65DFB" w14:textId="77777777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ACD936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B9DE1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D40DD6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10AF3C4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154AD" w14:paraId="65103E13" w14:textId="77777777">
      <w:r>
        <w:separator/>
      </w:r>
    </w:p>
  </w:footnote>
  <w:footnote w:type="continuationSeparator" w:id="1">
    <w:p w:rsidR="00F154AD" w14:paraId="5E2E7E6D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154AD" w:rsidP="00910F12" w14:paraId="13C51E0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154AD" w:rsidP="00F154AD" w14:paraId="59869AF1" w14:textId="7FF3CD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Auction of AM and FM Broadcast Construction Permits Scheduled for July 27, 2021; Comment Sought on Competitive Bidding Procedures for Auction 1</w:t>
      </w:r>
      <w:r w:rsidR="002A4AB8">
        <w:rPr>
          <w:i/>
        </w:rPr>
        <w:t>09</w:t>
      </w:r>
      <w:r>
        <w:t>,</w:t>
      </w:r>
      <w:r>
        <w:rPr>
          <w:i/>
        </w:rPr>
        <w:t xml:space="preserve"> </w:t>
      </w:r>
      <w:r>
        <w:t>Public Notice, DA 21-</w:t>
      </w:r>
      <w:r w:rsidR="002F25DA">
        <w:t>131</w:t>
      </w:r>
      <w:r>
        <w:t xml:space="preserve"> (OEA/MB rel. Feb. </w:t>
      </w:r>
      <w:r w:rsidR="00FB45EC">
        <w:t>8</w:t>
      </w:r>
      <w:r>
        <w:t>, 2021) (</w:t>
      </w:r>
      <w:r>
        <w:rPr>
          <w:i/>
        </w:rPr>
        <w:t>Auction 1</w:t>
      </w:r>
      <w:r w:rsidR="002A4AB8">
        <w:rPr>
          <w:i/>
        </w:rPr>
        <w:t>09</w:t>
      </w:r>
      <w:r>
        <w:rPr>
          <w:i/>
        </w:rPr>
        <w:t xml:space="preserve"> Comment Public Notice</w:t>
      </w:r>
      <w:r>
        <w:t>).  Bidders are also cautioned that currently pending petitions for rulemaking and open rulemaking proceedings may affect the 136 FM construction permits and four AM construction permits scheduled for Auction 1</w:t>
      </w:r>
      <w:r w:rsidR="002A4AB8">
        <w:t>09</w:t>
      </w:r>
      <w:r>
        <w:t xml:space="preserve">.    </w:t>
      </w:r>
    </w:p>
  </w:footnote>
  <w:footnote w:id="4">
    <w:p w:rsidR="00F154AD" w:rsidRPr="004840D3" w:rsidP="00F154AD" w14:paraId="1BF2F84E" w14:textId="3D822030">
      <w:pPr>
        <w:pStyle w:val="FootnoteText"/>
      </w:pPr>
      <w:r>
        <w:rPr>
          <w:rStyle w:val="FootnoteReference"/>
        </w:rPr>
        <w:footnoteRef/>
      </w:r>
      <w:r>
        <w:t xml:space="preserve"> 47 CFR § 1.401(e).  The Media Bureau previously announced, on March 20, 2020, a temporary freeze </w:t>
      </w:r>
      <w:r w:rsidRPr="004840D3">
        <w:t>on the acceptance of AM minor change applications that would conflict with any of the expired licenses of the four AM facilities that are also scheduled for Auction 1</w:t>
      </w:r>
      <w:r w:rsidR="002A4AB8">
        <w:t>09</w:t>
      </w:r>
      <w:r w:rsidRPr="004840D3">
        <w:t xml:space="preserve">, and are listed in Attachment A of the </w:t>
      </w:r>
      <w:r w:rsidRPr="004840D3">
        <w:rPr>
          <w:i/>
          <w:iCs/>
        </w:rPr>
        <w:t>Auction 1</w:t>
      </w:r>
      <w:r w:rsidR="002A4AB8">
        <w:rPr>
          <w:i/>
          <w:iCs/>
        </w:rPr>
        <w:t>09</w:t>
      </w:r>
      <w:r w:rsidRPr="004840D3">
        <w:rPr>
          <w:i/>
          <w:iCs/>
        </w:rPr>
        <w:t xml:space="preserve"> Comment Public Notice</w:t>
      </w:r>
      <w:r w:rsidRPr="004840D3">
        <w:t>.</w:t>
      </w:r>
      <w:r>
        <w:t xml:space="preserve">  </w:t>
      </w:r>
      <w:r w:rsidRPr="006E35AF">
        <w:rPr>
          <w:i/>
          <w:iCs/>
        </w:rPr>
        <w:t>Media Bureau Announces Requirement to Protect Four Former St. Louis Area AM Stations and Implements an Associated Filing Freeze</w:t>
      </w:r>
      <w:r w:rsidRPr="00EB0E57">
        <w:t xml:space="preserve">, MB Docket No. 19-156, Public Notice, 35 FCC </w:t>
      </w:r>
      <w:r w:rsidRPr="00EB0E57">
        <w:t>Rcd</w:t>
      </w:r>
      <w:r w:rsidRPr="00EB0E57">
        <w:t xml:space="preserve"> 2781 (MB 2020).</w:t>
      </w:r>
      <w:r>
        <w:t xml:space="preserve">  This temporary freeze remains in effect.</w:t>
      </w:r>
    </w:p>
  </w:footnote>
  <w:footnote w:id="5">
    <w:p w:rsidR="00F154AD" w:rsidP="00F154AD" w14:paraId="532C7943" w14:textId="6B869F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Auction </w:t>
      </w:r>
      <w:r w:rsidRPr="003736BA">
        <w:rPr>
          <w:i/>
          <w:iCs/>
        </w:rPr>
        <w:t>1</w:t>
      </w:r>
      <w:r w:rsidRPr="003736BA" w:rsidR="002A4AB8">
        <w:rPr>
          <w:i/>
          <w:iCs/>
        </w:rPr>
        <w:t>09</w:t>
      </w:r>
      <w:r>
        <w:rPr>
          <w:i/>
          <w:iCs/>
        </w:rPr>
        <w:t xml:space="preserve"> Comment Public Notice, supra </w:t>
      </w:r>
      <w:r>
        <w:t>note 1, at paras. 2-9, Attachment A.</w:t>
      </w:r>
    </w:p>
  </w:footnote>
  <w:footnote w:id="6">
    <w:p w:rsidR="00F154AD" w:rsidP="00F154AD" w14:paraId="2DC04389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§§ 0.61 and 0.283.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6FB2F03" w14:textId="2AF367B9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F154AD">
      <w:rPr>
        <w:b/>
      </w:rPr>
      <w:t>DA 2</w:t>
    </w:r>
    <w:r w:rsidR="00FB45EC">
      <w:rPr>
        <w:b/>
      </w:rPr>
      <w:t>1</w:t>
    </w:r>
    <w:r w:rsidR="00F154AD">
      <w:rPr>
        <w:b/>
      </w:rPr>
      <w:t>-</w:t>
    </w:r>
    <w:r w:rsidR="002C4F8A">
      <w:rPr>
        <w:b/>
      </w:rPr>
      <w:t>132</w:t>
    </w:r>
  </w:p>
  <w:p w:rsidR="009838BC" w:rsidRPr="009838BC" w:rsidP="009838BC" w14:paraId="4D477A9A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4A37511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F5F333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DE0AB8" w:rsidP="00DE0AB8" w14:paraId="23EC970F" w14:textId="77777777">
                <w:pPr>
                  <w:rPr>
                    <w:rFonts w:ascii="Arial" w:hAnsi="Arial"/>
                    <w:b/>
                    <w:snapToGrid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E0AB8" w:rsidP="00DE0AB8" w14:paraId="466BD711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9838BC" w:rsidP="00DE0AB8" w14:paraId="32267EFE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23CFCB4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2512pt,56.7pt" to="2980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57DEA1F7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12F86B35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5F358800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8B76DEB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15698C"/>
    <w:multiLevelType w:val="hybridMultilevel"/>
    <w:tmpl w:val="D76AB69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D"/>
    <w:rsid w:val="000072CE"/>
    <w:rsid w:val="00013A8B"/>
    <w:rsid w:val="00021445"/>
    <w:rsid w:val="00036039"/>
    <w:rsid w:val="00037F90"/>
    <w:rsid w:val="000875BF"/>
    <w:rsid w:val="00096D8C"/>
    <w:rsid w:val="000C0B65"/>
    <w:rsid w:val="000D2E7E"/>
    <w:rsid w:val="000E3D42"/>
    <w:rsid w:val="000E5884"/>
    <w:rsid w:val="000E5EAC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2A4AB8"/>
    <w:rsid w:val="002B3927"/>
    <w:rsid w:val="002C4F8A"/>
    <w:rsid w:val="002E240E"/>
    <w:rsid w:val="002F25DA"/>
    <w:rsid w:val="00343749"/>
    <w:rsid w:val="00357D50"/>
    <w:rsid w:val="003736BA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40D3"/>
    <w:rsid w:val="00487524"/>
    <w:rsid w:val="00496106"/>
    <w:rsid w:val="004C12D0"/>
    <w:rsid w:val="004C2EE3"/>
    <w:rsid w:val="004E4A22"/>
    <w:rsid w:val="00511968"/>
    <w:rsid w:val="0055614C"/>
    <w:rsid w:val="005C1EE0"/>
    <w:rsid w:val="00607BA5"/>
    <w:rsid w:val="00626EB6"/>
    <w:rsid w:val="006353A3"/>
    <w:rsid w:val="00655D03"/>
    <w:rsid w:val="00683F84"/>
    <w:rsid w:val="006A6A81"/>
    <w:rsid w:val="006E26AF"/>
    <w:rsid w:val="006E35AF"/>
    <w:rsid w:val="006F7393"/>
    <w:rsid w:val="0070224F"/>
    <w:rsid w:val="007115F7"/>
    <w:rsid w:val="00727A96"/>
    <w:rsid w:val="00785689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97543"/>
    <w:rsid w:val="00AA55B7"/>
    <w:rsid w:val="00AA5B9E"/>
    <w:rsid w:val="00AB2407"/>
    <w:rsid w:val="00AB53DF"/>
    <w:rsid w:val="00B07E5C"/>
    <w:rsid w:val="00B134C6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E0AB8"/>
    <w:rsid w:val="00DE4CEE"/>
    <w:rsid w:val="00DF62B6"/>
    <w:rsid w:val="00E07225"/>
    <w:rsid w:val="00E155B7"/>
    <w:rsid w:val="00E5409F"/>
    <w:rsid w:val="00EB0E57"/>
    <w:rsid w:val="00EC0185"/>
    <w:rsid w:val="00F021FA"/>
    <w:rsid w:val="00F154AD"/>
    <w:rsid w:val="00F57ACA"/>
    <w:rsid w:val="00F62E97"/>
    <w:rsid w:val="00F64209"/>
    <w:rsid w:val="00F86E0D"/>
    <w:rsid w:val="00F93BF5"/>
    <w:rsid w:val="00F96F63"/>
    <w:rsid w:val="00FA638C"/>
    <w:rsid w:val="00FB45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98FB4FD-9FFC-49EB-A502-9E5D337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8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2C4F8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2C4F8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2C4F8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2C4F8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2C4F8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2C4F8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2C4F8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2C4F8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2C4F8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2C4F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C4F8A"/>
  </w:style>
  <w:style w:type="paragraph" w:customStyle="1" w:styleId="ParaNum">
    <w:name w:val="ParaNum"/>
    <w:basedOn w:val="Normal"/>
    <w:rsid w:val="002C4F8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2C4F8A"/>
    <w:rPr>
      <w:sz w:val="20"/>
    </w:rPr>
  </w:style>
  <w:style w:type="character" w:styleId="EndnoteReference">
    <w:name w:val="endnote reference"/>
    <w:semiHidden/>
    <w:rsid w:val="002C4F8A"/>
    <w:rPr>
      <w:vertAlign w:val="superscript"/>
    </w:rPr>
  </w:style>
  <w:style w:type="paragraph" w:styleId="FootnoteText">
    <w:name w:val="footnote text"/>
    <w:semiHidden/>
    <w:rsid w:val="002C4F8A"/>
    <w:pPr>
      <w:spacing w:after="120"/>
    </w:pPr>
  </w:style>
  <w:style w:type="character" w:styleId="FootnoteReference">
    <w:name w:val="footnote reference"/>
    <w:semiHidden/>
    <w:rsid w:val="002C4F8A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2C4F8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2C4F8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2C4F8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2C4F8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2C4F8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2C4F8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2C4F8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2C4F8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2C4F8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2C4F8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2C4F8A"/>
  </w:style>
  <w:style w:type="paragraph" w:styleId="Header">
    <w:name w:val="header"/>
    <w:basedOn w:val="Normal"/>
    <w:autoRedefine/>
    <w:rsid w:val="002C4F8A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2C4F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F8A"/>
  </w:style>
  <w:style w:type="paragraph" w:styleId="BlockText">
    <w:name w:val="Block Text"/>
    <w:basedOn w:val="Normal"/>
    <w:rsid w:val="002C4F8A"/>
    <w:pPr>
      <w:spacing w:after="240"/>
      <w:ind w:left="1440" w:right="1440"/>
    </w:pPr>
  </w:style>
  <w:style w:type="paragraph" w:customStyle="1" w:styleId="Paratitle">
    <w:name w:val="Para title"/>
    <w:basedOn w:val="Normal"/>
    <w:rsid w:val="002C4F8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2C4F8A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2C4F8A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2C4F8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2C4F8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C4F8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C4F8A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