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E6181" w:rsidRPr="00833EC9" w:rsidP="005E6181" w14:paraId="39BFFAF1" w14:textId="77777777">
      <w:pPr>
        <w:jc w:val="center"/>
        <w:rPr>
          <w:b/>
          <w:szCs w:val="22"/>
        </w:rPr>
      </w:pPr>
      <w:r w:rsidRPr="00833EC9">
        <w:rPr>
          <w:b/>
          <w:kern w:val="0"/>
          <w:szCs w:val="22"/>
        </w:rPr>
        <w:t>Before</w:t>
      </w:r>
      <w:r w:rsidRPr="00833EC9">
        <w:rPr>
          <w:b/>
          <w:szCs w:val="22"/>
        </w:rPr>
        <w:t xml:space="preserve"> the</w:t>
      </w:r>
    </w:p>
    <w:p w:rsidR="005E6181" w:rsidRPr="00833EC9" w:rsidP="005E6181" w14:paraId="150ABDDB" w14:textId="77777777">
      <w:pPr>
        <w:pStyle w:val="StyleBoldCentered"/>
        <w:rPr>
          <w:rFonts w:ascii="Times New Roman" w:hAnsi="Times New Roman"/>
        </w:rPr>
      </w:pPr>
      <w:r w:rsidRPr="00833EC9">
        <w:rPr>
          <w:rFonts w:ascii="Times New Roman" w:hAnsi="Times New Roman"/>
        </w:rPr>
        <w:t>F</w:t>
      </w:r>
      <w:r w:rsidRPr="00833EC9">
        <w:rPr>
          <w:rFonts w:ascii="Times New Roman" w:hAnsi="Times New Roman"/>
          <w:caps w:val="0"/>
        </w:rPr>
        <w:t>ederal Communications Commission</w:t>
      </w:r>
    </w:p>
    <w:p w:rsidR="005E6181" w:rsidRPr="00833EC9" w:rsidP="005E6181" w14:paraId="582226EA" w14:textId="77777777">
      <w:pPr>
        <w:pStyle w:val="StyleBoldCentered"/>
        <w:rPr>
          <w:rFonts w:ascii="Times New Roman" w:hAnsi="Times New Roman"/>
        </w:rPr>
      </w:pPr>
      <w:r w:rsidRPr="00833EC9">
        <w:rPr>
          <w:rFonts w:ascii="Times New Roman" w:hAnsi="Times New Roman"/>
          <w:caps w:val="0"/>
        </w:rPr>
        <w:t>Washington, D.C. 20554</w:t>
      </w:r>
    </w:p>
    <w:p w:rsidR="005E6181" w:rsidRPr="00833EC9" w:rsidP="005E6181" w14:paraId="313BCD3B" w14:textId="77777777">
      <w:pPr>
        <w:rPr>
          <w:szCs w:val="22"/>
        </w:rPr>
      </w:pPr>
    </w:p>
    <w:p w:rsidR="005E6181" w:rsidRPr="00833EC9" w:rsidP="005E6181" w14:paraId="5E3D0B53" w14:textId="77777777">
      <w:pPr>
        <w:rPr>
          <w:szCs w:val="22"/>
        </w:rPr>
      </w:pPr>
    </w:p>
    <w:tbl>
      <w:tblPr>
        <w:tblW w:w="0" w:type="auto"/>
        <w:tblLayout w:type="fixed"/>
        <w:tblLook w:val="0000"/>
      </w:tblPr>
      <w:tblGrid>
        <w:gridCol w:w="4698"/>
        <w:gridCol w:w="630"/>
        <w:gridCol w:w="4248"/>
      </w:tblGrid>
      <w:tr w14:paraId="080C672D" w14:textId="77777777" w:rsidTr="003852FB">
        <w:tblPrEx>
          <w:tblW w:w="0" w:type="auto"/>
          <w:tblLayout w:type="fixed"/>
          <w:tblLook w:val="0000"/>
        </w:tblPrEx>
        <w:tc>
          <w:tcPr>
            <w:tcW w:w="4698" w:type="dxa"/>
          </w:tcPr>
          <w:p w:rsidR="005E6181" w:rsidRPr="00833EC9" w:rsidP="003852FB" w14:paraId="66E86683" w14:textId="77777777">
            <w:pPr>
              <w:tabs>
                <w:tab w:val="center" w:pos="4680"/>
              </w:tabs>
              <w:suppressAutoHyphens/>
              <w:rPr>
                <w:spacing w:val="-2"/>
                <w:szCs w:val="22"/>
              </w:rPr>
            </w:pPr>
            <w:r w:rsidRPr="00833EC9">
              <w:rPr>
                <w:spacing w:val="-2"/>
                <w:szCs w:val="22"/>
              </w:rPr>
              <w:t>In the Matter of</w:t>
            </w:r>
          </w:p>
          <w:p w:rsidR="005E6181" w:rsidRPr="00833EC9" w:rsidP="003852FB" w14:paraId="7CB196FD" w14:textId="77777777">
            <w:pPr>
              <w:tabs>
                <w:tab w:val="center" w:pos="4680"/>
              </w:tabs>
              <w:suppressAutoHyphens/>
              <w:rPr>
                <w:spacing w:val="-2"/>
                <w:szCs w:val="22"/>
              </w:rPr>
            </w:pPr>
          </w:p>
          <w:p w:rsidR="005E6181" w:rsidRPr="00833EC9" w:rsidP="003852FB" w14:paraId="43FA5B3A" w14:textId="77777777">
            <w:pPr>
              <w:tabs>
                <w:tab w:val="center" w:pos="4680"/>
              </w:tabs>
              <w:suppressAutoHyphens/>
              <w:rPr>
                <w:spacing w:val="-2"/>
                <w:szCs w:val="22"/>
              </w:rPr>
            </w:pPr>
            <w:bookmarkStart w:id="0" w:name="_Hlk86067207"/>
            <w:r w:rsidRPr="00DB4147">
              <w:rPr>
                <w:spacing w:val="-2"/>
                <w:szCs w:val="22"/>
              </w:rPr>
              <w:t>Petition of MCC Iowa LLC for Expedited Declaratory Ruling Pursuant to Section 253(d) of the Communications Act</w:t>
            </w:r>
            <w:bookmarkEnd w:id="0"/>
          </w:p>
        </w:tc>
        <w:tc>
          <w:tcPr>
            <w:tcW w:w="630" w:type="dxa"/>
          </w:tcPr>
          <w:p w:rsidR="005E6181" w:rsidRPr="00833EC9" w:rsidP="003852FB" w14:paraId="768A8886" w14:textId="77777777">
            <w:pPr>
              <w:tabs>
                <w:tab w:val="center" w:pos="4680"/>
              </w:tabs>
              <w:suppressAutoHyphens/>
              <w:rPr>
                <w:b/>
                <w:spacing w:val="-2"/>
                <w:szCs w:val="22"/>
              </w:rPr>
            </w:pPr>
            <w:r w:rsidRPr="00833EC9">
              <w:rPr>
                <w:b/>
                <w:spacing w:val="-2"/>
                <w:szCs w:val="22"/>
              </w:rPr>
              <w:t>)</w:t>
            </w:r>
          </w:p>
          <w:p w:rsidR="005E6181" w:rsidRPr="00833EC9" w:rsidP="003852FB" w14:paraId="3BA46F52" w14:textId="77777777">
            <w:pPr>
              <w:tabs>
                <w:tab w:val="center" w:pos="4680"/>
              </w:tabs>
              <w:suppressAutoHyphens/>
              <w:rPr>
                <w:b/>
                <w:spacing w:val="-2"/>
                <w:szCs w:val="22"/>
              </w:rPr>
            </w:pPr>
            <w:r w:rsidRPr="00833EC9">
              <w:rPr>
                <w:b/>
                <w:spacing w:val="-2"/>
                <w:szCs w:val="22"/>
              </w:rPr>
              <w:t>)</w:t>
            </w:r>
          </w:p>
          <w:p w:rsidR="005E6181" w:rsidRPr="00833EC9" w:rsidP="003852FB" w14:paraId="2E4F7355" w14:textId="77777777">
            <w:pPr>
              <w:tabs>
                <w:tab w:val="center" w:pos="4680"/>
              </w:tabs>
              <w:suppressAutoHyphens/>
              <w:rPr>
                <w:b/>
                <w:spacing w:val="-2"/>
                <w:szCs w:val="22"/>
              </w:rPr>
            </w:pPr>
            <w:r w:rsidRPr="00833EC9">
              <w:rPr>
                <w:b/>
                <w:spacing w:val="-2"/>
                <w:szCs w:val="22"/>
              </w:rPr>
              <w:t>)</w:t>
            </w:r>
          </w:p>
          <w:p w:rsidR="005E6181" w:rsidRPr="00833EC9" w:rsidP="003852FB" w14:paraId="390855DA" w14:textId="77777777">
            <w:pPr>
              <w:tabs>
                <w:tab w:val="center" w:pos="4680"/>
              </w:tabs>
              <w:suppressAutoHyphens/>
              <w:rPr>
                <w:b/>
                <w:spacing w:val="-2"/>
                <w:szCs w:val="22"/>
              </w:rPr>
            </w:pPr>
            <w:r w:rsidRPr="00833EC9">
              <w:rPr>
                <w:b/>
                <w:spacing w:val="-2"/>
                <w:szCs w:val="22"/>
              </w:rPr>
              <w:t>)</w:t>
            </w:r>
          </w:p>
          <w:p w:rsidR="005E6181" w:rsidRPr="00833EC9" w:rsidP="003852FB" w14:paraId="0FD25B19" w14:textId="77777777">
            <w:pPr>
              <w:tabs>
                <w:tab w:val="center" w:pos="4680"/>
              </w:tabs>
              <w:suppressAutoHyphens/>
              <w:rPr>
                <w:spacing w:val="-2"/>
                <w:szCs w:val="22"/>
              </w:rPr>
            </w:pPr>
            <w:r>
              <w:rPr>
                <w:spacing w:val="-2"/>
                <w:szCs w:val="22"/>
              </w:rPr>
              <w:t>)</w:t>
            </w:r>
          </w:p>
        </w:tc>
        <w:tc>
          <w:tcPr>
            <w:tcW w:w="4248" w:type="dxa"/>
          </w:tcPr>
          <w:p w:rsidR="005E6181" w:rsidRPr="00833EC9" w:rsidP="003852FB" w14:paraId="13FD8BD3" w14:textId="77777777">
            <w:pPr>
              <w:tabs>
                <w:tab w:val="center" w:pos="4680"/>
              </w:tabs>
              <w:suppressAutoHyphens/>
              <w:rPr>
                <w:spacing w:val="-2"/>
                <w:szCs w:val="22"/>
              </w:rPr>
            </w:pPr>
          </w:p>
          <w:p w:rsidR="005E6181" w:rsidRPr="00833EC9" w:rsidP="003852FB" w14:paraId="00E9EAE8" w14:textId="77777777">
            <w:pPr>
              <w:pStyle w:val="TOAHeading"/>
              <w:tabs>
                <w:tab w:val="center" w:pos="4680"/>
                <w:tab w:val="clear" w:pos="9360"/>
              </w:tabs>
              <w:rPr>
                <w:spacing w:val="-2"/>
                <w:szCs w:val="22"/>
              </w:rPr>
            </w:pPr>
          </w:p>
          <w:p w:rsidR="005E6181" w:rsidRPr="00833EC9" w:rsidP="003852FB" w14:paraId="28E5842C" w14:textId="77777777">
            <w:pPr>
              <w:tabs>
                <w:tab w:val="center" w:pos="4680"/>
              </w:tabs>
              <w:suppressAutoHyphens/>
              <w:rPr>
                <w:spacing w:val="-2"/>
                <w:szCs w:val="22"/>
              </w:rPr>
            </w:pPr>
            <w:bookmarkStart w:id="1" w:name="_Hlk82523949"/>
            <w:r w:rsidRPr="00833EC9">
              <w:rPr>
                <w:spacing w:val="-2"/>
                <w:szCs w:val="22"/>
              </w:rPr>
              <w:t xml:space="preserve">WC Docket No. </w:t>
            </w:r>
            <w:r>
              <w:rPr>
                <w:spacing w:val="-2"/>
                <w:szCs w:val="22"/>
              </w:rPr>
              <w:t>21</w:t>
            </w:r>
            <w:r w:rsidRPr="00833EC9">
              <w:rPr>
                <w:spacing w:val="-2"/>
                <w:szCs w:val="22"/>
              </w:rPr>
              <w:t>-</w:t>
            </w:r>
            <w:r>
              <w:rPr>
                <w:spacing w:val="-2"/>
                <w:szCs w:val="22"/>
              </w:rPr>
              <w:t>217</w:t>
            </w:r>
            <w:bookmarkEnd w:id="1"/>
          </w:p>
        </w:tc>
      </w:tr>
    </w:tbl>
    <w:p w:rsidR="005E6181" w:rsidRPr="00833EC9" w:rsidP="005E6181" w14:paraId="5EDEEA7F" w14:textId="77777777">
      <w:pPr>
        <w:rPr>
          <w:szCs w:val="22"/>
        </w:rPr>
      </w:pPr>
    </w:p>
    <w:p w:rsidR="005E6181" w:rsidRPr="00833EC9" w:rsidP="005E6181" w14:paraId="28D6F4B9" w14:textId="77777777">
      <w:pPr>
        <w:pStyle w:val="StyleBoldCentered"/>
        <w:rPr>
          <w:rFonts w:ascii="Times New Roman" w:hAnsi="Times New Roman"/>
          <w:spacing w:val="-2"/>
        </w:rPr>
      </w:pPr>
      <w:r w:rsidRPr="00833EC9">
        <w:rPr>
          <w:rFonts w:ascii="Times New Roman" w:hAnsi="Times New Roman"/>
        </w:rPr>
        <w:t>ORDER</w:t>
      </w:r>
    </w:p>
    <w:tbl>
      <w:tblPr>
        <w:tblW w:w="0" w:type="auto"/>
        <w:tblInd w:w="-95" w:type="dxa"/>
        <w:tblLook w:val="04A0"/>
      </w:tblPr>
      <w:tblGrid>
        <w:gridCol w:w="3505"/>
        <w:gridCol w:w="5845"/>
      </w:tblGrid>
      <w:tr w14:paraId="7BCC39BE" w14:textId="77777777" w:rsidTr="00C47B88">
        <w:tblPrEx>
          <w:tblW w:w="0" w:type="auto"/>
          <w:tblInd w:w="-95" w:type="dxa"/>
          <w:tblLook w:val="04A0"/>
        </w:tblPrEx>
        <w:tc>
          <w:tcPr>
            <w:tcW w:w="3505" w:type="dxa"/>
            <w:shd w:val="clear" w:color="auto" w:fill="auto"/>
          </w:tcPr>
          <w:p w:rsidR="005E6181" w:rsidRPr="00C47B88" w:rsidP="00C47B88" w14:paraId="597732A0" w14:textId="77777777">
            <w:pPr>
              <w:tabs>
                <w:tab w:val="left" w:pos="720"/>
                <w:tab w:val="right" w:pos="9360"/>
              </w:tabs>
              <w:suppressAutoHyphens/>
              <w:spacing w:line="227" w:lineRule="auto"/>
              <w:rPr>
                <w:b/>
                <w:spacing w:val="-2"/>
                <w:szCs w:val="22"/>
              </w:rPr>
            </w:pPr>
          </w:p>
        </w:tc>
        <w:tc>
          <w:tcPr>
            <w:tcW w:w="5845" w:type="dxa"/>
            <w:shd w:val="clear" w:color="auto" w:fill="auto"/>
          </w:tcPr>
          <w:p w:rsidR="005E6181" w:rsidRPr="00C47B88" w:rsidP="00C47B88" w14:paraId="4CDE00A9" w14:textId="77777777">
            <w:pPr>
              <w:tabs>
                <w:tab w:val="left" w:pos="720"/>
                <w:tab w:val="right" w:pos="9360"/>
              </w:tabs>
              <w:suppressAutoHyphens/>
              <w:spacing w:line="227" w:lineRule="auto"/>
              <w:rPr>
                <w:b/>
                <w:spacing w:val="-2"/>
                <w:szCs w:val="22"/>
              </w:rPr>
            </w:pPr>
          </w:p>
        </w:tc>
      </w:tr>
    </w:tbl>
    <w:p w:rsidR="005E6181" w:rsidRPr="00833EC9" w:rsidP="005E6181" w14:paraId="64D032DF" w14:textId="77777777">
      <w:pPr>
        <w:tabs>
          <w:tab w:val="left" w:pos="720"/>
          <w:tab w:val="right" w:pos="9360"/>
        </w:tabs>
        <w:suppressAutoHyphens/>
        <w:spacing w:line="227" w:lineRule="auto"/>
        <w:rPr>
          <w:spacing w:val="-2"/>
          <w:szCs w:val="22"/>
        </w:rPr>
      </w:pPr>
      <w:r w:rsidRPr="00833EC9">
        <w:rPr>
          <w:b/>
          <w:spacing w:val="-2"/>
          <w:szCs w:val="22"/>
        </w:rPr>
        <w:t xml:space="preserve">Adopted:  </w:t>
      </w:r>
      <w:r>
        <w:rPr>
          <w:b/>
          <w:spacing w:val="-2"/>
          <w:szCs w:val="22"/>
        </w:rPr>
        <w:t>October 25</w:t>
      </w:r>
      <w:r w:rsidRPr="00833EC9">
        <w:rPr>
          <w:b/>
          <w:spacing w:val="-2"/>
          <w:szCs w:val="22"/>
        </w:rPr>
        <w:t>, 2021</w:t>
      </w:r>
      <w:r w:rsidRPr="00833EC9">
        <w:rPr>
          <w:b/>
          <w:spacing w:val="-2"/>
          <w:szCs w:val="22"/>
        </w:rPr>
        <w:tab/>
        <w:t xml:space="preserve">Released:  </w:t>
      </w:r>
      <w:r>
        <w:rPr>
          <w:b/>
          <w:spacing w:val="-2"/>
          <w:szCs w:val="22"/>
        </w:rPr>
        <w:t>October 25</w:t>
      </w:r>
      <w:r w:rsidRPr="00833EC9">
        <w:rPr>
          <w:b/>
          <w:spacing w:val="-2"/>
          <w:szCs w:val="22"/>
        </w:rPr>
        <w:t>, 2021</w:t>
      </w:r>
    </w:p>
    <w:p w:rsidR="005E6181" w:rsidRPr="00833EC9" w:rsidP="005E6181" w14:paraId="223C70CD" w14:textId="77777777">
      <w:pPr>
        <w:rPr>
          <w:szCs w:val="22"/>
        </w:rPr>
      </w:pPr>
    </w:p>
    <w:p w:rsidR="00412FC5" w:rsidP="005E6181" w14:paraId="3E77DC38" w14:textId="2C3A4E7F">
      <w:pPr>
        <w:rPr>
          <w:szCs w:val="22"/>
        </w:rPr>
      </w:pPr>
      <w:r w:rsidRPr="00833EC9">
        <w:rPr>
          <w:szCs w:val="22"/>
        </w:rPr>
        <w:t>By the Chief, Wireline Competition Bureau</w:t>
      </w:r>
      <w:r>
        <w:rPr>
          <w:szCs w:val="22"/>
        </w:rPr>
        <w:t>:</w:t>
      </w:r>
    </w:p>
    <w:p w:rsidR="005E6181" w:rsidRPr="005E6181" w:rsidP="005E6181" w14:paraId="53E22BD6" w14:textId="77777777">
      <w:pPr>
        <w:rPr>
          <w:szCs w:val="22"/>
        </w:rPr>
      </w:pPr>
    </w:p>
    <w:p w:rsidR="005E6181" w:rsidRPr="005E6181" w:rsidP="005E6181" w14:paraId="77822A10" w14:textId="7BBC3A5D">
      <w:pPr>
        <w:pStyle w:val="ParaNum"/>
      </w:pPr>
      <w:r w:rsidRPr="00833EC9">
        <w:rPr>
          <w:szCs w:val="22"/>
        </w:rPr>
        <w:t xml:space="preserve">By this Order, the Wireline Competition </w:t>
      </w:r>
      <w:r>
        <w:rPr>
          <w:szCs w:val="22"/>
        </w:rPr>
        <w:t xml:space="preserve">Bureau (Bureau) </w:t>
      </w:r>
      <w:bookmarkStart w:id="2" w:name="_Hlk86067247"/>
      <w:r>
        <w:rPr>
          <w:szCs w:val="22"/>
        </w:rPr>
        <w:t>temporarily suspends, on our own motion, the reply comment deadline for the</w:t>
      </w:r>
      <w:r w:rsidRPr="00833EC9">
        <w:rPr>
          <w:szCs w:val="22"/>
        </w:rPr>
        <w:t xml:space="preserve"> </w:t>
      </w:r>
      <w:r>
        <w:rPr>
          <w:szCs w:val="22"/>
        </w:rPr>
        <w:t>P</w:t>
      </w:r>
      <w:r w:rsidRPr="00833EC9">
        <w:rPr>
          <w:szCs w:val="22"/>
        </w:rPr>
        <w:t xml:space="preserve">etition for </w:t>
      </w:r>
      <w:r>
        <w:rPr>
          <w:szCs w:val="22"/>
        </w:rPr>
        <w:t>D</w:t>
      </w:r>
      <w:r w:rsidRPr="00833EC9">
        <w:rPr>
          <w:szCs w:val="22"/>
        </w:rPr>
        <w:t xml:space="preserve">eclaratory </w:t>
      </w:r>
      <w:r>
        <w:rPr>
          <w:szCs w:val="22"/>
        </w:rPr>
        <w:t>R</w:t>
      </w:r>
      <w:r w:rsidRPr="00833EC9">
        <w:rPr>
          <w:szCs w:val="22"/>
        </w:rPr>
        <w:t xml:space="preserve">uling filed by </w:t>
      </w:r>
      <w:r w:rsidRPr="00DB4147">
        <w:rPr>
          <w:szCs w:val="22"/>
        </w:rPr>
        <w:t>MCC Iowa LLC (“Mediacom</w:t>
      </w:r>
      <w:bookmarkEnd w:id="2"/>
      <w:r w:rsidRPr="00DB4147">
        <w:rPr>
          <w:szCs w:val="22"/>
        </w:rPr>
        <w:t xml:space="preserve">”) </w:t>
      </w:r>
      <w:r>
        <w:rPr>
          <w:szCs w:val="22"/>
        </w:rPr>
        <w:t>under</w:t>
      </w:r>
      <w:r>
        <w:t xml:space="preserve"> section 253(d) of the Communications Act.</w:t>
      </w:r>
      <w:r>
        <w:rPr>
          <w:rStyle w:val="FootnoteReference"/>
        </w:rPr>
        <w:footnoteReference w:id="3"/>
      </w:r>
      <w:r>
        <w:t xml:space="preserve">  </w:t>
      </w:r>
      <w:r>
        <w:rPr>
          <w:szCs w:val="22"/>
        </w:rPr>
        <w:t xml:space="preserve">On September 10, 2021, </w:t>
      </w:r>
      <w:r w:rsidRPr="00DB4147">
        <w:rPr>
          <w:szCs w:val="22"/>
        </w:rPr>
        <w:t xml:space="preserve">Mediacom and </w:t>
      </w:r>
      <w:r>
        <w:rPr>
          <w:szCs w:val="22"/>
        </w:rPr>
        <w:t>the</w:t>
      </w:r>
      <w:r w:rsidRPr="00DB4147">
        <w:rPr>
          <w:szCs w:val="22"/>
        </w:rPr>
        <w:t xml:space="preserve"> </w:t>
      </w:r>
      <w:r>
        <w:rPr>
          <w:szCs w:val="22"/>
        </w:rPr>
        <w:t>c</w:t>
      </w:r>
      <w:r w:rsidRPr="00DB4147">
        <w:rPr>
          <w:szCs w:val="22"/>
        </w:rPr>
        <w:t>ity of West Des Moines, Iowa (“City”)</w:t>
      </w:r>
      <w:r>
        <w:rPr>
          <w:szCs w:val="22"/>
        </w:rPr>
        <w:t xml:space="preserve"> (collectively, the “parties”)</w:t>
      </w:r>
      <w:r w:rsidRPr="00833EC9">
        <w:rPr>
          <w:szCs w:val="22"/>
        </w:rPr>
        <w:t xml:space="preserve"> </w:t>
      </w:r>
      <w:r>
        <w:rPr>
          <w:szCs w:val="22"/>
        </w:rPr>
        <w:t xml:space="preserve">filed a joint request </w:t>
      </w:r>
      <w:r w:rsidRPr="007E334D">
        <w:rPr>
          <w:szCs w:val="22"/>
        </w:rPr>
        <w:t xml:space="preserve">for a </w:t>
      </w:r>
      <w:r>
        <w:rPr>
          <w:szCs w:val="22"/>
        </w:rPr>
        <w:t>fifteen</w:t>
      </w:r>
      <w:r w:rsidRPr="007E334D">
        <w:rPr>
          <w:szCs w:val="22"/>
        </w:rPr>
        <w:t xml:space="preserve">-day extension of </w:t>
      </w:r>
      <w:r>
        <w:rPr>
          <w:szCs w:val="22"/>
        </w:rPr>
        <w:t xml:space="preserve">both </w:t>
      </w:r>
      <w:r w:rsidRPr="007E334D">
        <w:rPr>
          <w:szCs w:val="22"/>
        </w:rPr>
        <w:t>the</w:t>
      </w:r>
      <w:r>
        <w:rPr>
          <w:szCs w:val="22"/>
        </w:rPr>
        <w:t xml:space="preserve"> comment and</w:t>
      </w:r>
      <w:r w:rsidRPr="007E334D">
        <w:rPr>
          <w:szCs w:val="22"/>
        </w:rPr>
        <w:t xml:space="preserve"> reply comment filing deadline</w:t>
      </w:r>
      <w:r>
        <w:rPr>
          <w:szCs w:val="22"/>
        </w:rPr>
        <w:t>s for the Petition so that they could pursue a private resolution of the issues in dispute</w:t>
      </w:r>
      <w:r w:rsidRPr="00833EC9">
        <w:rPr>
          <w:szCs w:val="22"/>
        </w:rPr>
        <w:t>.</w:t>
      </w:r>
      <w:r>
        <w:rPr>
          <w:rStyle w:val="FootnoteReference"/>
          <w:sz w:val="22"/>
          <w:szCs w:val="22"/>
        </w:rPr>
        <w:footnoteReference w:id="4"/>
      </w:r>
      <w:r w:rsidRPr="00833EC9">
        <w:rPr>
          <w:szCs w:val="22"/>
        </w:rPr>
        <w:t xml:space="preserve">  </w:t>
      </w:r>
      <w:r>
        <w:rPr>
          <w:szCs w:val="22"/>
        </w:rPr>
        <w:t>The Bureau granted this request and extended the comment and reply comment deadlines to October 7, 2021 and October 27, 2021, respectively.</w:t>
      </w:r>
      <w:r>
        <w:rPr>
          <w:rStyle w:val="FootnoteReference"/>
          <w:szCs w:val="22"/>
        </w:rPr>
        <w:footnoteReference w:id="5"/>
      </w:r>
      <w:r>
        <w:rPr>
          <w:szCs w:val="22"/>
        </w:rPr>
        <w:t xml:space="preserve">  On October 15, 2021, Mediacom and the City filed a joint request to further extend the reply comment deadline to December 29, 2021,</w:t>
      </w:r>
      <w:r>
        <w:rPr>
          <w:rStyle w:val="FootnoteReference"/>
          <w:szCs w:val="22"/>
        </w:rPr>
        <w:footnoteReference w:id="6"/>
      </w:r>
      <w:r>
        <w:rPr>
          <w:szCs w:val="22"/>
        </w:rPr>
        <w:t xml:space="preserve"> stating that they have reached a high-level agreement on settlement terms, but require the two-month extension to negotiate the details of those terms, prepare necessary documents, and so that conditions precedent to a settlement may be performed.</w:t>
      </w:r>
      <w:r>
        <w:rPr>
          <w:rStyle w:val="FootnoteReference"/>
          <w:szCs w:val="22"/>
        </w:rPr>
        <w:footnoteReference w:id="7"/>
      </w:r>
    </w:p>
    <w:p w:rsidR="005E6181" w:rsidP="005E6181" w14:paraId="7A634CB7" w14:textId="77777777">
      <w:pPr>
        <w:pStyle w:val="ParaNum"/>
      </w:pPr>
      <w:r>
        <w:t>T</w:t>
      </w:r>
      <w:r w:rsidRPr="009C12DB">
        <w:t>he Commissio</w:t>
      </w:r>
      <w:r w:rsidRPr="00B27EE2">
        <w:t>n supports the private resolution of disputes</w:t>
      </w:r>
      <w:r>
        <w:t xml:space="preserve"> </w:t>
      </w:r>
      <w:r w:rsidRPr="00B27EE2">
        <w:t xml:space="preserve">and </w:t>
      </w:r>
      <w:r>
        <w:t xml:space="preserve">we </w:t>
      </w:r>
      <w:r w:rsidRPr="009C12DB">
        <w:t>recognize</w:t>
      </w:r>
      <w:r w:rsidRPr="00B27EE2">
        <w:t xml:space="preserve"> that delaying the reply comment deadline </w:t>
      </w:r>
      <w:r>
        <w:t>to give the parties time to potentially conclude a settlement</w:t>
      </w:r>
      <w:r w:rsidRPr="009C12DB">
        <w:t xml:space="preserve"> may </w:t>
      </w:r>
      <w:r>
        <w:t xml:space="preserve">ultimately </w:t>
      </w:r>
      <w:r w:rsidRPr="009C12DB">
        <w:t xml:space="preserve">conserve resources and result in </w:t>
      </w:r>
      <w:r w:rsidRPr="00B27EE2">
        <w:t>administrative efficiencies to the</w:t>
      </w:r>
      <w:r>
        <w:t xml:space="preserve"> </w:t>
      </w:r>
      <w:r w:rsidRPr="00B27EE2">
        <w:t>parties, other commenters</w:t>
      </w:r>
      <w:r>
        <w:t>,  and the Commission</w:t>
      </w:r>
      <w:r w:rsidRPr="00B27EE2">
        <w:t>.</w:t>
      </w:r>
      <w:r>
        <w:t xml:space="preserve">  The parties concede, however, that a number of details and variables need to be resolved before they can reach a final settlement,</w:t>
      </w:r>
      <w:r>
        <w:rPr>
          <w:rStyle w:val="FootnoteReference"/>
          <w:szCs w:val="22"/>
        </w:rPr>
        <w:footnoteReference w:id="8"/>
      </w:r>
      <w:r>
        <w:t xml:space="preserve"> and we are cognizant that there are a number of holidays occurring over the next two months that may complicate the schedules of those involved.  </w:t>
      </w:r>
    </w:p>
    <w:p w:rsidR="005E6181" w:rsidP="005E6181" w14:paraId="4E82F31A" w14:textId="77777777">
      <w:pPr>
        <w:pStyle w:val="ParaNum"/>
      </w:pPr>
      <w:r>
        <w:t>Therefore, under these circumstances we find that it would be more efficient for the parties, other commenters, and the Commission to temporarily suspend the reply comment deadline pursuant to section 1.3 of the Commission’s rules,</w:t>
      </w:r>
      <w:r>
        <w:rPr>
          <w:rStyle w:val="FootnoteReference"/>
          <w:szCs w:val="22"/>
        </w:rPr>
        <w:footnoteReference w:id="9"/>
      </w:r>
      <w:r>
        <w:t xml:space="preserve"> rather than extend it.  A temporary suspension will </w:t>
      </w:r>
      <w:r>
        <w:t>allow the parties sufficient time to conclude a settlement that may resolve the need for the Petition, in whole or in part, without either party needing to expend additional resources on filings to the Commission seeking additional extensions.</w:t>
      </w:r>
      <w:r>
        <w:rPr>
          <w:rStyle w:val="FootnoteReference"/>
          <w:szCs w:val="22"/>
        </w:rPr>
        <w:footnoteReference w:id="10"/>
      </w:r>
      <w:r>
        <w:t xml:space="preserve">  Moreover, since no objections to the parties’ requests to delay the comment and reply comment deadlines have been filed, we find that no other entity will be disadvantaged by a temporary suspension.  We therefore conclude that good cause exists to suspend the reply comment deadline in this proceeding </w:t>
      </w:r>
      <w:r w:rsidRPr="00522C38">
        <w:t>until one of the following events occurs: (1) Mediacom files a motion to withdraw its Petition because a settlement with the City has been reached; (2) either party files a motion to resume the reply comment deadline because a settlement has not been reached; or (3) neither of those two events occurs within six months of the release of this Order.  Should either the second or third event take place, the Bureau will issue a Public Notice setting a new reply comment deadline for the Petition.</w:t>
      </w:r>
    </w:p>
    <w:p w:rsidR="005E6181" w:rsidRPr="00522C38" w:rsidP="005E6181" w14:paraId="10B51892" w14:textId="77777777">
      <w:pPr>
        <w:pStyle w:val="ParaNum"/>
      </w:pPr>
      <w:r>
        <w:t>In light of our decision to temporarily suspend the reply comment deadline, we dismiss the parties’ request to extend the reply comment deadline as moot.</w:t>
      </w:r>
    </w:p>
    <w:p w:rsidR="005E6181" w:rsidP="005E6181" w14:paraId="0E7C50A4" w14:textId="77777777">
      <w:pPr>
        <w:pStyle w:val="ParaNum"/>
      </w:pPr>
      <w:r w:rsidRPr="00833EC9">
        <w:t xml:space="preserve">Accordingly, </w:t>
      </w:r>
      <w:r w:rsidRPr="00833EC9">
        <w:rPr>
          <w:b/>
          <w:bCs/>
        </w:rPr>
        <w:t>IT IS ORDERED</w:t>
      </w:r>
      <w:r w:rsidRPr="00833EC9">
        <w:t xml:space="preserve"> that, </w:t>
      </w:r>
      <w:r>
        <w:t xml:space="preserve">pursuant to sections 0.91, 0.291, 1.2(b), and 1.3 of the Commission’s rules, </w:t>
      </w:r>
      <w:r w:rsidRPr="00736B16">
        <w:t xml:space="preserve">47 CFR §§ </w:t>
      </w:r>
      <w:r>
        <w:t>0.91, 0.291, 1.2(b), 1.3,</w:t>
      </w:r>
      <w:r w:rsidRPr="00833EC9">
        <w:t xml:space="preserve"> that the d</w:t>
      </w:r>
      <w:r>
        <w:t>eadline</w:t>
      </w:r>
      <w:r w:rsidRPr="00833EC9">
        <w:t xml:space="preserve"> to fi</w:t>
      </w:r>
      <w:r>
        <w:t>le reply</w:t>
      </w:r>
      <w:r w:rsidRPr="00833EC9">
        <w:t xml:space="preserve"> comments </w:t>
      </w:r>
      <w:r>
        <w:t xml:space="preserve">on the Petition is </w:t>
      </w:r>
      <w:r>
        <w:rPr>
          <w:b/>
          <w:bCs/>
        </w:rPr>
        <w:t>SUSPENDED</w:t>
      </w:r>
      <w:r w:rsidRPr="00833EC9">
        <w:t xml:space="preserve"> </w:t>
      </w:r>
      <w:r>
        <w:t>consistent with the terms of this Order.</w:t>
      </w:r>
    </w:p>
    <w:p w:rsidR="00C47B88" w:rsidRPr="00C47B88" w:rsidP="00C47B88" w14:paraId="2203F866" w14:textId="5144E6C5">
      <w:pPr>
        <w:pStyle w:val="ParaNum"/>
      </w:pPr>
      <w:r>
        <w:rPr>
          <w:b/>
          <w:bCs/>
        </w:rPr>
        <w:t>IT IS FURTHER ORDERED</w:t>
      </w:r>
      <w:r w:rsidRPr="00B96354">
        <w:rPr>
          <w:b/>
        </w:rPr>
        <w:t xml:space="preserve"> </w:t>
      </w:r>
      <w:r>
        <w:t xml:space="preserve">that, </w:t>
      </w:r>
      <w:r w:rsidRPr="002D0D00">
        <w:t>pursuant to section 4(</w:t>
      </w:r>
      <w:r w:rsidRPr="002D0D00">
        <w:t>i</w:t>
      </w:r>
      <w:r w:rsidRPr="002D0D00">
        <w:t>) of the Communications Act of 1934, as amended, 47 U.S.C. § 154(</w:t>
      </w:r>
      <w:r w:rsidRPr="002D0D00">
        <w:t>i</w:t>
      </w:r>
      <w:r w:rsidRPr="002D0D00">
        <w:t xml:space="preserve">), and sections </w:t>
      </w:r>
      <w:r w:rsidRPr="00736B16">
        <w:t>0.204, 0.291,</w:t>
      </w:r>
      <w:r>
        <w:t xml:space="preserve"> </w:t>
      </w:r>
      <w:r w:rsidRPr="00736B16">
        <w:t>and 1.46 of the Commission’s rules, 47 CFR §§ 0.204, 0.291,</w:t>
      </w:r>
      <w:r>
        <w:t xml:space="preserve"> </w:t>
      </w:r>
      <w:r w:rsidRPr="00736B16">
        <w:t>1.46,</w:t>
      </w:r>
      <w:r w:rsidRPr="002D0D00">
        <w:t xml:space="preserve"> the Second Joint Request filed by Mediacom and the City is </w:t>
      </w:r>
      <w:r w:rsidRPr="002D0D00">
        <w:rPr>
          <w:b/>
          <w:bCs/>
        </w:rPr>
        <w:t>DISMISSED</w:t>
      </w:r>
      <w:r>
        <w:rPr>
          <w:b/>
          <w:bCs/>
        </w:rPr>
        <w:t xml:space="preserve"> AS MOOT</w:t>
      </w:r>
      <w:r w:rsidRPr="002D0D00">
        <w:rPr>
          <w:b/>
          <w:bCs/>
        </w:rPr>
        <w:t>.</w:t>
      </w:r>
    </w:p>
    <w:p w:rsidR="00C47B88" w:rsidP="00C47B88" w14:paraId="5B55E5D6" w14:textId="77777777">
      <w:pPr>
        <w:pStyle w:val="ParaNum"/>
        <w:numPr>
          <w:ilvl w:val="0"/>
          <w:numId w:val="0"/>
        </w:numPr>
      </w:pPr>
    </w:p>
    <w:p w:rsidR="00C47B88" w:rsidP="0017296B" w14:paraId="5492D5A3" w14:textId="77777777">
      <w:r>
        <w:tab/>
      </w:r>
      <w:r>
        <w:tab/>
      </w:r>
      <w:r>
        <w:tab/>
      </w:r>
      <w:r>
        <w:tab/>
      </w:r>
      <w:r>
        <w:tab/>
      </w:r>
      <w:r>
        <w:tab/>
        <w:t>FEDERAL COMMUNICATIONS COMMISSION</w:t>
      </w:r>
    </w:p>
    <w:p w:rsidR="00C47B88" w:rsidP="0017296B" w14:paraId="201AB23F" w14:textId="77777777"/>
    <w:p w:rsidR="00C47B88" w:rsidP="0017296B" w14:paraId="3B34E12C" w14:textId="77777777"/>
    <w:p w:rsidR="00C47B88" w:rsidP="0017296B" w14:paraId="76AF16FE" w14:textId="77777777"/>
    <w:p w:rsidR="00C47B88" w:rsidP="0017296B" w14:paraId="36120F73" w14:textId="77777777"/>
    <w:p w:rsidR="00C47B88" w:rsidRPr="00C47B88" w:rsidP="00C47B88" w14:paraId="6DE78E4F" w14:textId="6DBF3316">
      <w:pPr>
        <w:rPr>
          <w:szCs w:val="22"/>
        </w:rPr>
      </w:pPr>
      <w:r>
        <w:tab/>
      </w:r>
      <w:r>
        <w:tab/>
      </w:r>
      <w:r>
        <w:tab/>
      </w:r>
      <w:r>
        <w:tab/>
      </w:r>
      <w:r>
        <w:tab/>
      </w:r>
      <w:r>
        <w:tab/>
      </w:r>
      <w:r w:rsidRPr="00833EC9">
        <w:rPr>
          <w:szCs w:val="22"/>
        </w:rPr>
        <w:t>Kris A</w:t>
      </w:r>
      <w:r>
        <w:rPr>
          <w:szCs w:val="22"/>
        </w:rPr>
        <w:t>nne</w:t>
      </w:r>
      <w:r w:rsidRPr="00833EC9">
        <w:rPr>
          <w:szCs w:val="22"/>
        </w:rPr>
        <w:t xml:space="preserve"> Monte</w:t>
      </w:r>
      <w:r>
        <w:rPr>
          <w:szCs w:val="22"/>
        </w:rPr>
        <w:t>i</w:t>
      </w:r>
      <w:r w:rsidRPr="00833EC9">
        <w:rPr>
          <w:szCs w:val="22"/>
        </w:rPr>
        <w:t>th</w:t>
      </w:r>
    </w:p>
    <w:p w:rsidR="00C47B88" w:rsidP="00C47B88" w14:paraId="66DE08B9" w14:textId="77777777">
      <w:pPr>
        <w:rPr>
          <w:szCs w:val="22"/>
        </w:rPr>
      </w:pPr>
      <w:r>
        <w:tab/>
      </w:r>
      <w:r>
        <w:tab/>
      </w:r>
      <w:r>
        <w:tab/>
      </w:r>
      <w:r>
        <w:tab/>
      </w:r>
      <w:r>
        <w:tab/>
      </w:r>
      <w:r>
        <w:tab/>
      </w:r>
      <w:r w:rsidRPr="00833EC9">
        <w:rPr>
          <w:szCs w:val="22"/>
        </w:rPr>
        <w:t>Chief</w:t>
      </w:r>
    </w:p>
    <w:p w:rsidR="00C47B88" w:rsidRPr="005E6181" w:rsidP="00C6170C" w14:paraId="1C8FF7AC" w14:textId="506ECF7B">
      <w:pPr>
        <w:ind w:left="3600" w:firstLine="720"/>
      </w:pPr>
      <w:r w:rsidRPr="00833EC9">
        <w:rPr>
          <w:szCs w:val="22"/>
        </w:rPr>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A58AB4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6AE9A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D606B" w14:paraId="75C2AF04" w14:textId="1D4E1D3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E5DEF1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6181" w14:paraId="174829A9" w14:textId="77777777">
      <w:r>
        <w:separator/>
      </w:r>
    </w:p>
  </w:footnote>
  <w:footnote w:type="continuationSeparator" w:id="1">
    <w:p w:rsidR="005E6181" w:rsidP="00C721AC" w14:paraId="44C6798B" w14:textId="77777777">
      <w:pPr>
        <w:spacing w:before="120"/>
        <w:rPr>
          <w:sz w:val="20"/>
        </w:rPr>
      </w:pPr>
      <w:r>
        <w:rPr>
          <w:sz w:val="20"/>
        </w:rPr>
        <w:t xml:space="preserve">(Continued from previous page)  </w:t>
      </w:r>
      <w:r>
        <w:rPr>
          <w:sz w:val="20"/>
        </w:rPr>
        <w:separator/>
      </w:r>
    </w:p>
  </w:footnote>
  <w:footnote w:type="continuationNotice" w:id="2">
    <w:p w:rsidR="005E6181" w:rsidP="00C721AC" w14:paraId="4231C47C" w14:textId="77777777">
      <w:pPr>
        <w:jc w:val="right"/>
        <w:rPr>
          <w:sz w:val="20"/>
        </w:rPr>
      </w:pPr>
      <w:r>
        <w:rPr>
          <w:sz w:val="20"/>
        </w:rPr>
        <w:t>(continued….)</w:t>
      </w:r>
    </w:p>
  </w:footnote>
  <w:footnote w:id="3">
    <w:p w:rsidR="005E6181" w:rsidP="005E6181" w14:paraId="6992C51E" w14:textId="77777777">
      <w:pPr>
        <w:pStyle w:val="FootnoteText"/>
      </w:pPr>
      <w:r>
        <w:rPr>
          <w:rStyle w:val="FootnoteReference"/>
        </w:rPr>
        <w:footnoteRef/>
      </w:r>
      <w:r>
        <w:t xml:space="preserve"> 47 U.S.C. </w:t>
      </w:r>
      <w:r w:rsidRPr="00833EC9">
        <w:t>§</w:t>
      </w:r>
      <w:r>
        <w:t xml:space="preserve"> 1.3; Petition of MCC Iowa LLC for Expedited Declaratory Ruling Pursuant to Section 253(d) of the Communications Act (filed May 12, 2021) (Petition), </w:t>
      </w:r>
      <w:hyperlink r:id="rId1" w:history="1">
        <w:r w:rsidRPr="006A1AA6">
          <w:rPr>
            <w:rStyle w:val="Hyperlink"/>
          </w:rPr>
          <w:t>https://www.fcc.gov/ecfs/filing/1051284318481</w:t>
        </w:r>
      </w:hyperlink>
      <w:r>
        <w:t>.</w:t>
      </w:r>
    </w:p>
  </w:footnote>
  <w:footnote w:id="4">
    <w:p w:rsidR="005E6181" w:rsidRPr="00833EC9" w:rsidP="005E6181" w14:paraId="3EA0F760" w14:textId="77777777">
      <w:pPr>
        <w:pStyle w:val="FootnoteText"/>
      </w:pPr>
      <w:r w:rsidRPr="00833EC9">
        <w:rPr>
          <w:rStyle w:val="FootnoteReference"/>
        </w:rPr>
        <w:footnoteRef/>
      </w:r>
      <w:r w:rsidRPr="00833EC9">
        <w:t xml:space="preserve"> </w:t>
      </w:r>
      <w:r>
        <w:t>MCC Iowa LLC and City of West Des Moines, Iowa</w:t>
      </w:r>
      <w:r w:rsidRPr="00833EC9">
        <w:t>,</w:t>
      </w:r>
      <w:r>
        <w:t xml:space="preserve"> Joint Request for Extension of Time</w:t>
      </w:r>
      <w:r w:rsidRPr="00833EC9">
        <w:t xml:space="preserve">, WC Docket No. </w:t>
      </w:r>
      <w:r>
        <w:t>21</w:t>
      </w:r>
      <w:r w:rsidRPr="00833EC9">
        <w:t>-</w:t>
      </w:r>
      <w:r>
        <w:t>217</w:t>
      </w:r>
      <w:r w:rsidRPr="00833EC9">
        <w:t xml:space="preserve"> (filed </w:t>
      </w:r>
      <w:r>
        <w:t>Sept</w:t>
      </w:r>
      <w:r w:rsidRPr="00833EC9">
        <w:t xml:space="preserve">. </w:t>
      </w:r>
      <w:r>
        <w:t>10</w:t>
      </w:r>
      <w:r w:rsidRPr="00833EC9">
        <w:t>, 2021) (</w:t>
      </w:r>
      <w:r>
        <w:t>First Joint Request</w:t>
      </w:r>
      <w:r w:rsidRPr="00833EC9">
        <w:t>),</w:t>
      </w:r>
      <w:r w:rsidRPr="00DB4147">
        <w:t xml:space="preserve"> </w:t>
      </w:r>
      <w:hyperlink r:id="rId2" w:history="1">
        <w:r w:rsidRPr="006A1AA6">
          <w:rPr>
            <w:rStyle w:val="Hyperlink"/>
          </w:rPr>
          <w:t>https://www.fcc.gov/ecfs/filing/10910058507877</w:t>
        </w:r>
      </w:hyperlink>
      <w:r w:rsidRPr="00833EC9">
        <w:t xml:space="preserve">. </w:t>
      </w:r>
    </w:p>
  </w:footnote>
  <w:footnote w:id="5">
    <w:p w:rsidR="005E6181" w:rsidRPr="00522C38" w:rsidP="005E6181" w14:paraId="403EF1CC" w14:textId="77777777">
      <w:pPr>
        <w:pStyle w:val="FootnoteText"/>
      </w:pPr>
      <w:r>
        <w:rPr>
          <w:rStyle w:val="FootnoteReference"/>
        </w:rPr>
        <w:footnoteRef/>
      </w:r>
      <w:r>
        <w:t xml:space="preserve"> </w:t>
      </w:r>
      <w:r w:rsidRPr="0085736F">
        <w:rPr>
          <w:i/>
          <w:iCs/>
          <w:spacing w:val="-2"/>
          <w:szCs w:val="22"/>
        </w:rPr>
        <w:t>Petition of MCC Iowa LLC for Expedited Declaratory Ruling Pursuant to Section 253(d) of the Communications Act</w:t>
      </w:r>
      <w:r>
        <w:rPr>
          <w:spacing w:val="-2"/>
          <w:szCs w:val="22"/>
        </w:rPr>
        <w:t>, WC Docket 21-217, Order Granting Extension of Time, DA 21-1151 (WCB September 14, 2021).</w:t>
      </w:r>
    </w:p>
  </w:footnote>
  <w:footnote w:id="6">
    <w:p w:rsidR="005E6181" w:rsidP="005E6181" w14:paraId="49CEE35E" w14:textId="77777777">
      <w:pPr>
        <w:pStyle w:val="FootnoteText"/>
      </w:pPr>
      <w:r>
        <w:rPr>
          <w:rStyle w:val="FootnoteReference"/>
        </w:rPr>
        <w:footnoteRef/>
      </w:r>
      <w:r>
        <w:t xml:space="preserve"> </w:t>
      </w:r>
      <w:r>
        <w:t>MCC Iowa LLC and City of West Des Moines, Iowa</w:t>
      </w:r>
      <w:r w:rsidRPr="00833EC9">
        <w:t>,</w:t>
      </w:r>
      <w:r>
        <w:t xml:space="preserve"> Joint Request for Extension of Time</w:t>
      </w:r>
      <w:r w:rsidRPr="00833EC9">
        <w:t xml:space="preserve">, WC Docket No. </w:t>
      </w:r>
      <w:r>
        <w:t>21</w:t>
      </w:r>
      <w:r w:rsidRPr="00833EC9">
        <w:t>-</w:t>
      </w:r>
      <w:r>
        <w:t>217</w:t>
      </w:r>
      <w:r w:rsidRPr="00833EC9">
        <w:t xml:space="preserve"> (filed </w:t>
      </w:r>
      <w:r>
        <w:t>Oct. 15</w:t>
      </w:r>
      <w:r w:rsidRPr="00833EC9">
        <w:t>, 2021) (</w:t>
      </w:r>
      <w:r>
        <w:t>Second Joint Request</w:t>
      </w:r>
      <w:r w:rsidRPr="00833EC9">
        <w:t>),</w:t>
      </w:r>
      <w:r>
        <w:t xml:space="preserve"> </w:t>
      </w:r>
      <w:hyperlink r:id="rId3" w:history="1">
        <w:r w:rsidRPr="005D7054">
          <w:rPr>
            <w:rStyle w:val="Hyperlink"/>
          </w:rPr>
          <w:t>https://www.fcc.gov/ecfs/filing/10150037126927</w:t>
        </w:r>
      </w:hyperlink>
      <w:r w:rsidRPr="00F30B13">
        <w:t xml:space="preserve"> </w:t>
      </w:r>
      <w:r>
        <w:t>at 2-3.</w:t>
      </w:r>
    </w:p>
  </w:footnote>
  <w:footnote w:id="7">
    <w:p w:rsidR="005E6181" w:rsidRPr="007969D4" w:rsidP="005E6181" w14:paraId="20F57932" w14:textId="77777777">
      <w:pPr>
        <w:pStyle w:val="FootnoteText"/>
      </w:pPr>
      <w:r>
        <w:rPr>
          <w:rStyle w:val="FootnoteReference"/>
        </w:rPr>
        <w:footnoteRef/>
      </w:r>
      <w:r>
        <w:t xml:space="preserve"> </w:t>
      </w:r>
      <w:r>
        <w:rPr>
          <w:i/>
          <w:iCs/>
        </w:rPr>
        <w:t>Id</w:t>
      </w:r>
      <w:r>
        <w:t xml:space="preserve">. </w:t>
      </w:r>
    </w:p>
  </w:footnote>
  <w:footnote w:id="8">
    <w:p w:rsidR="005E6181" w:rsidRPr="00B51FD5" w:rsidP="005E6181" w14:paraId="5586D480" w14:textId="77777777">
      <w:pPr>
        <w:pStyle w:val="FootnoteText"/>
      </w:pPr>
      <w:r>
        <w:rPr>
          <w:rStyle w:val="FootnoteReference"/>
        </w:rPr>
        <w:footnoteRef/>
      </w:r>
      <w:r>
        <w:t xml:space="preserve"> </w:t>
      </w:r>
      <w:r>
        <w:rPr>
          <w:i/>
          <w:iCs/>
        </w:rPr>
        <w:t>Id</w:t>
      </w:r>
      <w:r>
        <w:t>.</w:t>
      </w:r>
    </w:p>
  </w:footnote>
  <w:footnote w:id="9">
    <w:p w:rsidR="005E6181" w:rsidP="005E6181" w14:paraId="30931555" w14:textId="77777777">
      <w:pPr>
        <w:pStyle w:val="FootnoteText"/>
      </w:pPr>
      <w:r>
        <w:rPr>
          <w:rStyle w:val="FootnoteReference"/>
        </w:rPr>
        <w:footnoteRef/>
      </w:r>
      <w:r>
        <w:t xml:space="preserve"> </w:t>
      </w:r>
      <w:r w:rsidRPr="00833EC9">
        <w:t>47 CFR § 1.</w:t>
      </w:r>
      <w:r>
        <w:t>3</w:t>
      </w:r>
      <w:r w:rsidRPr="00833EC9">
        <w:t>.</w:t>
      </w:r>
    </w:p>
  </w:footnote>
  <w:footnote w:id="10">
    <w:p w:rsidR="005E6181" w:rsidP="005E6181" w14:paraId="15A627C3" w14:textId="77777777">
      <w:pPr>
        <w:pStyle w:val="FootnoteText"/>
      </w:pPr>
      <w:r>
        <w:rPr>
          <w:rStyle w:val="FootnoteReference"/>
        </w:rPr>
        <w:footnoteRef/>
      </w:r>
      <w:r>
        <w:t xml:space="preserve"> </w:t>
      </w:r>
      <w:r>
        <w:t xml:space="preserve">We note that it is the policy of the Commission that extensions of time to file comments shall not be routinely granted.  47 CFR </w:t>
      </w:r>
      <w:r w:rsidRPr="00833EC9">
        <w:t>§</w:t>
      </w:r>
      <w:r>
        <w:t xml:space="preserve"> 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666636B" w14:textId="01B2718B">
    <w:pPr>
      <w:pStyle w:val="Header"/>
      <w:rPr>
        <w:b w:val="0"/>
      </w:rPr>
    </w:pPr>
    <w:r>
      <w:tab/>
    </w:r>
    <w:r>
      <w:t>Federal Communications Commission</w:t>
    </w:r>
    <w:r>
      <w:tab/>
    </w:r>
    <w:r w:rsidR="0097662D">
      <w:t>DA 21-1338</w:t>
    </w:r>
  </w:p>
  <w:p w:rsidR="00D25FB5" w14:paraId="4100BBD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432006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28B00DB" w14:textId="2C7F21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97662D">
      <w:rPr>
        <w:spacing w:val="-2"/>
      </w:rPr>
      <w:t>DA 21-1338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9F04A25"/>
    <w:multiLevelType w:val="hybridMultilevel"/>
    <w:tmpl w:val="5706140C"/>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81"/>
    <w:rsid w:val="00036039"/>
    <w:rsid w:val="00037F90"/>
    <w:rsid w:val="000875BF"/>
    <w:rsid w:val="00096D8C"/>
    <w:rsid w:val="000C0B65"/>
    <w:rsid w:val="000E05FE"/>
    <w:rsid w:val="000E3D42"/>
    <w:rsid w:val="00122BD5"/>
    <w:rsid w:val="00133F79"/>
    <w:rsid w:val="0017296B"/>
    <w:rsid w:val="00194A66"/>
    <w:rsid w:val="001D6BCF"/>
    <w:rsid w:val="001E01CA"/>
    <w:rsid w:val="00275CF5"/>
    <w:rsid w:val="0028301F"/>
    <w:rsid w:val="00285017"/>
    <w:rsid w:val="002A2D2E"/>
    <w:rsid w:val="002C00E8"/>
    <w:rsid w:val="002D0D00"/>
    <w:rsid w:val="00343749"/>
    <w:rsid w:val="003660ED"/>
    <w:rsid w:val="003852FB"/>
    <w:rsid w:val="003B0550"/>
    <w:rsid w:val="003B694F"/>
    <w:rsid w:val="003F171C"/>
    <w:rsid w:val="00412FC5"/>
    <w:rsid w:val="00422276"/>
    <w:rsid w:val="004242F1"/>
    <w:rsid w:val="00445A00"/>
    <w:rsid w:val="00451B0F"/>
    <w:rsid w:val="004C2EE3"/>
    <w:rsid w:val="004E4A22"/>
    <w:rsid w:val="00511968"/>
    <w:rsid w:val="00522C38"/>
    <w:rsid w:val="0055614C"/>
    <w:rsid w:val="00566D06"/>
    <w:rsid w:val="005D7054"/>
    <w:rsid w:val="005E14C2"/>
    <w:rsid w:val="005E6181"/>
    <w:rsid w:val="00607BA5"/>
    <w:rsid w:val="0061180A"/>
    <w:rsid w:val="00626EB6"/>
    <w:rsid w:val="00655D03"/>
    <w:rsid w:val="00683388"/>
    <w:rsid w:val="00683F84"/>
    <w:rsid w:val="006A1AA6"/>
    <w:rsid w:val="006A6A81"/>
    <w:rsid w:val="006F7393"/>
    <w:rsid w:val="0070224F"/>
    <w:rsid w:val="007115F7"/>
    <w:rsid w:val="00736B16"/>
    <w:rsid w:val="00785689"/>
    <w:rsid w:val="007969D4"/>
    <w:rsid w:val="0079754B"/>
    <w:rsid w:val="007A1E6D"/>
    <w:rsid w:val="007B0EB2"/>
    <w:rsid w:val="007D606B"/>
    <w:rsid w:val="007E334D"/>
    <w:rsid w:val="00810B6F"/>
    <w:rsid w:val="00822CE0"/>
    <w:rsid w:val="00833EC9"/>
    <w:rsid w:val="00841AB1"/>
    <w:rsid w:val="0085736F"/>
    <w:rsid w:val="008C68F1"/>
    <w:rsid w:val="00921803"/>
    <w:rsid w:val="00926503"/>
    <w:rsid w:val="009726D8"/>
    <w:rsid w:val="0097662D"/>
    <w:rsid w:val="009C12DB"/>
    <w:rsid w:val="009D7308"/>
    <w:rsid w:val="009F76DB"/>
    <w:rsid w:val="00A32C3B"/>
    <w:rsid w:val="00A45F4F"/>
    <w:rsid w:val="00A600A9"/>
    <w:rsid w:val="00AA55B7"/>
    <w:rsid w:val="00AA5B9E"/>
    <w:rsid w:val="00AB2407"/>
    <w:rsid w:val="00AB53DF"/>
    <w:rsid w:val="00B07E5C"/>
    <w:rsid w:val="00B27EE2"/>
    <w:rsid w:val="00B51FD5"/>
    <w:rsid w:val="00B811F7"/>
    <w:rsid w:val="00B96354"/>
    <w:rsid w:val="00BA5DC6"/>
    <w:rsid w:val="00BA6196"/>
    <w:rsid w:val="00BC6D8C"/>
    <w:rsid w:val="00C34006"/>
    <w:rsid w:val="00C36B4C"/>
    <w:rsid w:val="00C426B1"/>
    <w:rsid w:val="00C47B88"/>
    <w:rsid w:val="00C6170C"/>
    <w:rsid w:val="00C66160"/>
    <w:rsid w:val="00C721AC"/>
    <w:rsid w:val="00C90D6A"/>
    <w:rsid w:val="00CA247E"/>
    <w:rsid w:val="00CA6D21"/>
    <w:rsid w:val="00CC72B6"/>
    <w:rsid w:val="00D0218D"/>
    <w:rsid w:val="00D25FB5"/>
    <w:rsid w:val="00D44223"/>
    <w:rsid w:val="00DA2529"/>
    <w:rsid w:val="00DB130A"/>
    <w:rsid w:val="00DB2EBB"/>
    <w:rsid w:val="00DB4147"/>
    <w:rsid w:val="00DC10A1"/>
    <w:rsid w:val="00DC655F"/>
    <w:rsid w:val="00DD0B59"/>
    <w:rsid w:val="00DD7EBD"/>
    <w:rsid w:val="00DF62B6"/>
    <w:rsid w:val="00E07225"/>
    <w:rsid w:val="00E5409F"/>
    <w:rsid w:val="00EE6488"/>
    <w:rsid w:val="00F021FA"/>
    <w:rsid w:val="00F30B13"/>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E72254"/>
  <w15:chartTrackingRefBased/>
  <w15:docId w15:val="{83A3C6BA-2F99-4144-BA43-59BD6DD6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5E618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table" w:styleId="TableGrid">
    <w:name w:val="Table Grid"/>
    <w:basedOn w:val="TableNormal"/>
    <w:rsid w:val="005E6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5E6181"/>
  </w:style>
  <w:style w:type="paragraph" w:styleId="ListParagraph">
    <w:name w:val="List Paragraph"/>
    <w:basedOn w:val="Normal"/>
    <w:uiPriority w:val="34"/>
    <w:qFormat/>
    <w:rsid w:val="005E6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ing/1051284318481" TargetMode="External" /><Relationship Id="rId2" Type="http://schemas.openxmlformats.org/officeDocument/2006/relationships/hyperlink" Target="https://www.fcc.gov/ecfs/filing/10910058507877" TargetMode="External" /><Relationship Id="rId3" Type="http://schemas.openxmlformats.org/officeDocument/2006/relationships/hyperlink" Target="https://www.fcc.gov/ecfs/filing/10150037126927"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