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756DA" w:rsidRPr="00947B4D" w:rsidP="004756DA" w14:paraId="12D6F966" w14:textId="77777777">
      <w:pPr>
        <w:jc w:val="center"/>
        <w:rPr>
          <w:b/>
          <w:szCs w:val="22"/>
        </w:rPr>
      </w:pPr>
      <w:r w:rsidRPr="00947B4D">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167B201F">
            <w:pPr>
              <w:ind w:right="-18"/>
              <w:rPr>
                <w:b/>
                <w:szCs w:val="22"/>
              </w:rPr>
            </w:pPr>
            <w:r>
              <w:rPr>
                <w:b/>
                <w:szCs w:val="22"/>
              </w:rPr>
              <w:t>Seventh Generation Media S</w:t>
            </w:r>
            <w:r w:rsidR="00C62643">
              <w:rPr>
                <w:b/>
                <w:szCs w:val="22"/>
              </w:rPr>
              <w:t>er</w:t>
            </w:r>
            <w:r>
              <w:rPr>
                <w:b/>
                <w:szCs w:val="22"/>
              </w:rPr>
              <w:t>v</w:t>
            </w:r>
            <w:r w:rsidR="00C62643">
              <w:rPr>
                <w:b/>
                <w:szCs w:val="22"/>
              </w:rPr>
              <w:t>i</w:t>
            </w:r>
            <w:r>
              <w:rPr>
                <w:b/>
                <w:szCs w:val="22"/>
              </w:rPr>
              <w:t>c</w:t>
            </w:r>
            <w:r w:rsidR="00C62643">
              <w:rPr>
                <w:b/>
                <w:szCs w:val="22"/>
              </w:rPr>
              <w:t>e</w:t>
            </w:r>
            <w:r>
              <w:rPr>
                <w:b/>
                <w:szCs w:val="22"/>
              </w:rPr>
              <w:t>s, Inc.</w:t>
            </w:r>
            <w:r w:rsidR="00C62643">
              <w:rPr>
                <w:b/>
                <w:szCs w:val="22"/>
              </w:rPr>
              <w:t xml:space="preserve">   </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78032A47">
            <w:pPr>
              <w:ind w:right="-18"/>
              <w:rPr>
                <w:szCs w:val="22"/>
              </w:rPr>
            </w:pPr>
            <w:r>
              <w:rPr>
                <w:szCs w:val="22"/>
              </w:rPr>
              <w:t xml:space="preserve">Station </w:t>
            </w:r>
            <w:r w:rsidR="007E2199">
              <w:rPr>
                <w:szCs w:val="22"/>
              </w:rPr>
              <w:t>K</w:t>
            </w:r>
            <w:r w:rsidR="00C62643">
              <w:rPr>
                <w:szCs w:val="22"/>
              </w:rPr>
              <w:t>LND</w:t>
            </w:r>
            <w:r w:rsidR="007E2199">
              <w:rPr>
                <w:szCs w:val="22"/>
              </w:rPr>
              <w:t>(FM)</w:t>
            </w:r>
          </w:p>
          <w:p w:rsidR="004756DA" w:rsidP="000C1190" w14:paraId="0D7A23D8" w14:textId="44F236B5">
            <w:pPr>
              <w:ind w:right="-18"/>
              <w:rPr>
                <w:szCs w:val="22"/>
              </w:rPr>
            </w:pPr>
            <w:r>
              <w:rPr>
                <w:szCs w:val="22"/>
              </w:rPr>
              <w:t>Little Eagle</w:t>
            </w:r>
            <w:r w:rsidR="007E2199">
              <w:rPr>
                <w:szCs w:val="22"/>
              </w:rPr>
              <w:t>, South Dakota</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7A0532BE">
            <w:pPr>
              <w:ind w:right="-18"/>
              <w:rPr>
                <w:b/>
                <w:szCs w:val="22"/>
              </w:rPr>
            </w:pPr>
            <w:r w:rsidRPr="00947B4D">
              <w:rPr>
                <w:szCs w:val="22"/>
              </w:rPr>
              <w:t>Facility ID N</w:t>
            </w:r>
            <w:r w:rsidRPr="00132193">
              <w:rPr>
                <w:szCs w:val="22"/>
              </w:rPr>
              <w:t>o.</w:t>
            </w:r>
            <w:r w:rsidRPr="00F04DE2" w:rsidR="006D0F55">
              <w:rPr>
                <w:szCs w:val="22"/>
              </w:rPr>
              <w:t xml:space="preserve"> </w:t>
            </w:r>
            <w:r w:rsidR="00C62643">
              <w:rPr>
                <w:szCs w:val="22"/>
              </w:rPr>
              <w:t>59762</w:t>
            </w:r>
          </w:p>
          <w:p w:rsidR="00252B2F" w:rsidRPr="00252B2F" w:rsidP="00252B2F" w14:paraId="547170C2" w14:textId="6503DEDC">
            <w:pPr>
              <w:rPr>
                <w:szCs w:val="22"/>
              </w:rPr>
            </w:pPr>
            <w:r w:rsidRPr="00124FB3">
              <w:rPr>
                <w:szCs w:val="22"/>
              </w:rPr>
              <w:t>NAL/Acct. No.</w:t>
            </w:r>
            <w:r w:rsidRPr="00124FB3" w:rsidR="00B7104D">
              <w:rPr>
                <w:szCs w:val="22"/>
              </w:rPr>
              <w:t xml:space="preserve"> </w:t>
            </w:r>
            <w:r w:rsidRPr="008D4AD7" w:rsidR="007D6335">
              <w:t>MB-</w:t>
            </w:r>
            <w:r w:rsidRPr="008D4AD7" w:rsidR="00DF1523">
              <w:t xml:space="preserve"> 202141410</w:t>
            </w:r>
            <w:r w:rsidRPr="007E2199" w:rsidR="00DF1523">
              <w:t>0</w:t>
            </w:r>
            <w:r w:rsidR="006C22BA">
              <w:t>54</w:t>
            </w:r>
          </w:p>
          <w:p w:rsidR="004756DA" w:rsidRPr="00124FB3" w:rsidP="000C1190" w14:paraId="1EFFAD7A" w14:textId="48D72D92">
            <w:pPr>
              <w:rPr>
                <w:szCs w:val="22"/>
              </w:rPr>
            </w:pPr>
            <w:r w:rsidRPr="00124FB3">
              <w:rPr>
                <w:szCs w:val="22"/>
              </w:rPr>
              <w:t>FRN:</w:t>
            </w:r>
            <w:r w:rsidRPr="00124FB3" w:rsidR="00E1189A">
              <w:rPr>
                <w:szCs w:val="22"/>
              </w:rPr>
              <w:t xml:space="preserve"> </w:t>
            </w:r>
            <w:r w:rsidR="00C62643">
              <w:rPr>
                <w:szCs w:val="22"/>
              </w:rPr>
              <w:t>0030704381</w:t>
            </w:r>
          </w:p>
          <w:p w:rsidR="004756DA" w:rsidRPr="00947B4D" w:rsidP="000C1190" w14:paraId="51AEE37B" w14:textId="68D16226">
            <w:pPr>
              <w:rPr>
                <w:szCs w:val="22"/>
              </w:rPr>
            </w:pPr>
            <w:r>
              <w:rPr>
                <w:szCs w:val="22"/>
              </w:rPr>
              <w:t>File No.</w:t>
            </w:r>
            <w:r w:rsidR="008E17CE">
              <w:rPr>
                <w:szCs w:val="22"/>
              </w:rPr>
              <w:t xml:space="preserve"> </w:t>
            </w:r>
            <w:r w:rsidRPr="00F007E1" w:rsidR="00F007E1">
              <w:rPr>
                <w:szCs w:val="22"/>
              </w:rPr>
              <w:t>0000</w:t>
            </w:r>
            <w:r w:rsidR="00C62643">
              <w:rPr>
                <w:szCs w:val="22"/>
              </w:rPr>
              <w:t>140558</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34DC9C19">
      <w:pPr>
        <w:tabs>
          <w:tab w:val="left" w:pos="5760"/>
        </w:tabs>
        <w:rPr>
          <w:b/>
          <w:szCs w:val="22"/>
        </w:rPr>
      </w:pPr>
      <w:r>
        <w:rPr>
          <w:b/>
          <w:szCs w:val="22"/>
        </w:rPr>
        <w:t xml:space="preserve">Adopted:  </w:t>
      </w:r>
      <w:r w:rsidR="006C22BA">
        <w:rPr>
          <w:b/>
          <w:szCs w:val="22"/>
        </w:rPr>
        <w:t>October 28, 2021</w:t>
      </w:r>
      <w:r>
        <w:rPr>
          <w:b/>
          <w:szCs w:val="22"/>
        </w:rPr>
        <w:tab/>
      </w:r>
      <w:r w:rsidR="006C22BA">
        <w:rPr>
          <w:b/>
          <w:szCs w:val="22"/>
        </w:rPr>
        <w:tab/>
      </w:r>
      <w:r>
        <w:rPr>
          <w:b/>
          <w:szCs w:val="22"/>
        </w:rPr>
        <w:t xml:space="preserve">Released:  </w:t>
      </w:r>
      <w:r w:rsidR="006C22BA">
        <w:rPr>
          <w:b/>
          <w:szCs w:val="22"/>
        </w:rPr>
        <w:t>October 28,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71B100F1">
      <w:pPr>
        <w:pStyle w:val="ParaNum"/>
        <w:rPr>
          <w:szCs w:val="22"/>
        </w:rPr>
      </w:pPr>
      <w:r>
        <w:t>The Media Bureau (Bureau) has before it the application (Application)</w:t>
      </w:r>
      <w:r>
        <w:rPr>
          <w:rStyle w:val="FootnoteReference"/>
        </w:rPr>
        <w:footnoteReference w:id="2"/>
      </w:r>
      <w:r>
        <w:t xml:space="preserve"> of </w:t>
      </w:r>
      <w:bookmarkStart w:id="0" w:name="_Hlk86307345"/>
      <w:r w:rsidR="00C62643">
        <w:t>Seventh Generation Media Services, Inc.</w:t>
      </w:r>
      <w:r w:rsidR="00FD1B33">
        <w:rPr>
          <w:bCs/>
          <w:szCs w:val="22"/>
        </w:rPr>
        <w:t xml:space="preserve"> </w:t>
      </w:r>
      <w:bookmarkEnd w:id="0"/>
      <w:r>
        <w:t>(Licensee)</w:t>
      </w:r>
      <w:r w:rsidR="00CE7156">
        <w:t>,</w:t>
      </w:r>
      <w:r>
        <w:t xml:space="preserve"> for renewal of license for </w:t>
      </w:r>
      <w:r w:rsidR="00546F95">
        <w:rPr>
          <w:szCs w:val="22"/>
        </w:rPr>
        <w:t xml:space="preserve">Station </w:t>
      </w:r>
      <w:r w:rsidR="00C62643">
        <w:rPr>
          <w:szCs w:val="22"/>
        </w:rPr>
        <w:t>KLND</w:t>
      </w:r>
      <w:r w:rsidR="007E2199">
        <w:rPr>
          <w:szCs w:val="22"/>
        </w:rPr>
        <w:t xml:space="preserve">(FM), </w:t>
      </w:r>
      <w:r w:rsidR="00C62643">
        <w:rPr>
          <w:szCs w:val="22"/>
        </w:rPr>
        <w:t>Little Eagle</w:t>
      </w:r>
      <w:r w:rsidR="007E2199">
        <w:rPr>
          <w:szCs w:val="22"/>
        </w:rPr>
        <w:t>, South Dakota</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305B425B">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801DA1" w:rsidR="00801DA1">
        <w:t xml:space="preserve">An application for renewal of the Station’s license should have been filed by </w:t>
      </w:r>
      <w:r w:rsidR="007E2199">
        <w:t>December 1, 2020</w:t>
      </w:r>
      <w:r w:rsidRPr="00801DA1" w:rsidR="00801DA1">
        <w:t xml:space="preserve">, the first business day of the fourth full calendar month prior to the Station’s </w:t>
      </w:r>
      <w:r w:rsidR="007E2199">
        <w:t>April 1, 2021</w:t>
      </w:r>
      <w:r w:rsidRPr="00801DA1" w:rsidR="00801DA1">
        <w:t>, license expiration date.</w:t>
      </w:r>
      <w:r>
        <w:rPr>
          <w:vertAlign w:val="superscript"/>
        </w:rPr>
        <w:footnoteReference w:id="6"/>
      </w:r>
      <w:r w:rsidRPr="00801DA1" w:rsidR="00801DA1">
        <w:t xml:space="preserve">  </w:t>
      </w:r>
      <w:r w:rsidRPr="00640B56" w:rsidR="00A205B5">
        <w:t xml:space="preserve">The </w:t>
      </w:r>
      <w:r w:rsidRPr="00640B56">
        <w:t>A</w:t>
      </w:r>
      <w:r w:rsidRPr="00640B56" w:rsidR="00A205B5">
        <w:t xml:space="preserve">pplication was not filed </w:t>
      </w:r>
      <w:r w:rsidR="00801DA1">
        <w:t xml:space="preserve">until </w:t>
      </w:r>
      <w:r w:rsidR="00C62643">
        <w:t>March 22</w:t>
      </w:r>
      <w:r w:rsidRPr="00640B56" w:rsidR="0061162E">
        <w:t>, 202</w:t>
      </w:r>
      <w:r w:rsidR="0087705C">
        <w:t>1</w:t>
      </w:r>
      <w:r w:rsidRPr="00640B56" w:rsidR="00A205B5">
        <w:t>.</w:t>
      </w:r>
      <w:r w:rsidRPr="00640B56" w:rsidR="000725CB">
        <w:t xml:space="preserve">  </w:t>
      </w:r>
      <w:r w:rsidRPr="00640B56" w:rsidR="00A205B5">
        <w:t>The Licensee</w:t>
      </w:r>
      <w:r w:rsidR="00A205B5">
        <w:t xml:space="preserve"> </w:t>
      </w:r>
      <w:r w:rsidR="00C62643">
        <w:t xml:space="preserve">states that the previous manager quit her position and </w:t>
      </w:r>
      <w:r w:rsidR="00A65E43">
        <w:t>the current manager “was unaware of certain passwords and policies</w:t>
      </w:r>
      <w:r w:rsidR="001812B0">
        <w:t>.</w:t>
      </w:r>
      <w:r w:rsidR="00A65E43">
        <w:t>”</w:t>
      </w:r>
      <w:r>
        <w:rPr>
          <w:rStyle w:val="FootnoteReference"/>
        </w:rPr>
        <w:footnoteReference w:id="7"/>
      </w:r>
      <w:r w:rsidR="00A205B5">
        <w:t xml:space="preserve">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w:t>
      </w:r>
      <w:r w:rsidRPr="003D204D" w:rsidR="00CE7156">
        <w:rPr>
          <w:rFonts w:eastAsia="SimSun"/>
        </w:rPr>
        <w:t>provision of the Act or any rule, regulation, or order issued by the Commission shall be liable to the United States for a forfeiture penalty.</w:t>
      </w:r>
      <w:r>
        <w:rPr>
          <w:rFonts w:eastAsia="SimSun"/>
          <w:vertAlign w:val="superscript"/>
        </w:rPr>
        <w:footnoteReference w:id="8"/>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10"/>
      </w:r>
      <w:r w:rsidRPr="003D204D" w:rsidR="00CE7156">
        <w:rPr>
          <w:rFonts w:eastAsia="SimSun"/>
        </w:rPr>
        <w:t xml:space="preserve"> and the Commission has so interpreted the term in the section 503(b) context.</w:t>
      </w:r>
      <w:r>
        <w:rPr>
          <w:rFonts w:eastAsia="SimSun"/>
          <w:vertAlign w:val="superscript"/>
        </w:rPr>
        <w:footnoteReference w:id="11"/>
      </w:r>
    </w:p>
    <w:p w:rsidR="004756DA" w:rsidRPr="00146D8A" w:rsidP="00146D8A" w14:paraId="574268F7" w14:textId="5378F7EE">
      <w:pPr>
        <w:pStyle w:val="ParaNum"/>
        <w:rPr>
          <w:szCs w:val="22"/>
        </w:rPr>
      </w:pPr>
      <w:r>
        <w:t xml:space="preserve">The Commission's </w:t>
      </w:r>
      <w:r>
        <w:rPr>
          <w:i/>
        </w:rPr>
        <w:t>Forfeiture Policy Statement</w:t>
      </w:r>
      <w:r>
        <w:t xml:space="preserve"> and </w:t>
      </w:r>
      <w:r w:rsidRPr="00A64542" w:rsidR="000725CB">
        <w:t>s</w:t>
      </w:r>
      <w:r w:rsidRPr="00A64542">
        <w:t>ection 1.80(b)(</w:t>
      </w:r>
      <w:r w:rsidR="00B15E8C">
        <w:t>10</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2"/>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3"/>
      </w:r>
    </w:p>
    <w:p w:rsidR="004756DA" w:rsidRPr="001812B0" w:rsidP="001812B0" w14:paraId="29C1B023" w14:textId="76D19D4B">
      <w:pPr>
        <w:pStyle w:val="ParaNum"/>
        <w:rPr>
          <w:szCs w:val="22"/>
        </w:rPr>
      </w:pPr>
      <w:r>
        <w:t xml:space="preserve">In this case, the Licensee failed to file a timely renewal application for the Station. </w:t>
      </w:r>
      <w:r w:rsidRPr="001812B0" w:rsidR="00A65E43">
        <w:rPr>
          <w:szCs w:val="22"/>
        </w:rPr>
        <w:t>We reject Licensee’s explanation that it was not able to timely file the Application because the current Station manager did not have the password to access the Commission’s filing database</w:t>
      </w:r>
      <w:r w:rsidRPr="001812B0" w:rsidR="001812B0">
        <w:rPr>
          <w:szCs w:val="22"/>
        </w:rPr>
        <w:t xml:space="preserve"> and that </w:t>
      </w:r>
      <w:r w:rsidR="001812B0">
        <w:rPr>
          <w:szCs w:val="22"/>
        </w:rPr>
        <w:t>the</w:t>
      </w:r>
      <w:r w:rsidRPr="001812B0" w:rsidR="001812B0">
        <w:rPr>
          <w:szCs w:val="22"/>
        </w:rPr>
        <w:t xml:space="preserve"> manager </w:t>
      </w:r>
      <w:r w:rsidR="001812B0">
        <w:rPr>
          <w:szCs w:val="22"/>
        </w:rPr>
        <w:t>was not</w:t>
      </w:r>
      <w:r w:rsidRPr="001812B0" w:rsidR="001812B0">
        <w:rPr>
          <w:szCs w:val="22"/>
        </w:rPr>
        <w:t xml:space="preserve"> familiar with the Commission’s filing requirements</w:t>
      </w:r>
      <w:r w:rsidRPr="001812B0" w:rsidR="00A65E43">
        <w:rPr>
          <w:szCs w:val="22"/>
        </w:rPr>
        <w:t xml:space="preserve">.  </w:t>
      </w:r>
      <w:r w:rsidRPr="001812B0" w:rsidR="001812B0">
        <w:rPr>
          <w:szCs w:val="22"/>
        </w:rPr>
        <w:t>The Licensee was ultimately responsible for ensuring it complied with the Commission’s Rules by filing a timely renewal application.</w:t>
      </w:r>
      <w:r>
        <w:rPr>
          <w:rStyle w:val="FootnoteReference"/>
          <w:szCs w:val="22"/>
        </w:rPr>
        <w:footnoteReference w:id="14"/>
      </w:r>
      <w:r w:rsidRPr="001812B0" w:rsidR="001812B0">
        <w:rPr>
          <w:szCs w:val="22"/>
        </w:rPr>
        <w:t xml:space="preserve">  </w:t>
      </w:r>
      <w:r w:rsidRPr="001812B0" w:rsidR="001812B0">
        <w:rPr>
          <w:szCs w:val="22"/>
          <w:shd w:val="clear" w:color="auto" w:fill="FFFFFF"/>
        </w:rPr>
        <w:t xml:space="preserve">The Commission has been clear that </w:t>
      </w:r>
      <w:r w:rsidRPr="001812B0" w:rsidR="001812B0">
        <w:rPr>
          <w:rStyle w:val="cosearchterm"/>
          <w:szCs w:val="22"/>
          <w:bdr w:val="none" w:sz="0" w:space="0" w:color="auto" w:frame="1"/>
        </w:rPr>
        <w:t>ignorance</w:t>
      </w:r>
      <w:r w:rsidRPr="001812B0" w:rsidR="001812B0">
        <w:rPr>
          <w:szCs w:val="22"/>
          <w:shd w:val="clear" w:color="auto" w:fill="FFFFFF"/>
        </w:rPr>
        <w:t> of the </w:t>
      </w:r>
      <w:r w:rsidRPr="001812B0" w:rsidR="001812B0">
        <w:rPr>
          <w:rStyle w:val="cosearchterm"/>
          <w:szCs w:val="22"/>
          <w:bdr w:val="none" w:sz="0" w:space="0" w:color="auto" w:frame="1"/>
        </w:rPr>
        <w:t>law</w:t>
      </w:r>
      <w:r w:rsidRPr="001812B0" w:rsidR="001812B0">
        <w:rPr>
          <w:szCs w:val="22"/>
          <w:shd w:val="clear" w:color="auto" w:fill="FFFFFF"/>
        </w:rPr>
        <w:t> is not an excuse for failure to comply with Commission rules and regulations</w:t>
      </w:r>
      <w:bookmarkStart w:id="1" w:name="co_tablefootnote_10_1"/>
      <w:bookmarkEnd w:id="1"/>
      <w:r w:rsidRPr="001812B0" w:rsidR="001812B0">
        <w:rPr>
          <w:szCs w:val="22"/>
          <w:shd w:val="clear" w:color="auto" w:fill="FFFFFF"/>
        </w:rPr>
        <w:t>,</w:t>
      </w:r>
      <w:r>
        <w:rPr>
          <w:szCs w:val="22"/>
          <w:shd w:val="clear" w:color="auto" w:fill="FFFFFF"/>
          <w:vertAlign w:val="superscript"/>
        </w:rPr>
        <w:footnoteReference w:id="15"/>
      </w:r>
      <w:r w:rsidRPr="001812B0" w:rsidR="001812B0">
        <w:rPr>
          <w:szCs w:val="22"/>
          <w:shd w:val="clear" w:color="auto" w:fill="FFFFFF"/>
        </w:rPr>
        <w:t xml:space="preserve"> </w:t>
      </w:r>
      <w:r w:rsidRPr="001812B0" w:rsidR="005A7AEB">
        <w:rPr>
          <w:szCs w:val="22"/>
        </w:rPr>
        <w:t>and we have held that loss of a database password does not excuse an untimely filing.</w:t>
      </w:r>
      <w:r>
        <w:rPr>
          <w:rStyle w:val="FootnoteReference"/>
          <w:szCs w:val="22"/>
        </w:rPr>
        <w:footnoteReference w:id="16"/>
      </w:r>
      <w:r w:rsidRPr="001812B0" w:rsidR="001812B0">
        <w:rPr>
          <w:szCs w:val="22"/>
        </w:rPr>
        <w:t xml:space="preserve"> </w:t>
      </w:r>
      <w:r w:rsidR="00367118">
        <w:rPr>
          <w:szCs w:val="22"/>
        </w:rPr>
        <w:t xml:space="preserve">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sidRPr="001812B0">
        <w:rPr>
          <w:szCs w:val="22"/>
        </w:rPr>
        <w:t xml:space="preserve">Taking into consideration all of the factors required by </w:t>
      </w:r>
      <w:r w:rsidRPr="001812B0" w:rsidR="004450EA">
        <w:rPr>
          <w:szCs w:val="22"/>
        </w:rPr>
        <w:t>s</w:t>
      </w:r>
      <w:r w:rsidRPr="001812B0">
        <w:rPr>
          <w:szCs w:val="22"/>
        </w:rPr>
        <w:t>ection 503(b)(2)(</w:t>
      </w:r>
      <w:r w:rsidRPr="001812B0" w:rsidR="000027A9">
        <w:rPr>
          <w:szCs w:val="22"/>
        </w:rPr>
        <w:t>E</w:t>
      </w:r>
      <w:r w:rsidRPr="001812B0">
        <w:rPr>
          <w:szCs w:val="22"/>
        </w:rPr>
        <w:t xml:space="preserve">) of the Act and the </w:t>
      </w:r>
      <w:r w:rsidRPr="001812B0">
        <w:rPr>
          <w:i/>
          <w:szCs w:val="22"/>
        </w:rPr>
        <w:t>Forfeiture Policy Statement</w:t>
      </w:r>
      <w:r w:rsidRPr="001812B0">
        <w:rPr>
          <w:szCs w:val="22"/>
        </w:rPr>
        <w:t xml:space="preserve">, we </w:t>
      </w:r>
      <w:r w:rsidRPr="001812B0" w:rsidR="0070595C">
        <w:rPr>
          <w:szCs w:val="22"/>
        </w:rPr>
        <w:t xml:space="preserve">propose </w:t>
      </w:r>
      <w:r w:rsidRPr="001812B0" w:rsidR="00B21D6D">
        <w:rPr>
          <w:szCs w:val="22"/>
        </w:rPr>
        <w:t xml:space="preserve">the full </w:t>
      </w:r>
      <w:r w:rsidR="002D79BF">
        <w:t xml:space="preserve">amount of three thousand dollars </w:t>
      </w:r>
      <w:r w:rsidRPr="001812B0" w:rsidR="00B21D6D">
        <w:rPr>
          <w:szCs w:val="22"/>
        </w:rPr>
        <w:t>for the</w:t>
      </w:r>
      <w:r w:rsidRPr="001812B0" w:rsidR="002D79BF">
        <w:rPr>
          <w:szCs w:val="22"/>
        </w:rPr>
        <w:t xml:space="preserve"> Licensee’s</w:t>
      </w:r>
      <w:r w:rsidRPr="001812B0" w:rsidR="00B21D6D">
        <w:rPr>
          <w:szCs w:val="22"/>
        </w:rPr>
        <w:t xml:space="preserve"> failure to file a timely renewal</w:t>
      </w:r>
      <w:r w:rsidRPr="001812B0" w:rsidR="002D79BF">
        <w:rPr>
          <w:szCs w:val="22"/>
        </w:rPr>
        <w:t xml:space="preserve"> application</w:t>
      </w:r>
      <w:r w:rsidRPr="001812B0">
        <w:rPr>
          <w:szCs w:val="22"/>
        </w:rPr>
        <w:t>.</w:t>
      </w:r>
    </w:p>
    <w:p w:rsidR="004756DA" w:rsidP="001812B0" w14:paraId="068EF17B" w14:textId="77777777">
      <w:pPr>
        <w:pStyle w:val="ParaNum"/>
        <w:widowControl/>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7"/>
      </w:r>
      <w:r w:rsidRPr="005F5ACF">
        <w:t xml:space="preserve">  That section provides that if, upon </w:t>
      </w:r>
      <w:r w:rsidRPr="005F5ACF">
        <w:t>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8"/>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9"/>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20"/>
      </w:r>
      <w:r w:rsidRPr="005F5ACF">
        <w:t xml:space="preserve">  </w:t>
      </w:r>
      <w:r w:rsidRPr="005F5ACF">
        <w:rPr>
          <w:spacing w:val="-2"/>
        </w:rPr>
        <w:t xml:space="preserve">Further, </w:t>
      </w:r>
      <w:r>
        <w:rPr>
          <w:spacing w:val="-2"/>
        </w:rPr>
        <w:t xml:space="preserve">based on 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6982849D">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21"/>
      </w:r>
      <w:r w:rsidRPr="00344EC6" w:rsidR="00344EC6">
        <w:t xml:space="preserve"> </w:t>
      </w:r>
      <w:r w:rsidRPr="00021C4D">
        <w:t>that</w:t>
      </w:r>
      <w:r w:rsidRPr="00021C4D" w:rsidR="002C7A8A">
        <w:t xml:space="preserve"> </w:t>
      </w:r>
      <w:r w:rsidR="00C62643">
        <w:t xml:space="preserve">Seventh Generation Media Services, Inc., </w:t>
      </w:r>
      <w:r w:rsidRPr="00021C4D">
        <w:t xml:space="preserve">is hereby </w:t>
      </w:r>
      <w:r w:rsidRPr="00594F74">
        <w:rPr>
          <w:b/>
          <w:bCs/>
        </w:rPr>
        <w:t xml:space="preserve">NOTIFIED </w:t>
      </w:r>
      <w:r w:rsidRPr="00021C4D">
        <w:t xml:space="preserve">of its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its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22"/>
      </w:r>
    </w:p>
    <w:p w:rsidR="004756DA" w:rsidRPr="00021C4D" w:rsidP="00146D8A" w14:paraId="36C84EFA" w14:textId="1832C031">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w:t>
      </w:r>
      <w:r w:rsidR="0087705C">
        <w:t xml:space="preserve">, </w:t>
      </w:r>
      <w:r w:rsidR="00C62643">
        <w:t xml:space="preserve">Seventh Generation Media Services, Inc.,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23"/>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4"/>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 xml:space="preserve">on the same business day the wire transfer is initiated.  Failure to </w:t>
      </w:r>
      <w:r w:rsidRPr="00021C4D">
        <w:t>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5"/>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6AE6D718">
      <w:pPr>
        <w:pStyle w:val="ParaNum"/>
      </w:pPr>
      <w:bookmarkStart w:id="2" w:name="_Hlk66094492"/>
      <w:r w:rsidRPr="00264220">
        <w:t xml:space="preserve">Any request for making full payment over time under an installment plan should be sent to:  </w:t>
      </w:r>
      <w:r w:rsidR="00471546">
        <w:t>Revenue and Receivables Operations Group</w:t>
      </w:r>
      <w:r w:rsidRPr="00264220">
        <w:t xml:space="preserve">—Financial Operations, Federal Communications Commission, </w:t>
      </w:r>
      <w:r w:rsidR="002C7A8A">
        <w:t>45 L Street NE</w:t>
      </w:r>
      <w:r w:rsidRPr="00264220">
        <w:t>, Washington, DC 20554</w:t>
      </w:r>
      <w:r w:rsidR="00471546">
        <w:t xml:space="preserve">, </w:t>
      </w:r>
      <w:r w:rsidRPr="00264220" w:rsidR="00471546">
        <w:t xml:space="preserve">or by e-mail, </w:t>
      </w:r>
      <w:hyperlink r:id="rId8" w:history="1">
        <w:r w:rsidRPr="00264220" w:rsidR="00471546">
          <w:rPr>
            <w:rStyle w:val="Hyperlink"/>
          </w:rPr>
          <w:t>ARINQUIRIES@fcc.gov</w:t>
        </w:r>
      </w:hyperlink>
      <w:r w:rsidRPr="00264220">
        <w:t>.</w:t>
      </w:r>
      <w:r>
        <w:rPr>
          <w:vertAlign w:val="superscript"/>
        </w:rPr>
        <w:footnoteReference w:id="26"/>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1F33FE3B">
      <w:pPr>
        <w:pStyle w:val="ParaNum"/>
      </w:pPr>
      <w:bookmarkStart w:id="3" w:name="_Hlk63766981"/>
      <w:bookmarkEnd w:id="2"/>
      <w:r w:rsidRPr="00DF1523">
        <w:t>Any written response seeking reduction or cancellation of the proposed forfeiture must include a detailed factual statement supported by appropriate documentation and affidavits pursuant to sections 1.16 and 1.80(</w:t>
      </w:r>
      <w:r w:rsidR="00B15E8C">
        <w:t>g</w:t>
      </w:r>
      <w:r w:rsidRPr="00DF1523">
        <w:t>)(3) of the Commission’s rules.</w:t>
      </w:r>
      <w:r>
        <w:rPr>
          <w:vertAlign w:val="superscript"/>
        </w:rPr>
        <w:footnoteReference w:id="27"/>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4"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8"/>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3"/>
    <w:bookmarkEnd w:id="4"/>
    <w:p w:rsidR="008D4F70" w:rsidRPr="00146D8A" w:rsidP="00146D8A" w14:paraId="667EA44F" w14:textId="1A294A6F">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5" w:name="_Hlk63767062"/>
      <w:r w:rsidRPr="00344EC6" w:rsidR="00344EC6">
        <w:t>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29"/>
      </w:r>
      <w:r w:rsidRPr="00344EC6" w:rsidR="00344EC6">
        <w:t xml:space="preserve">  </w:t>
      </w:r>
      <w:bookmarkEnd w:id="5"/>
    </w:p>
    <w:p w:rsidR="0035532C" w:rsidP="005366D1" w14:paraId="005FC383" w14:textId="48667E4D">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E031FC">
        <w:t xml:space="preserve"> </w:t>
      </w:r>
      <w:r w:rsidR="00C62643">
        <w:t>Seventh Generation Media Services, Inc.</w:t>
      </w:r>
      <w:r w:rsidR="00B15E8C">
        <w:t xml:space="preserve">, c/o </w:t>
      </w:r>
      <w:r w:rsidR="00C62643">
        <w:t xml:space="preserve">John </w:t>
      </w:r>
      <w:r w:rsidR="00C62643">
        <w:t>BraveBull</w:t>
      </w:r>
      <w:r w:rsidR="00C62643">
        <w:t>, 11420 SD Highway 63, McLaughlin, SD 57642</w:t>
      </w:r>
      <w:r w:rsidR="0087705C">
        <w:t>.</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091816A9">
      <w:pPr>
        <w:pStyle w:val="FootnoteText"/>
      </w:pPr>
      <w:r w:rsidRPr="000725CB">
        <w:rPr>
          <w:rStyle w:val="FootnoteReference"/>
        </w:rPr>
        <w:footnoteRef/>
      </w:r>
      <w:r w:rsidRPr="000725CB">
        <w:t xml:space="preserve"> File No. </w:t>
      </w:r>
      <w:r w:rsidR="00A65E43">
        <w:t>0000140558</w:t>
      </w:r>
      <w:r w:rsidR="00FD1B33">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801DA1" w:rsidRPr="00FF7A3C" w:rsidP="00801DA1" w14:paraId="336A4FB4"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7">
    <w:p w:rsidR="00A65E43" w14:paraId="65D82B82" w14:textId="17725431">
      <w:pPr>
        <w:pStyle w:val="FootnoteText"/>
      </w:pPr>
      <w:r>
        <w:rPr>
          <w:rStyle w:val="FootnoteReference"/>
        </w:rPr>
        <w:footnoteRef/>
      </w:r>
      <w:r>
        <w:t xml:space="preserve"> Application at Attach. Renewal Certification.</w:t>
      </w:r>
    </w:p>
  </w:footnote>
  <w:footnote w:id="8">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10">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344EC6">
        <w:t xml:space="preserve">Memorandum Opinion and Order, </w:t>
      </w:r>
      <w:r w:rsidRPr="00D64E57">
        <w:t>7 FCC Rcd 3454 (1992</w:t>
      </w:r>
      <w:r w:rsidRPr="00600AB4">
        <w:t>).</w:t>
      </w:r>
    </w:p>
  </w:footnote>
  <w:footnote w:id="12">
    <w:p w:rsidR="00124FB3" w:rsidP="00600AB4" w14:paraId="2D9F5C7D" w14:textId="213462D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w:t>
      </w:r>
      <w:r w:rsidR="00CC765A">
        <w:rPr>
          <w:sz w:val="20"/>
        </w:rPr>
        <w:t xml:space="preserve">Memorandum Opinion and Order, </w:t>
      </w:r>
      <w:r>
        <w:rPr>
          <w:sz w:val="20"/>
        </w:rPr>
        <w:t>15 FCC Rcd 303 (</w:t>
      </w:r>
      <w:r w:rsidRPr="00496BFA">
        <w:rPr>
          <w:sz w:val="20"/>
        </w:rPr>
        <w:t>1999); 47 CFR § 1.80(b)(</w:t>
      </w:r>
      <w:r w:rsidR="00B15E8C">
        <w:rPr>
          <w:sz w:val="20"/>
        </w:rPr>
        <w:t>10</w:t>
      </w:r>
      <w:r w:rsidRPr="00496BFA">
        <w:rPr>
          <w:sz w:val="20"/>
        </w:rPr>
        <w:t>), note to paragraph (b)(</w:t>
      </w:r>
      <w:r w:rsidR="00B15E8C">
        <w:rPr>
          <w:sz w:val="20"/>
        </w:rPr>
        <w:t>10</w:t>
      </w:r>
      <w:r w:rsidRPr="00496BFA">
        <w:rPr>
          <w:sz w:val="20"/>
        </w:rPr>
        <w:t>), Section I.</w:t>
      </w:r>
    </w:p>
  </w:footnote>
  <w:footnote w:id="13">
    <w:p w:rsidR="00124FB3" w:rsidRPr="00D423B0" w:rsidP="00600AB4" w14:paraId="55ABFE1A" w14:textId="7015FF58">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B15E8C">
        <w:t>10</w:t>
      </w:r>
      <w:r>
        <w:t xml:space="preserve">). </w:t>
      </w:r>
    </w:p>
  </w:footnote>
  <w:footnote w:id="14">
    <w:p w:rsidR="001812B0" w:rsidP="001812B0" w14:paraId="197C2831" w14:textId="77777777">
      <w:pPr>
        <w:pStyle w:val="FootnoteText"/>
      </w:pPr>
      <w:r>
        <w:rPr>
          <w:rStyle w:val="FootnoteReference"/>
        </w:rPr>
        <w:footnoteRef/>
      </w:r>
      <w:r>
        <w:t xml:space="preserve"> </w:t>
      </w:r>
      <w:r w:rsidRPr="005A7AEB">
        <w:rPr>
          <w:i/>
          <w:iCs/>
        </w:rPr>
        <w:t>See, e.g.</w:t>
      </w:r>
      <w:r>
        <w:t xml:space="preserve">, </w:t>
      </w:r>
      <w:r w:rsidRPr="005A7AEB">
        <w:rPr>
          <w:i/>
          <w:iCs/>
        </w:rPr>
        <w:t>Educational Media Foundation</w:t>
      </w:r>
      <w:r>
        <w:t xml:space="preserve">, Letter Order, 23 FCC </w:t>
      </w:r>
      <w:r>
        <w:t>Rcd</w:t>
      </w:r>
      <w:r>
        <w:t xml:space="preserve"> 15366 (MB 2008) (citing </w:t>
      </w:r>
      <w:r w:rsidRPr="005A7AEB">
        <w:rPr>
          <w:i/>
          <w:iCs/>
        </w:rPr>
        <w:t>Center City Schools</w:t>
      </w:r>
      <w:r>
        <w:t xml:space="preserve">, Order, 17 FCC </w:t>
      </w:r>
      <w:r>
        <w:t>Rcd</w:t>
      </w:r>
      <w:r>
        <w:t xml:space="preserve"> 22424, para. 6 (WCB 2003) (“it is the applicant who has responsibility ultimately for the timely submission of the application.”).</w:t>
      </w:r>
    </w:p>
  </w:footnote>
  <w:footnote w:id="15">
    <w:p w:rsidR="001812B0" w:rsidRPr="00D27175" w:rsidP="001812B0" w14:paraId="19AAD162" w14:textId="5BEB260C">
      <w:pPr>
        <w:pStyle w:val="FootnoteText"/>
      </w:pPr>
      <w:r w:rsidRPr="00D27175">
        <w:rPr>
          <w:rStyle w:val="FootnoteReference"/>
        </w:rPr>
        <w:footnoteRef/>
      </w:r>
      <w:r w:rsidRPr="00D27175">
        <w:t xml:space="preserve"> </w:t>
      </w:r>
      <w:r w:rsidRPr="00D27175">
        <w:rPr>
          <w:rStyle w:val="Emphasis"/>
          <w:bdr w:val="none" w:sz="0" w:space="0" w:color="auto" w:frame="1"/>
          <w:shd w:val="clear" w:color="auto" w:fill="FFFFFF"/>
        </w:rPr>
        <w:t>Whidbey Island Center for the Arts</w:t>
      </w:r>
      <w:r w:rsidRPr="001812B0">
        <w:rPr>
          <w:rStyle w:val="Emphasis"/>
          <w:i w:val="0"/>
          <w:iCs w:val="0"/>
          <w:bdr w:val="none" w:sz="0" w:space="0" w:color="auto" w:frame="1"/>
          <w:shd w:val="clear" w:color="auto" w:fill="FFFFFF"/>
        </w:rPr>
        <w:t xml:space="preserve">, Forfeiture Order, 25 FCC </w:t>
      </w:r>
      <w:r w:rsidRPr="001812B0">
        <w:rPr>
          <w:rStyle w:val="Emphasis"/>
          <w:i w:val="0"/>
          <w:iCs w:val="0"/>
          <w:bdr w:val="none" w:sz="0" w:space="0" w:color="auto" w:frame="1"/>
          <w:shd w:val="clear" w:color="auto" w:fill="FFFFFF"/>
        </w:rPr>
        <w:t>Rcd</w:t>
      </w:r>
      <w:r w:rsidRPr="001812B0">
        <w:rPr>
          <w:rStyle w:val="Emphasis"/>
          <w:i w:val="0"/>
          <w:iCs w:val="0"/>
          <w:bdr w:val="none" w:sz="0" w:space="0" w:color="auto" w:frame="1"/>
          <w:shd w:val="clear" w:color="auto" w:fill="FFFFFF"/>
        </w:rPr>
        <w:t xml:space="preserve"> 8204 (MB 2010)</w:t>
      </w:r>
      <w:r w:rsidRPr="00D27175">
        <w:rPr>
          <w:rStyle w:val="Emphasis"/>
          <w:bdr w:val="none" w:sz="0" w:space="0" w:color="auto" w:frame="1"/>
          <w:shd w:val="clear" w:color="auto" w:fill="FFFFFF"/>
        </w:rPr>
        <w:t xml:space="preserve"> </w:t>
      </w:r>
      <w:r w:rsidRPr="001812B0">
        <w:rPr>
          <w:rStyle w:val="Emphasis"/>
          <w:i w:val="0"/>
          <w:iCs w:val="0"/>
          <w:bdr w:val="none" w:sz="0" w:space="0" w:color="auto" w:frame="1"/>
          <w:shd w:val="clear" w:color="auto" w:fill="FFFFFF"/>
        </w:rPr>
        <w:t>(citing</w:t>
      </w:r>
      <w:r w:rsidRPr="00D27175">
        <w:rPr>
          <w:rStyle w:val="Emphasis"/>
          <w:bdr w:val="none" w:sz="0" w:space="0" w:color="auto" w:frame="1"/>
          <w:shd w:val="clear" w:color="auto" w:fill="FFFFFF"/>
        </w:rPr>
        <w:t xml:space="preserve"> PJB Communications of Virginia, Inc.</w:t>
      </w:r>
      <w:r w:rsidRPr="00D27175">
        <w:rPr>
          <w:shd w:val="clear" w:color="auto" w:fill="FFFFFF"/>
        </w:rPr>
        <w:t>, Memorandum Opinion and Order, </w:t>
      </w:r>
      <w:r w:rsidRPr="00D27175">
        <w:rPr>
          <w:bdr w:val="none" w:sz="0" w:space="0" w:color="auto" w:frame="1"/>
          <w:shd w:val="clear" w:color="auto" w:fill="FFFFFF"/>
        </w:rPr>
        <w:t xml:space="preserve">7 FCC </w:t>
      </w:r>
      <w:r w:rsidRPr="00D27175">
        <w:rPr>
          <w:bdr w:val="none" w:sz="0" w:space="0" w:color="auto" w:frame="1"/>
          <w:shd w:val="clear" w:color="auto" w:fill="FFFFFF"/>
        </w:rPr>
        <w:t>Rcd</w:t>
      </w:r>
      <w:r w:rsidRPr="00D27175">
        <w:rPr>
          <w:bdr w:val="none" w:sz="0" w:space="0" w:color="auto" w:frame="1"/>
          <w:shd w:val="clear" w:color="auto" w:fill="FFFFFF"/>
        </w:rPr>
        <w:t xml:space="preserve"> 2088 (1992)</w:t>
      </w:r>
      <w:r w:rsidRPr="00D27175">
        <w:rPr>
          <w:shd w:val="clear" w:color="auto" w:fill="FFFFFF"/>
        </w:rPr>
        <w:t>; </w:t>
      </w:r>
      <w:r w:rsidRPr="00D27175">
        <w:rPr>
          <w:rStyle w:val="Emphasis"/>
          <w:bdr w:val="none" w:sz="0" w:space="0" w:color="auto" w:frame="1"/>
          <w:shd w:val="clear" w:color="auto" w:fill="FFFFFF"/>
        </w:rPr>
        <w:t>Southern California Broadcasting Co.,</w:t>
      </w:r>
      <w:r w:rsidRPr="00D27175">
        <w:rPr>
          <w:shd w:val="clear" w:color="auto" w:fill="FFFFFF"/>
        </w:rPr>
        <w:t> Memorandum Opinion and Order, </w:t>
      </w:r>
      <w:r w:rsidRPr="00D27175">
        <w:rPr>
          <w:bdr w:val="none" w:sz="0" w:space="0" w:color="auto" w:frame="1"/>
          <w:shd w:val="clear" w:color="auto" w:fill="FFFFFF"/>
        </w:rPr>
        <w:t xml:space="preserve">6 FCC </w:t>
      </w:r>
      <w:r w:rsidRPr="00D27175">
        <w:rPr>
          <w:bdr w:val="none" w:sz="0" w:space="0" w:color="auto" w:frame="1"/>
          <w:shd w:val="clear" w:color="auto" w:fill="FFFFFF"/>
        </w:rPr>
        <w:t>Rcd</w:t>
      </w:r>
      <w:r w:rsidRPr="00D27175">
        <w:rPr>
          <w:bdr w:val="none" w:sz="0" w:space="0" w:color="auto" w:frame="1"/>
          <w:shd w:val="clear" w:color="auto" w:fill="FFFFFF"/>
        </w:rPr>
        <w:t xml:space="preserve"> 4387, 4387 (1991)</w:t>
      </w:r>
      <w:r w:rsidRPr="00D27175">
        <w:rPr>
          <w:shd w:val="clear" w:color="auto" w:fill="FFFFFF"/>
        </w:rPr>
        <w:t>, </w:t>
      </w:r>
      <w:r w:rsidRPr="00D27175">
        <w:rPr>
          <w:rStyle w:val="Emphasis"/>
          <w:bdr w:val="none" w:sz="0" w:space="0" w:color="auto" w:frame="1"/>
          <w:shd w:val="clear" w:color="auto" w:fill="FFFFFF"/>
        </w:rPr>
        <w:t>recon. denied,</w:t>
      </w:r>
      <w:r w:rsidRPr="00D27175">
        <w:rPr>
          <w:shd w:val="clear" w:color="auto" w:fill="FFFFFF"/>
        </w:rPr>
        <w:t> </w:t>
      </w:r>
      <w:r w:rsidRPr="00D27175">
        <w:rPr>
          <w:bdr w:val="none" w:sz="0" w:space="0" w:color="auto" w:frame="1"/>
          <w:shd w:val="clear" w:color="auto" w:fill="FFFFFF"/>
        </w:rPr>
        <w:t xml:space="preserve">7 FCC </w:t>
      </w:r>
      <w:r w:rsidRPr="00D27175">
        <w:rPr>
          <w:bdr w:val="none" w:sz="0" w:space="0" w:color="auto" w:frame="1"/>
          <w:shd w:val="clear" w:color="auto" w:fill="FFFFFF"/>
        </w:rPr>
        <w:t>Rcd</w:t>
      </w:r>
      <w:r w:rsidRPr="00D27175">
        <w:rPr>
          <w:bdr w:val="none" w:sz="0" w:space="0" w:color="auto" w:frame="1"/>
          <w:shd w:val="clear" w:color="auto" w:fill="FFFFFF"/>
        </w:rPr>
        <w:t xml:space="preserve"> 3454 (1992)</w:t>
      </w:r>
      <w:r w:rsidRPr="00D27175">
        <w:rPr>
          <w:shd w:val="clear" w:color="auto" w:fill="FFFFFF"/>
        </w:rPr>
        <w:t> (stating that “inadvertence ... is at best, ignorance of the law, which the Commission does not consider a mitigating circumstance”)</w:t>
      </w:r>
      <w:r>
        <w:rPr>
          <w:shd w:val="clear" w:color="auto" w:fill="FFFFFF"/>
        </w:rPr>
        <w:t>.</w:t>
      </w:r>
    </w:p>
  </w:footnote>
  <w:footnote w:id="16">
    <w:p w:rsidR="005A7AEB" w14:paraId="25EC1045" w14:textId="22692532">
      <w:pPr>
        <w:pStyle w:val="FootnoteText"/>
      </w:pPr>
      <w:r>
        <w:rPr>
          <w:rStyle w:val="FootnoteReference"/>
        </w:rPr>
        <w:footnoteRef/>
      </w:r>
      <w:r>
        <w:t xml:space="preserve"> </w:t>
      </w:r>
      <w:r>
        <w:rPr>
          <w:i/>
          <w:iCs/>
        </w:rPr>
        <w:t>See, e.g.</w:t>
      </w:r>
      <w:r>
        <w:t xml:space="preserve">, </w:t>
      </w:r>
      <w:r w:rsidRPr="001812B0">
        <w:rPr>
          <w:i/>
          <w:iCs/>
        </w:rPr>
        <w:t>Provision Ministry</w:t>
      </w:r>
      <w:r>
        <w:t xml:space="preserve">, Forfeiture Order, DA 21-765 (MB June 29, 2021); </w:t>
      </w:r>
      <w:r w:rsidRPr="001812B0">
        <w:rPr>
          <w:i/>
          <w:iCs/>
        </w:rPr>
        <w:t>Colby Community College</w:t>
      </w:r>
      <w:r>
        <w:t xml:space="preserve">, Forfeiture Order, 25 FCC </w:t>
      </w:r>
      <w:r>
        <w:t>Rcd</w:t>
      </w:r>
      <w:r>
        <w:t xml:space="preserve"> 3568 (MB 2010)</w:t>
      </w:r>
      <w:r w:rsidR="001812B0">
        <w:t>.</w:t>
      </w:r>
    </w:p>
  </w:footnote>
  <w:footnote w:id="17">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8">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9">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20">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1">
    <w:p w:rsidR="00344EC6" w:rsidP="00344EC6" w14:paraId="1CE9E8FF" w14:textId="77777777">
      <w:pPr>
        <w:pStyle w:val="FootnoteText"/>
      </w:pPr>
      <w:r>
        <w:rPr>
          <w:rStyle w:val="FootnoteReference"/>
        </w:rPr>
        <w:footnoteRef/>
      </w:r>
      <w:r>
        <w:t xml:space="preserve"> </w:t>
      </w:r>
      <w:r w:rsidRPr="00D2658E">
        <w:t>47 U.S.C. § 503(b); 47 CFR § 1.80.</w:t>
      </w:r>
    </w:p>
  </w:footnote>
  <w:footnote w:id="22">
    <w:p w:rsidR="00344EC6" w:rsidP="00344EC6" w14:paraId="36C52E45" w14:textId="77777777">
      <w:pPr>
        <w:pStyle w:val="FootnoteText"/>
      </w:pPr>
      <w:r>
        <w:rPr>
          <w:rStyle w:val="FootnoteReference"/>
        </w:rPr>
        <w:footnoteRef/>
      </w:r>
      <w:r>
        <w:t xml:space="preserve"> </w:t>
      </w:r>
      <w:r w:rsidRPr="001F1DAC">
        <w:t>47 CFR § 73.3539</w:t>
      </w:r>
      <w:r>
        <w:t>.</w:t>
      </w:r>
    </w:p>
  </w:footnote>
  <w:footnote w:id="23">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4">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5">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6">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7">
    <w:p w:rsidR="00DF1523" w:rsidP="00DF1523" w14:paraId="1947126F" w14:textId="5630B174">
      <w:pPr>
        <w:pStyle w:val="FootnoteText"/>
        <w:widowControl w:val="0"/>
      </w:pPr>
      <w:r>
        <w:rPr>
          <w:rStyle w:val="FootnoteReference"/>
        </w:rPr>
        <w:footnoteRef/>
      </w:r>
      <w:r>
        <w:t xml:space="preserve"> 47 CFR §§ 1.16 and 1.80(</w:t>
      </w:r>
      <w:r w:rsidR="00B15E8C">
        <w:t>g</w:t>
      </w:r>
      <w:r>
        <w:t>)(3).</w:t>
      </w:r>
    </w:p>
  </w:footnote>
  <w:footnote w:id="28">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9">
    <w:p w:rsidR="00344EC6" w:rsidP="00344EC6" w14:paraId="38A0E402" w14:textId="7BE2B826">
      <w:pPr>
        <w:pStyle w:val="FootnoteText"/>
        <w:widowControl w:val="0"/>
      </w:pPr>
      <w:r>
        <w:rPr>
          <w:rStyle w:val="FootnoteReference"/>
        </w:rPr>
        <w:footnoteRef/>
      </w:r>
      <w:r>
        <w:t xml:space="preserve"> 47 U.S.C. </w:t>
      </w:r>
      <w:r w:rsidRPr="00514C8E">
        <w:t>§</w:t>
      </w:r>
      <w:r>
        <w:t xml:space="preserve"> 503(b)(2)(E). </w:t>
      </w:r>
      <w:r w:rsidR="00F840E9">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6B81503D">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6C22BA">
      <w:rPr>
        <w:b w:val="0"/>
        <w:szCs w:val="22"/>
      </w:rPr>
      <w:t>1349</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30707B07">
    <w:pPr>
      <w:pStyle w:val="Header"/>
      <w:rPr>
        <w:b w:val="0"/>
        <w:szCs w:val="22"/>
      </w:rPr>
    </w:pPr>
    <w:r>
      <w:rPr>
        <w:b w:val="0"/>
      </w:rPr>
      <w:tab/>
    </w:r>
    <w:r w:rsidRPr="00947B4D">
      <w:rPr>
        <w:b w:val="0"/>
        <w:szCs w:val="22"/>
      </w:rPr>
      <w:t>Federal Communications Commission</w:t>
    </w:r>
    <w:r w:rsidRPr="00947B4D">
      <w:rPr>
        <w:b w:val="0"/>
        <w:szCs w:val="22"/>
      </w:rPr>
      <w:tab/>
    </w:r>
    <w:r w:rsidRPr="006C22BA">
      <w:rPr>
        <w:b w:val="0"/>
        <w:szCs w:val="22"/>
      </w:rPr>
      <w:t xml:space="preserve">DA </w:t>
    </w:r>
    <w:r w:rsidRPr="006C22BA" w:rsidR="00BB69DA">
      <w:rPr>
        <w:b w:val="0"/>
        <w:szCs w:val="22"/>
      </w:rPr>
      <w:t>2</w:t>
    </w:r>
    <w:r w:rsidRPr="006C22BA" w:rsidR="00F04DE2">
      <w:rPr>
        <w:b w:val="0"/>
        <w:szCs w:val="22"/>
      </w:rPr>
      <w:t>1</w:t>
    </w:r>
    <w:r w:rsidRPr="006C22BA">
      <w:rPr>
        <w:b w:val="0"/>
        <w:szCs w:val="22"/>
      </w:rPr>
      <w:t>-</w:t>
    </w:r>
    <w:r w:rsidRPr="006C22BA" w:rsidR="00252B2F">
      <w:rPr>
        <w:b w:val="0"/>
        <w:szCs w:val="22"/>
      </w:rPr>
      <w:fldChar w:fldCharType="begin"/>
    </w:r>
    <w:r w:rsidRPr="006C22BA" w:rsidR="00252B2F">
      <w:rPr>
        <w:b w:val="0"/>
        <w:szCs w:val="22"/>
      </w:rPr>
      <w:instrText xml:space="preserve"> MACROBUTTON  ToolsMacro </w:instrText>
    </w:r>
    <w:r w:rsidRPr="006C22BA" w:rsidR="00252B2F">
      <w:rPr>
        <w:b w:val="0"/>
        <w:szCs w:val="22"/>
      </w:rPr>
      <w:fldChar w:fldCharType="end"/>
    </w:r>
    <w:r w:rsidR="006C22BA">
      <w:rPr>
        <w:b w:val="0"/>
        <w:szCs w:val="22"/>
      </w:rPr>
      <w:t>1349</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244A"/>
    <w:rsid w:val="00124FB3"/>
    <w:rsid w:val="0012659F"/>
    <w:rsid w:val="00132193"/>
    <w:rsid w:val="001376A0"/>
    <w:rsid w:val="00146D8A"/>
    <w:rsid w:val="0015595E"/>
    <w:rsid w:val="001618F3"/>
    <w:rsid w:val="0017245E"/>
    <w:rsid w:val="001812B0"/>
    <w:rsid w:val="001C3BFA"/>
    <w:rsid w:val="001F1DAC"/>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67118"/>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1546"/>
    <w:rsid w:val="004756DA"/>
    <w:rsid w:val="00475AB4"/>
    <w:rsid w:val="0048685A"/>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46F95"/>
    <w:rsid w:val="00555D44"/>
    <w:rsid w:val="00556F2A"/>
    <w:rsid w:val="00590CB8"/>
    <w:rsid w:val="00594F74"/>
    <w:rsid w:val="005A2ED5"/>
    <w:rsid w:val="005A7AEB"/>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22BA"/>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7E2199"/>
    <w:rsid w:val="00801DA1"/>
    <w:rsid w:val="00805CE8"/>
    <w:rsid w:val="00815718"/>
    <w:rsid w:val="00815E82"/>
    <w:rsid w:val="00826124"/>
    <w:rsid w:val="008330FE"/>
    <w:rsid w:val="0085482E"/>
    <w:rsid w:val="008612A1"/>
    <w:rsid w:val="00862E93"/>
    <w:rsid w:val="00864191"/>
    <w:rsid w:val="0086538D"/>
    <w:rsid w:val="00866C07"/>
    <w:rsid w:val="00874E66"/>
    <w:rsid w:val="00875E61"/>
    <w:rsid w:val="0087705C"/>
    <w:rsid w:val="008C24C1"/>
    <w:rsid w:val="008C2F1D"/>
    <w:rsid w:val="008D1138"/>
    <w:rsid w:val="008D21BD"/>
    <w:rsid w:val="008D4AD7"/>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1857"/>
    <w:rsid w:val="00A3545B"/>
    <w:rsid w:val="00A35A4F"/>
    <w:rsid w:val="00A60A9F"/>
    <w:rsid w:val="00A64542"/>
    <w:rsid w:val="00A65E43"/>
    <w:rsid w:val="00A71F2E"/>
    <w:rsid w:val="00A74466"/>
    <w:rsid w:val="00A77066"/>
    <w:rsid w:val="00A83108"/>
    <w:rsid w:val="00A90977"/>
    <w:rsid w:val="00AA120E"/>
    <w:rsid w:val="00AA174B"/>
    <w:rsid w:val="00AA17C0"/>
    <w:rsid w:val="00AA1AD6"/>
    <w:rsid w:val="00AC315A"/>
    <w:rsid w:val="00AD30F4"/>
    <w:rsid w:val="00AF2D1B"/>
    <w:rsid w:val="00B030FD"/>
    <w:rsid w:val="00B03610"/>
    <w:rsid w:val="00B11767"/>
    <w:rsid w:val="00B118D1"/>
    <w:rsid w:val="00B15E8C"/>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62643"/>
    <w:rsid w:val="00C84165"/>
    <w:rsid w:val="00CC33CA"/>
    <w:rsid w:val="00CC3A5B"/>
    <w:rsid w:val="00CC765A"/>
    <w:rsid w:val="00CD275D"/>
    <w:rsid w:val="00CD2D1F"/>
    <w:rsid w:val="00CD31C5"/>
    <w:rsid w:val="00CE6A7B"/>
    <w:rsid w:val="00CE7156"/>
    <w:rsid w:val="00CE7221"/>
    <w:rsid w:val="00CF4343"/>
    <w:rsid w:val="00D11850"/>
    <w:rsid w:val="00D12811"/>
    <w:rsid w:val="00D17C7E"/>
    <w:rsid w:val="00D23EB0"/>
    <w:rsid w:val="00D2658E"/>
    <w:rsid w:val="00D27175"/>
    <w:rsid w:val="00D33CCE"/>
    <w:rsid w:val="00D423B0"/>
    <w:rsid w:val="00D51DD9"/>
    <w:rsid w:val="00D6049F"/>
    <w:rsid w:val="00D64E57"/>
    <w:rsid w:val="00D76268"/>
    <w:rsid w:val="00D769EE"/>
    <w:rsid w:val="00D815E4"/>
    <w:rsid w:val="00D86085"/>
    <w:rsid w:val="00D86EB1"/>
    <w:rsid w:val="00DC2268"/>
    <w:rsid w:val="00DE6ABD"/>
    <w:rsid w:val="00DF1523"/>
    <w:rsid w:val="00DF4D4E"/>
    <w:rsid w:val="00E031FC"/>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3C06"/>
    <w:rsid w:val="00F04DE2"/>
    <w:rsid w:val="00F30630"/>
    <w:rsid w:val="00F34389"/>
    <w:rsid w:val="00F65E19"/>
    <w:rsid w:val="00F7221D"/>
    <w:rsid w:val="00F725A4"/>
    <w:rsid w:val="00F767B1"/>
    <w:rsid w:val="00F840E9"/>
    <w:rsid w:val="00FA2D56"/>
    <w:rsid w:val="00FA3EE9"/>
    <w:rsid w:val="00FA4912"/>
    <w:rsid w:val="00FA4F84"/>
    <w:rsid w:val="00FB6F98"/>
    <w:rsid w:val="00FB788E"/>
    <w:rsid w:val="00FC5E54"/>
    <w:rsid w:val="00FD1B33"/>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80EA5B"/>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BA"/>
    <w:pPr>
      <w:widowControl w:val="0"/>
    </w:pPr>
    <w:rPr>
      <w:snapToGrid w:val="0"/>
      <w:kern w:val="28"/>
      <w:sz w:val="22"/>
    </w:rPr>
  </w:style>
  <w:style w:type="paragraph" w:styleId="Heading1">
    <w:name w:val="heading 1"/>
    <w:basedOn w:val="Normal"/>
    <w:next w:val="ParaNum"/>
    <w:link w:val="Heading1Char"/>
    <w:qFormat/>
    <w:rsid w:val="006C22BA"/>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C22BA"/>
    <w:pPr>
      <w:keepNext/>
      <w:numPr>
        <w:ilvl w:val="1"/>
        <w:numId w:val="14"/>
      </w:numPr>
      <w:spacing w:after="120"/>
      <w:outlineLvl w:val="1"/>
    </w:pPr>
    <w:rPr>
      <w:b/>
    </w:rPr>
  </w:style>
  <w:style w:type="paragraph" w:styleId="Heading3">
    <w:name w:val="heading 3"/>
    <w:basedOn w:val="Normal"/>
    <w:next w:val="ParaNum"/>
    <w:link w:val="Heading3Char"/>
    <w:qFormat/>
    <w:rsid w:val="006C22BA"/>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6C22BA"/>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6C22BA"/>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6C22BA"/>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6C22BA"/>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6C22BA"/>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C22BA"/>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C22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22BA"/>
  </w:style>
  <w:style w:type="paragraph" w:customStyle="1" w:styleId="ParaNum">
    <w:name w:val="ParaNum"/>
    <w:basedOn w:val="Normal"/>
    <w:link w:val="ParaNumChar"/>
    <w:rsid w:val="006C22BA"/>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6C22B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C22BA"/>
    <w:rPr>
      <w:rFonts w:ascii="Times New Roman" w:hAnsi="Times New Roman"/>
      <w:dstrike w:val="0"/>
      <w:color w:val="auto"/>
      <w:sz w:val="20"/>
      <w:vertAlign w:val="superscript"/>
    </w:rPr>
  </w:style>
  <w:style w:type="paragraph" w:styleId="Header">
    <w:name w:val="header"/>
    <w:basedOn w:val="Normal"/>
    <w:autoRedefine/>
    <w:rsid w:val="006C22BA"/>
    <w:pPr>
      <w:tabs>
        <w:tab w:val="center" w:pos="4680"/>
        <w:tab w:val="right" w:pos="9360"/>
      </w:tabs>
    </w:pPr>
    <w:rPr>
      <w:b/>
    </w:rPr>
  </w:style>
  <w:style w:type="paragraph" w:styleId="Footer">
    <w:name w:val="footer"/>
    <w:basedOn w:val="Normal"/>
    <w:link w:val="FooterChar"/>
    <w:uiPriority w:val="99"/>
    <w:rsid w:val="006C22BA"/>
    <w:pPr>
      <w:tabs>
        <w:tab w:val="center" w:pos="4320"/>
        <w:tab w:val="right" w:pos="8640"/>
      </w:tabs>
    </w:pPr>
  </w:style>
  <w:style w:type="character" w:styleId="PageNumber">
    <w:name w:val="page number"/>
    <w:basedOn w:val="DefaultParagraphFont"/>
    <w:rsid w:val="006C22BA"/>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6C22BA"/>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6C22BA"/>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6C22BA"/>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6C22BA"/>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6C22BA"/>
    <w:rPr>
      <w:vertAlign w:val="superscript"/>
    </w:rPr>
  </w:style>
  <w:style w:type="paragraph" w:styleId="TOC1">
    <w:name w:val="toc 1"/>
    <w:basedOn w:val="Normal"/>
    <w:next w:val="Normal"/>
    <w:rsid w:val="006C22BA"/>
    <w:pPr>
      <w:tabs>
        <w:tab w:val="left" w:pos="360"/>
        <w:tab w:val="right" w:leader="dot" w:pos="9360"/>
      </w:tabs>
      <w:suppressAutoHyphens/>
      <w:ind w:left="360" w:right="720" w:hanging="360"/>
    </w:pPr>
    <w:rPr>
      <w:caps/>
      <w:noProof/>
    </w:rPr>
  </w:style>
  <w:style w:type="paragraph" w:styleId="TOC2">
    <w:name w:val="toc 2"/>
    <w:basedOn w:val="Normal"/>
    <w:next w:val="Normal"/>
    <w:rsid w:val="006C22BA"/>
    <w:pPr>
      <w:tabs>
        <w:tab w:val="left" w:pos="720"/>
        <w:tab w:val="right" w:leader="dot" w:pos="9360"/>
      </w:tabs>
      <w:suppressAutoHyphens/>
      <w:ind w:left="720" w:right="720" w:hanging="360"/>
    </w:pPr>
    <w:rPr>
      <w:noProof/>
    </w:rPr>
  </w:style>
  <w:style w:type="paragraph" w:styleId="TOC3">
    <w:name w:val="toc 3"/>
    <w:basedOn w:val="Normal"/>
    <w:next w:val="Normal"/>
    <w:rsid w:val="006C22B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C22B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C22B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C22BA"/>
    <w:pPr>
      <w:tabs>
        <w:tab w:val="left" w:pos="2160"/>
        <w:tab w:val="right" w:leader="dot" w:pos="9360"/>
      </w:tabs>
      <w:suppressAutoHyphens/>
      <w:ind w:left="2160" w:hanging="360"/>
    </w:pPr>
    <w:rPr>
      <w:noProof/>
    </w:rPr>
  </w:style>
  <w:style w:type="paragraph" w:styleId="TOC7">
    <w:name w:val="toc 7"/>
    <w:basedOn w:val="Normal"/>
    <w:next w:val="Normal"/>
    <w:autoRedefine/>
    <w:rsid w:val="006C22BA"/>
    <w:pPr>
      <w:tabs>
        <w:tab w:val="left" w:pos="2520"/>
        <w:tab w:val="right" w:leader="dot" w:pos="9360"/>
      </w:tabs>
      <w:suppressAutoHyphens/>
      <w:ind w:left="2520" w:hanging="360"/>
    </w:pPr>
    <w:rPr>
      <w:noProof/>
    </w:rPr>
  </w:style>
  <w:style w:type="paragraph" w:styleId="TOC8">
    <w:name w:val="toc 8"/>
    <w:basedOn w:val="Normal"/>
    <w:next w:val="Normal"/>
    <w:autoRedefine/>
    <w:rsid w:val="006C22BA"/>
    <w:pPr>
      <w:tabs>
        <w:tab w:val="left" w:pos="2880"/>
        <w:tab w:val="right" w:leader="dot" w:pos="9360"/>
      </w:tabs>
      <w:suppressAutoHyphens/>
      <w:ind w:left="2880" w:hanging="360"/>
    </w:pPr>
    <w:rPr>
      <w:noProof/>
    </w:rPr>
  </w:style>
  <w:style w:type="paragraph" w:styleId="TOC9">
    <w:name w:val="toc 9"/>
    <w:basedOn w:val="Normal"/>
    <w:next w:val="Normal"/>
    <w:autoRedefine/>
    <w:rsid w:val="006C22BA"/>
    <w:pPr>
      <w:tabs>
        <w:tab w:val="left" w:pos="3240"/>
        <w:tab w:val="right" w:leader="dot" w:pos="9360"/>
      </w:tabs>
      <w:suppressAutoHyphens/>
      <w:ind w:left="3240" w:hanging="360"/>
    </w:pPr>
    <w:rPr>
      <w:noProof/>
    </w:rPr>
  </w:style>
  <w:style w:type="paragraph" w:styleId="TOAHeading">
    <w:name w:val="toa heading"/>
    <w:basedOn w:val="Normal"/>
    <w:next w:val="Normal"/>
    <w:rsid w:val="006C22BA"/>
    <w:pPr>
      <w:tabs>
        <w:tab w:val="right" w:pos="9360"/>
      </w:tabs>
      <w:suppressAutoHyphens/>
    </w:pPr>
  </w:style>
  <w:style w:type="character" w:customStyle="1" w:styleId="EquationCaption">
    <w:name w:val="_Equation Caption"/>
    <w:rsid w:val="006C22BA"/>
  </w:style>
  <w:style w:type="paragraph" w:styleId="BlockText">
    <w:name w:val="Block Text"/>
    <w:basedOn w:val="Normal"/>
    <w:rsid w:val="006C22BA"/>
    <w:pPr>
      <w:spacing w:after="240"/>
      <w:ind w:left="1440" w:right="1440"/>
    </w:pPr>
  </w:style>
  <w:style w:type="paragraph" w:customStyle="1" w:styleId="Paratitle">
    <w:name w:val="Para title"/>
    <w:basedOn w:val="Normal"/>
    <w:rsid w:val="006C22BA"/>
    <w:pPr>
      <w:tabs>
        <w:tab w:val="center" w:pos="9270"/>
      </w:tabs>
      <w:spacing w:after="240"/>
    </w:pPr>
    <w:rPr>
      <w:spacing w:val="-2"/>
    </w:rPr>
  </w:style>
  <w:style w:type="paragraph" w:customStyle="1" w:styleId="TableFormat">
    <w:name w:val="TableFormat"/>
    <w:basedOn w:val="Bullet"/>
    <w:rsid w:val="006C22BA"/>
    <w:pPr>
      <w:tabs>
        <w:tab w:val="clear" w:pos="2160"/>
        <w:tab w:val="left" w:pos="5040"/>
      </w:tabs>
      <w:ind w:left="5040" w:hanging="3600"/>
    </w:pPr>
  </w:style>
  <w:style w:type="paragraph" w:customStyle="1" w:styleId="TOCTitle">
    <w:name w:val="TOC Title"/>
    <w:basedOn w:val="Normal"/>
    <w:rsid w:val="006C22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22BA"/>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 w:type="character" w:styleId="Emphasis">
    <w:name w:val="Emphasis"/>
    <w:basedOn w:val="DefaultParagraphFont"/>
    <w:uiPriority w:val="20"/>
    <w:qFormat/>
    <w:rsid w:val="001812B0"/>
    <w:rPr>
      <w:i/>
      <w:iCs/>
    </w:rPr>
  </w:style>
  <w:style w:type="character" w:customStyle="1" w:styleId="cosearchterm">
    <w:name w:val="co_searchterm"/>
    <w:basedOn w:val="DefaultParagraphFont"/>
    <w:rsid w:val="0018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