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E5884" w:rsidP="00C82B6B" w14:paraId="0D168F56" w14:textId="77777777">
      <w:pPr>
        <w:jc w:val="right"/>
        <w:rPr>
          <w:sz w:val="24"/>
        </w:rPr>
      </w:pPr>
    </w:p>
    <w:p w:rsidR="00013A8B" w:rsidRPr="00B20363" w:rsidP="00013A8B" w14:paraId="35858453" w14:textId="70C35499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7B573A">
        <w:rPr>
          <w:b/>
          <w:sz w:val="24"/>
        </w:rPr>
        <w:t>21-134</w:t>
      </w:r>
    </w:p>
    <w:p w:rsidR="00013A8B" w:rsidRPr="00B20363" w:rsidP="00013A8B" w14:paraId="5E3232D3" w14:textId="07E3802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40450">
        <w:rPr>
          <w:b/>
          <w:sz w:val="24"/>
        </w:rPr>
        <w:t>February 8, 2021</w:t>
      </w:r>
    </w:p>
    <w:p w:rsidR="00013A8B" w:rsidP="00013A8B" w14:paraId="46D4BE37" w14:textId="77777777">
      <w:pPr>
        <w:jc w:val="right"/>
        <w:rPr>
          <w:sz w:val="24"/>
        </w:rPr>
      </w:pPr>
    </w:p>
    <w:p w:rsidR="00013A8B" w:rsidRPr="00B20363" w:rsidP="00013A8B" w14:paraId="6A921D98" w14:textId="64F474A1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CONSUMER AND GOVERNMENTAL AFFAIRS BUREAU ANNOUNCES COMPLIANCE DATE FOR </w:t>
      </w:r>
      <w:r w:rsidR="00590290">
        <w:rPr>
          <w:rFonts w:ascii="Times New Roman Bold" w:hAnsi="Times New Roman Bold"/>
          <w:b/>
          <w:caps/>
          <w:sz w:val="24"/>
        </w:rPr>
        <w:t xml:space="preserve">Remaining </w:t>
      </w:r>
      <w:r>
        <w:rPr>
          <w:rFonts w:ascii="Times New Roman Bold" w:hAnsi="Times New Roman Bold"/>
          <w:b/>
          <w:caps/>
          <w:sz w:val="24"/>
        </w:rPr>
        <w:t>REASSIGNED NUMBERS DATABASE RULE</w:t>
      </w:r>
      <w:r w:rsidR="00A575F5">
        <w:rPr>
          <w:rFonts w:ascii="Times New Roman Bold" w:hAnsi="Times New Roman Bold"/>
          <w:b/>
          <w:caps/>
          <w:sz w:val="24"/>
        </w:rPr>
        <w:t xml:space="preserve"> regarding reporting of disconnect data</w:t>
      </w:r>
    </w:p>
    <w:p w:rsidR="00013A8B" w:rsidP="00013A8B" w14:paraId="716CC315" w14:textId="0C218755">
      <w:pPr>
        <w:jc w:val="center"/>
        <w:rPr>
          <w:b/>
          <w:sz w:val="24"/>
        </w:rPr>
      </w:pPr>
      <w:r>
        <w:rPr>
          <w:b/>
          <w:sz w:val="24"/>
        </w:rPr>
        <w:t>CG Docket No. 17-59</w:t>
      </w:r>
    </w:p>
    <w:p w:rsidR="00402354" w:rsidP="00013A8B" w14:paraId="39D6A4BC" w14:textId="77777777">
      <w:pPr>
        <w:jc w:val="center"/>
        <w:rPr>
          <w:b/>
          <w:sz w:val="24"/>
        </w:rPr>
      </w:pPr>
    </w:p>
    <w:p w:rsidR="00D1733B" w:rsidRPr="00C04041" w:rsidP="00F96F63" w14:paraId="2C41F1D0" w14:textId="018998FD">
      <w:pPr>
        <w:rPr>
          <w:szCs w:val="22"/>
        </w:rPr>
      </w:pPr>
      <w:bookmarkStart w:id="0" w:name="TOChere"/>
      <w:r w:rsidRPr="00C04041">
        <w:rPr>
          <w:szCs w:val="22"/>
        </w:rPr>
        <w:tab/>
        <w:t xml:space="preserve">On December 13, 2018, the Commission released the </w:t>
      </w:r>
      <w:r w:rsidRPr="00C04041">
        <w:rPr>
          <w:i/>
          <w:iCs/>
          <w:szCs w:val="22"/>
        </w:rPr>
        <w:t>Reassigned Numbers Database Order</w:t>
      </w:r>
      <w:r w:rsidRPr="00C04041" w:rsidR="00ED3AEB">
        <w:rPr>
          <w:szCs w:val="22"/>
        </w:rPr>
        <w:t>,</w:t>
      </w:r>
      <w:r w:rsidRPr="00C04041">
        <w:rPr>
          <w:szCs w:val="22"/>
        </w:rPr>
        <w:t xml:space="preserve"> establishing a database that will allow callers to determine whether a telephone number has been permanently disconnected after a date certain and therefore is no longer assigned to the party the caller </w:t>
      </w:r>
      <w:r w:rsidRPr="00C04041" w:rsidR="00ED3AEB">
        <w:rPr>
          <w:szCs w:val="22"/>
        </w:rPr>
        <w:t xml:space="preserve">intends </w:t>
      </w:r>
      <w:r w:rsidRPr="00C04041">
        <w:rPr>
          <w:szCs w:val="22"/>
        </w:rPr>
        <w:t>to reach.</w:t>
      </w:r>
      <w:r>
        <w:rPr>
          <w:rStyle w:val="FootnoteReference"/>
          <w:szCs w:val="22"/>
        </w:rPr>
        <w:footnoteReference w:id="3"/>
      </w:r>
      <w:r w:rsidRPr="00C04041">
        <w:rPr>
          <w:szCs w:val="22"/>
        </w:rPr>
        <w:t xml:space="preserve">  </w:t>
      </w:r>
      <w:r w:rsidR="007F6512">
        <w:rPr>
          <w:szCs w:val="22"/>
        </w:rPr>
        <w:t>On June 26, 2020</w:t>
      </w:r>
      <w:r w:rsidRPr="00C04041" w:rsidR="00736386">
        <w:rPr>
          <w:szCs w:val="22"/>
        </w:rPr>
        <w:t>,</w:t>
      </w:r>
      <w:r w:rsidRPr="00C04041" w:rsidR="00930482">
        <w:rPr>
          <w:szCs w:val="22"/>
        </w:rPr>
        <w:t xml:space="preserve"> the Commission published </w:t>
      </w:r>
      <w:r w:rsidRPr="00C04041" w:rsidR="00ED3AEB">
        <w:rPr>
          <w:szCs w:val="22"/>
        </w:rPr>
        <w:t xml:space="preserve">in the Federal Register </w:t>
      </w:r>
      <w:r w:rsidRPr="00C04041" w:rsidR="00930482">
        <w:rPr>
          <w:szCs w:val="22"/>
        </w:rPr>
        <w:t xml:space="preserve">an announcement of </w:t>
      </w:r>
      <w:r w:rsidRPr="00C04041" w:rsidR="00ED3AEB">
        <w:rPr>
          <w:szCs w:val="22"/>
        </w:rPr>
        <w:t xml:space="preserve">Office of Management and Budget </w:t>
      </w:r>
      <w:r w:rsidRPr="00C04041" w:rsidR="00930482">
        <w:rPr>
          <w:szCs w:val="22"/>
        </w:rPr>
        <w:t>approval and compliance dates for the rules pertaining to recordkeeping and aging requirements</w:t>
      </w:r>
      <w:r w:rsidRPr="00C04041" w:rsidR="0072729C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</w:p>
    <w:p w:rsidR="00D1733B" w:rsidRPr="00C04041" w:rsidP="00F96F63" w14:paraId="3F29BAFF" w14:textId="77777777">
      <w:pPr>
        <w:rPr>
          <w:szCs w:val="22"/>
        </w:rPr>
      </w:pPr>
    </w:p>
    <w:p w:rsidR="00930482" w:rsidRPr="00C04041" w:rsidP="00C04041" w14:paraId="247E1BA1" w14:textId="3C0E8F63">
      <w:pPr>
        <w:ind w:firstLine="720"/>
        <w:rPr>
          <w:szCs w:val="22"/>
        </w:rPr>
      </w:pPr>
      <w:r w:rsidRPr="00C04041">
        <w:rPr>
          <w:szCs w:val="22"/>
        </w:rPr>
        <w:t>W</w:t>
      </w:r>
      <w:r w:rsidRPr="00C04041" w:rsidR="00EC4A9B">
        <w:rPr>
          <w:szCs w:val="22"/>
        </w:rPr>
        <w:t xml:space="preserve">e now announce </w:t>
      </w:r>
      <w:r w:rsidR="001D0748">
        <w:rPr>
          <w:szCs w:val="22"/>
        </w:rPr>
        <w:t xml:space="preserve">that </w:t>
      </w:r>
      <w:r w:rsidRPr="00C04041" w:rsidR="00EC4A9B">
        <w:rPr>
          <w:szCs w:val="22"/>
        </w:rPr>
        <w:t xml:space="preserve">the compliance date for the remaining </w:t>
      </w:r>
      <w:r w:rsidRPr="00C04041" w:rsidR="003E5922">
        <w:rPr>
          <w:szCs w:val="22"/>
        </w:rPr>
        <w:t xml:space="preserve">rule </w:t>
      </w:r>
      <w:r w:rsidRPr="00C04041" w:rsidR="00EC4A9B">
        <w:rPr>
          <w:szCs w:val="22"/>
        </w:rPr>
        <w:t>requir</w:t>
      </w:r>
      <w:r w:rsidRPr="00C04041" w:rsidR="003E5922">
        <w:rPr>
          <w:szCs w:val="22"/>
        </w:rPr>
        <w:t>ing service providers to report the information</w:t>
      </w:r>
      <w:r w:rsidRPr="00C04041" w:rsidR="00BA1443">
        <w:rPr>
          <w:szCs w:val="22"/>
        </w:rPr>
        <w:t xml:space="preserve"> to the </w:t>
      </w:r>
      <w:r w:rsidRPr="00C04041" w:rsidR="00ED3AEB">
        <w:rPr>
          <w:szCs w:val="22"/>
        </w:rPr>
        <w:t xml:space="preserve">Reassigned Numbers </w:t>
      </w:r>
      <w:r w:rsidRPr="00C04041" w:rsidR="00BA1443">
        <w:rPr>
          <w:szCs w:val="22"/>
        </w:rPr>
        <w:t>Database Administrator</w:t>
      </w:r>
      <w:r w:rsidR="00250ACD">
        <w:rPr>
          <w:szCs w:val="22"/>
        </w:rPr>
        <w:t xml:space="preserve"> was published in the Federal Register on </w:t>
      </w:r>
      <w:r w:rsidR="0094322E">
        <w:rPr>
          <w:szCs w:val="22"/>
        </w:rPr>
        <w:t xml:space="preserve">February </w:t>
      </w:r>
      <w:r w:rsidR="002261FB">
        <w:rPr>
          <w:szCs w:val="22"/>
        </w:rPr>
        <w:t>8</w:t>
      </w:r>
      <w:r w:rsidR="0094322E">
        <w:rPr>
          <w:szCs w:val="22"/>
        </w:rPr>
        <w:t>, 2021</w:t>
      </w:r>
      <w:r w:rsidRPr="00C04041" w:rsidR="00EC4A9B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C04041">
        <w:rPr>
          <w:szCs w:val="22"/>
        </w:rPr>
        <w:t xml:space="preserve">  </w:t>
      </w:r>
      <w:r w:rsidRPr="00C04041" w:rsidR="00EC4A9B">
        <w:rPr>
          <w:szCs w:val="22"/>
        </w:rPr>
        <w:t>B</w:t>
      </w:r>
      <w:r w:rsidRPr="00C04041" w:rsidR="0072729C">
        <w:rPr>
          <w:szCs w:val="22"/>
        </w:rPr>
        <w:t xml:space="preserve">eginning </w:t>
      </w:r>
      <w:r w:rsidR="0094322E">
        <w:rPr>
          <w:szCs w:val="22"/>
        </w:rPr>
        <w:t>April 15, 2021</w:t>
      </w:r>
      <w:r w:rsidRPr="00C04041" w:rsidR="0094322E">
        <w:rPr>
          <w:szCs w:val="22"/>
        </w:rPr>
        <w:t xml:space="preserve"> </w:t>
      </w:r>
      <w:r w:rsidRPr="00C04041" w:rsidR="00736386">
        <w:rPr>
          <w:szCs w:val="22"/>
        </w:rPr>
        <w:t>and recurring on the 15</w:t>
      </w:r>
      <w:r w:rsidRPr="00C04041" w:rsidR="00736386">
        <w:rPr>
          <w:szCs w:val="22"/>
          <w:vertAlign w:val="superscript"/>
        </w:rPr>
        <w:t>th</w:t>
      </w:r>
      <w:r w:rsidRPr="00C04041" w:rsidR="00736386">
        <w:rPr>
          <w:szCs w:val="22"/>
        </w:rPr>
        <w:t xml:space="preserve"> day of each month thereafter, </w:t>
      </w:r>
      <w:r w:rsidRPr="00C04041" w:rsidR="0072729C">
        <w:rPr>
          <w:szCs w:val="22"/>
        </w:rPr>
        <w:t>service providers must</w:t>
      </w:r>
      <w:r w:rsidRPr="00C04041" w:rsidR="00736386">
        <w:rPr>
          <w:szCs w:val="22"/>
        </w:rPr>
        <w:t xml:space="preserve"> report permanent disconnections of their subscribers.</w:t>
      </w:r>
      <w:r>
        <w:rPr>
          <w:rStyle w:val="FootnoteReference"/>
          <w:szCs w:val="22"/>
        </w:rPr>
        <w:footnoteReference w:id="6"/>
      </w:r>
      <w:r w:rsidRPr="00C04041" w:rsidR="00E94005">
        <w:rPr>
          <w:szCs w:val="22"/>
        </w:rPr>
        <w:t xml:space="preserve">  </w:t>
      </w:r>
      <w:r w:rsidRPr="00C04041" w:rsidR="00EC4A9B">
        <w:rPr>
          <w:szCs w:val="22"/>
        </w:rPr>
        <w:t xml:space="preserve">The report must contain data for numbers permanently disconnected </w:t>
      </w:r>
      <w:r w:rsidR="005F5971">
        <w:rPr>
          <w:szCs w:val="22"/>
        </w:rPr>
        <w:t>that were not submitted in the service provider’s prior reports</w:t>
      </w:r>
      <w:r w:rsidRPr="00C04041" w:rsidR="00EC4A9B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Pr="00C04041" w:rsidR="00291643">
        <w:rPr>
          <w:szCs w:val="22"/>
        </w:rPr>
        <w:t xml:space="preserve"> </w:t>
      </w:r>
      <w:r w:rsidRPr="00C04041" w:rsidR="00EC4A9B">
        <w:rPr>
          <w:szCs w:val="22"/>
        </w:rPr>
        <w:t xml:space="preserve"> </w:t>
      </w:r>
      <w:r w:rsidRPr="00C04041" w:rsidR="00736386">
        <w:rPr>
          <w:szCs w:val="22"/>
        </w:rPr>
        <w:t xml:space="preserve">Notwithstanding the foregoing, small service providers (those providers with 100,000 or fewer </w:t>
      </w:r>
      <w:r w:rsidRPr="00C04041" w:rsidR="00736386">
        <w:rPr>
          <w:szCs w:val="22"/>
        </w:rPr>
        <w:t>domestic retail subscriber lines) have six additional months</w:t>
      </w:r>
      <w:r w:rsidRPr="00C04041" w:rsidR="00EC4A9B">
        <w:rPr>
          <w:szCs w:val="22"/>
        </w:rPr>
        <w:t xml:space="preserve"> (until</w:t>
      </w:r>
      <w:r w:rsidR="0094322E">
        <w:rPr>
          <w:szCs w:val="22"/>
        </w:rPr>
        <w:t xml:space="preserve"> October 15, 2021</w:t>
      </w:r>
      <w:r w:rsidRPr="00C04041" w:rsidR="00EC4A9B">
        <w:rPr>
          <w:szCs w:val="22"/>
        </w:rPr>
        <w:t>)</w:t>
      </w:r>
      <w:r w:rsidRPr="00C04041" w:rsidR="00736386">
        <w:rPr>
          <w:szCs w:val="22"/>
        </w:rPr>
        <w:t xml:space="preserve"> to begin reporting this information to the </w:t>
      </w:r>
      <w:r w:rsidRPr="00C04041" w:rsidR="00ED3AEB">
        <w:rPr>
          <w:szCs w:val="22"/>
        </w:rPr>
        <w:t xml:space="preserve">Reassigned Numbers </w:t>
      </w:r>
      <w:r w:rsidRPr="00C04041" w:rsidR="00736386">
        <w:rPr>
          <w:szCs w:val="22"/>
        </w:rPr>
        <w:t>Database Administrator.</w:t>
      </w:r>
      <w:r>
        <w:rPr>
          <w:rStyle w:val="FootnoteReference"/>
          <w:szCs w:val="22"/>
        </w:rPr>
        <w:footnoteReference w:id="8"/>
      </w:r>
    </w:p>
    <w:p w:rsidR="00590290" w:rsidRPr="00C04041" w:rsidP="00F96F63" w14:paraId="740CD239" w14:textId="77777777">
      <w:pPr>
        <w:rPr>
          <w:szCs w:val="22"/>
        </w:rPr>
      </w:pPr>
    </w:p>
    <w:p w:rsidR="00F96F63" w:rsidRPr="00C04041" w:rsidP="00F96F63" w14:paraId="2AFBB60A" w14:textId="3333FF83">
      <w:pPr>
        <w:rPr>
          <w:szCs w:val="22"/>
        </w:rPr>
      </w:pPr>
      <w:r w:rsidRPr="00C04041">
        <w:rPr>
          <w:szCs w:val="22"/>
        </w:rPr>
        <w:tab/>
        <w:t>For further information, contact Karen Schroeder, Consumer Policy Division, Consumer and Governmental Affairs Bureau, at (202) 418-0654 or Karen.Schroeder@FCC.gov.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84A4F5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5D359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A9D0C6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00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787B2C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B0B98" w14:paraId="08F6F0DE" w14:textId="77777777">
      <w:r>
        <w:separator/>
      </w:r>
    </w:p>
  </w:footnote>
  <w:footnote w:type="continuationSeparator" w:id="1">
    <w:p w:rsidR="003B0B98" w14:paraId="366AC80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B0B98" w:rsidP="00910F12" w14:paraId="31336FF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35C1A" w14:paraId="7176F3F9" w14:textId="3F62D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5C1A">
        <w:rPr>
          <w:i/>
          <w:iCs/>
        </w:rPr>
        <w:t>Advanced Methods to Target and Eliminate Unlawful Robocalls</w:t>
      </w:r>
      <w:r>
        <w:t>, CG Docket No. 17-59, Second Report and Order, 33 FCC Rcd 12024, 12029, para. 11 (2018) (</w:t>
      </w:r>
      <w:r w:rsidRPr="00835C1A">
        <w:rPr>
          <w:i/>
          <w:iCs/>
        </w:rPr>
        <w:t>Reassigned Numbers Database Order</w:t>
      </w:r>
      <w:r>
        <w:t>).</w:t>
      </w:r>
    </w:p>
  </w:footnote>
  <w:footnote w:id="4">
    <w:p w:rsidR="0072729C" w:rsidP="0072729C" w14:paraId="7EBDDE53" w14:textId="4F36A274">
      <w:pPr>
        <w:pStyle w:val="FootnoteText"/>
      </w:pPr>
      <w:r>
        <w:rPr>
          <w:rStyle w:val="FootnoteReference"/>
        </w:rPr>
        <w:footnoteRef/>
      </w:r>
      <w:r w:rsidR="00C72681">
        <w:t xml:space="preserve"> </w:t>
      </w:r>
      <w:r>
        <w:t>Federal Communications Commission, Advanced Methods to Target and Eliminate Unlawful Robocalls, 85 FR 38334 (June 26, 2020)</w:t>
      </w:r>
      <w:r w:rsidR="00ED3AEB">
        <w:t xml:space="preserve"> (announcing </w:t>
      </w:r>
      <w:r w:rsidR="009743E4">
        <w:t xml:space="preserve">July 27, 2020 as the </w:t>
      </w:r>
      <w:r w:rsidR="00ED3AEB">
        <w:t xml:space="preserve">compliance date for the following rules: </w:t>
      </w:r>
      <w:r w:rsidRPr="004C1EFE" w:rsidR="004C1EFE">
        <w:t xml:space="preserve">47 CFR </w:t>
      </w:r>
      <w:r w:rsidRPr="004C1EFE" w:rsidR="005C4351">
        <w:t>§§</w:t>
      </w:r>
      <w:r w:rsidR="005C4351">
        <w:t> </w:t>
      </w:r>
      <w:r w:rsidRPr="004C1EFE" w:rsidR="004C1EFE">
        <w:t>52.15(f)(1)(ii) and (f)(8), 52.103(d), and 64.1200(l)(1)</w:t>
      </w:r>
      <w:r w:rsidR="00ED3AEB">
        <w:t>)</w:t>
      </w:r>
      <w:r>
        <w:t>.</w:t>
      </w:r>
      <w:r w:rsidR="00AD3AA3">
        <w:t xml:space="preserve">  </w:t>
      </w:r>
      <w:r w:rsidRPr="00590290" w:rsidR="00AD3AA3">
        <w:t xml:space="preserve">The </w:t>
      </w:r>
      <w:r w:rsidRPr="004C1EFE" w:rsidR="00AD3AA3">
        <w:rPr>
          <w:i/>
          <w:iCs/>
        </w:rPr>
        <w:t>Reassigned Numbers Database Order</w:t>
      </w:r>
      <w:r w:rsidRPr="00590290" w:rsidR="00AD3AA3">
        <w:t xml:space="preserve"> calls for the new rules adopted </w:t>
      </w:r>
      <w:r w:rsidR="00D1733B">
        <w:t xml:space="preserve">there </w:t>
      </w:r>
      <w:r w:rsidRPr="00590290" w:rsidR="00AD3AA3">
        <w:t>to become effective 30 days after the Commission publishes a notice in the Federal Register announcing approval of the new and modified information collection requirements by the Office of Management and Budget under the Paperwork Reduction Act.</w:t>
      </w:r>
      <w:r w:rsidR="00AD3AA3">
        <w:t xml:space="preserve">  </w:t>
      </w:r>
      <w:r w:rsidRPr="00835C1A" w:rsidR="00ED3AEB">
        <w:rPr>
          <w:i/>
          <w:iCs/>
        </w:rPr>
        <w:t xml:space="preserve">Reassigned Numbers Database </w:t>
      </w:r>
      <w:r w:rsidRPr="00ED3AEB" w:rsidR="00ED3AEB">
        <w:rPr>
          <w:i/>
          <w:iCs/>
        </w:rPr>
        <w:t>Order</w:t>
      </w:r>
      <w:r w:rsidR="00ED3AEB">
        <w:t xml:space="preserve">, 33 FCC Rcd at </w:t>
      </w:r>
      <w:r w:rsidR="00AD3AA3">
        <w:t>12051, para. 80.</w:t>
      </w:r>
    </w:p>
  </w:footnote>
  <w:footnote w:id="5">
    <w:p w:rsidR="0072729C" w14:paraId="4F18B2C7" w14:textId="518A4D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3AEB">
        <w:t xml:space="preserve">The rule for which compliance is now required is </w:t>
      </w:r>
      <w:r w:rsidRPr="00DE2E8B" w:rsidR="004C1EFE">
        <w:t xml:space="preserve">47 CFR </w:t>
      </w:r>
      <w:r w:rsidR="004C1EFE">
        <w:t xml:space="preserve">§ </w:t>
      </w:r>
      <w:r w:rsidRPr="00DE2E8B" w:rsidR="004C1EFE">
        <w:t>64.1200(l)(</w:t>
      </w:r>
      <w:r w:rsidR="004C1EFE">
        <w:t>2</w:t>
      </w:r>
      <w:r w:rsidRPr="00DE2E8B" w:rsidR="004C1EFE">
        <w:t>)</w:t>
      </w:r>
      <w:r w:rsidR="004C1EFE">
        <w:t>.</w:t>
      </w:r>
    </w:p>
  </w:footnote>
  <w:footnote w:id="6">
    <w:p w:rsidR="00E94005" w:rsidP="00E94005" w14:paraId="1B259E18" w14:textId="59CCED46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Advanced Methods to Target and Eliminate Unlawful Robocalls, </w:t>
      </w:r>
      <w:r w:rsidRPr="00C40450" w:rsidR="00C40450">
        <w:t xml:space="preserve">86 FR 8558 </w:t>
      </w:r>
      <w:r w:rsidRPr="0094322E">
        <w:t xml:space="preserve">(Feb. </w:t>
      </w:r>
      <w:r w:rsidR="002261FB">
        <w:t>8</w:t>
      </w:r>
      <w:r w:rsidRPr="0094322E" w:rsidR="0094322E">
        <w:t xml:space="preserve">, </w:t>
      </w:r>
      <w:r w:rsidRPr="0094322E">
        <w:t>2021</w:t>
      </w:r>
      <w:r>
        <w:t xml:space="preserve">); </w:t>
      </w:r>
      <w:r>
        <w:rPr>
          <w:i/>
          <w:iCs/>
        </w:rPr>
        <w:t>s</w:t>
      </w:r>
      <w:r w:rsidRPr="00377692">
        <w:rPr>
          <w:i/>
          <w:iCs/>
        </w:rPr>
        <w:t>ee also</w:t>
      </w:r>
      <w:r>
        <w:t xml:space="preserve"> </w:t>
      </w:r>
      <w:r w:rsidR="0092578D">
        <w:t xml:space="preserve">47 CFR § 64.1200(l)(2); </w:t>
      </w:r>
      <w:r w:rsidRPr="00736386">
        <w:rPr>
          <w:i/>
          <w:iCs/>
        </w:rPr>
        <w:t>Reassigned Numbers Database Order</w:t>
      </w:r>
      <w:r>
        <w:t>, 33 FCC Rcd at 1203</w:t>
      </w:r>
      <w:r w:rsidR="00EE0A17">
        <w:t>8</w:t>
      </w:r>
      <w:r>
        <w:t xml:space="preserve">, para. </w:t>
      </w:r>
      <w:r w:rsidR="00EE0A17">
        <w:t>39</w:t>
      </w:r>
      <w:r>
        <w:t xml:space="preserve">.  </w:t>
      </w:r>
      <w:r w:rsidRPr="00AD3AA3">
        <w:t xml:space="preserve">The </w:t>
      </w:r>
      <w:r>
        <w:t xml:space="preserve">Commission published the </w:t>
      </w:r>
      <w:r w:rsidRPr="00AD3AA3">
        <w:t>technical specifications describing the format for the report on Jan</w:t>
      </w:r>
      <w:r>
        <w:t>.</w:t>
      </w:r>
      <w:r w:rsidRPr="00AD3AA3">
        <w:t xml:space="preserve"> 15, 2021</w:t>
      </w:r>
      <w:r>
        <w:t xml:space="preserve">.  </w:t>
      </w:r>
      <w:r w:rsidRPr="003E5922">
        <w:rPr>
          <w:i/>
          <w:iCs/>
        </w:rPr>
        <w:t xml:space="preserve">Consumer and Governmental Affairs Bureau Announces Technical Specifications </w:t>
      </w:r>
      <w:r>
        <w:rPr>
          <w:i/>
          <w:iCs/>
        </w:rPr>
        <w:t>f</w:t>
      </w:r>
      <w:r w:rsidRPr="003E5922">
        <w:rPr>
          <w:i/>
          <w:iCs/>
        </w:rPr>
        <w:t>or Reassigned Numbers Database Reporting</w:t>
      </w:r>
      <w:r>
        <w:t xml:space="preserve">, CG Docket No. 17-59, Public Notice, </w:t>
      </w:r>
      <w:r w:rsidRPr="0094322E">
        <w:t>DA 21-67</w:t>
      </w:r>
      <w:r>
        <w:t xml:space="preserve"> (CGB 2021)</w:t>
      </w:r>
      <w:r w:rsidR="00451579">
        <w:t xml:space="preserve"> (</w:t>
      </w:r>
      <w:r w:rsidR="00451579">
        <w:rPr>
          <w:i/>
          <w:iCs/>
        </w:rPr>
        <w:t>Technical Specifications Public Notice</w:t>
      </w:r>
      <w:r w:rsidR="00451579">
        <w:t>)</w:t>
      </w:r>
      <w:r>
        <w:t>.</w:t>
      </w:r>
    </w:p>
  </w:footnote>
  <w:footnote w:id="7">
    <w:p w:rsidR="005F5971" w:rsidRPr="00D97601" w14:paraId="5C75C64C" w14:textId="330FB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51CB">
        <w:t>S</w:t>
      </w:r>
      <w:r w:rsidR="00D97601">
        <w:t>ervice providers will</w:t>
      </w:r>
      <w:r w:rsidR="00A351CB">
        <w:t xml:space="preserve"> initially </w:t>
      </w:r>
      <w:r w:rsidR="00D97601">
        <w:t>populate the Database with “seed” data covering the period from July 2</w:t>
      </w:r>
      <w:r w:rsidR="00A351CB">
        <w:t xml:space="preserve">7, 2020 through </w:t>
      </w:r>
      <w:r w:rsidR="0094322E">
        <w:t>April 15, 2021</w:t>
      </w:r>
      <w:r w:rsidR="00A351CB">
        <w:t xml:space="preserve">. </w:t>
      </w:r>
      <w:r w:rsidR="005C4351">
        <w:t xml:space="preserve"> </w:t>
      </w:r>
      <w:r w:rsidR="00A351CB">
        <w:rPr>
          <w:i/>
          <w:iCs/>
        </w:rPr>
        <w:t>See</w:t>
      </w:r>
      <w:r w:rsidR="00A351CB">
        <w:t xml:space="preserve"> </w:t>
      </w:r>
      <w:r w:rsidR="00A351CB">
        <w:rPr>
          <w:i/>
          <w:iCs/>
        </w:rPr>
        <w:t>Technical Specifications Public Notice</w:t>
      </w:r>
      <w:r w:rsidR="00A351CB">
        <w:t xml:space="preserve">, DA 21-67, at Attachment A. </w:t>
      </w:r>
      <w:r w:rsidR="005C4351">
        <w:t xml:space="preserve"> </w:t>
      </w:r>
      <w:r w:rsidR="00A351CB">
        <w:t xml:space="preserve">Small </w:t>
      </w:r>
      <w:r w:rsidR="000D0580">
        <w:t>s</w:t>
      </w:r>
      <w:r>
        <w:t>ervice providers</w:t>
      </w:r>
      <w:r w:rsidR="00A351CB">
        <w:t xml:space="preserve"> will initially populate the Database with “seed” data covering the period from January 27, 2021 through</w:t>
      </w:r>
      <w:r w:rsidR="0094322E">
        <w:t xml:space="preserve"> October 15, 2021</w:t>
      </w:r>
      <w:r w:rsidR="00A351CB">
        <w:t>.</w:t>
      </w:r>
      <w:r w:rsidR="005C4351">
        <w:t xml:space="preserve"> </w:t>
      </w:r>
      <w:r w:rsidR="00A351CB">
        <w:t xml:space="preserve"> </w:t>
      </w:r>
      <w:r w:rsidR="00A351CB">
        <w:rPr>
          <w:i/>
          <w:iCs/>
        </w:rPr>
        <w:t>Id.</w:t>
      </w:r>
    </w:p>
  </w:footnote>
  <w:footnote w:id="8">
    <w:p w:rsidR="00736386" w14:paraId="7A943405" w14:textId="1DCFD5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6386" w:rsidR="00EC4A9B">
        <w:rPr>
          <w:i/>
          <w:iCs/>
        </w:rPr>
        <w:t>Reassigned Numbers Database Order</w:t>
      </w:r>
      <w:r w:rsidR="00EC4A9B">
        <w:t xml:space="preserve">, 33 FCC Rcd </w:t>
      </w:r>
      <w:r>
        <w:t>at 12039, paras. 43-44.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86327AE" w14:textId="741BA2DD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C3BB5">
      <w:rPr>
        <w:b/>
      </w:rPr>
      <w:t>DA 21-134</w:t>
    </w:r>
  </w:p>
  <w:p w:rsidR="009838BC" w:rsidRPr="009838BC" w:rsidP="009838BC" w14:paraId="0EF64157" w14:textId="51699B6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9838BC" w:rsidRPr="009838BC" w:rsidP="009838BC" w14:paraId="1835554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0B790CA" w14:textId="3F986EB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E0AB8" w:rsidP="00DE0AB8" w14:paraId="57220991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4FD5D83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59D420D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1418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D3A845A" w14:textId="5854C60F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3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3E3AEAA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54A1E6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77D45A9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8F44AF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54"/>
    <w:rsid w:val="000072CE"/>
    <w:rsid w:val="00013A8B"/>
    <w:rsid w:val="00021445"/>
    <w:rsid w:val="00036039"/>
    <w:rsid w:val="00037F90"/>
    <w:rsid w:val="00071B26"/>
    <w:rsid w:val="000875BF"/>
    <w:rsid w:val="00096D8C"/>
    <w:rsid w:val="000C0B65"/>
    <w:rsid w:val="000D0580"/>
    <w:rsid w:val="000E3D42"/>
    <w:rsid w:val="000E5884"/>
    <w:rsid w:val="000F451B"/>
    <w:rsid w:val="00122BD5"/>
    <w:rsid w:val="00174BAD"/>
    <w:rsid w:val="001979D9"/>
    <w:rsid w:val="001B23B8"/>
    <w:rsid w:val="001C7A3C"/>
    <w:rsid w:val="001D0748"/>
    <w:rsid w:val="001D6BCF"/>
    <w:rsid w:val="001E01CA"/>
    <w:rsid w:val="002060D9"/>
    <w:rsid w:val="002261FB"/>
    <w:rsid w:val="00226822"/>
    <w:rsid w:val="00250ACD"/>
    <w:rsid w:val="00260594"/>
    <w:rsid w:val="00285017"/>
    <w:rsid w:val="00291643"/>
    <w:rsid w:val="002A2D2E"/>
    <w:rsid w:val="00341836"/>
    <w:rsid w:val="00343749"/>
    <w:rsid w:val="00357D50"/>
    <w:rsid w:val="00377692"/>
    <w:rsid w:val="003925DC"/>
    <w:rsid w:val="003B0550"/>
    <w:rsid w:val="003B0B98"/>
    <w:rsid w:val="003B694F"/>
    <w:rsid w:val="003E5922"/>
    <w:rsid w:val="003F171C"/>
    <w:rsid w:val="00402354"/>
    <w:rsid w:val="00412FC5"/>
    <w:rsid w:val="00422276"/>
    <w:rsid w:val="004242F1"/>
    <w:rsid w:val="00445A00"/>
    <w:rsid w:val="00447BC4"/>
    <w:rsid w:val="00451579"/>
    <w:rsid w:val="00451B0F"/>
    <w:rsid w:val="0046125F"/>
    <w:rsid w:val="00487524"/>
    <w:rsid w:val="00496106"/>
    <w:rsid w:val="004C12D0"/>
    <w:rsid w:val="004C1EFE"/>
    <w:rsid w:val="004C2EE3"/>
    <w:rsid w:val="004D1181"/>
    <w:rsid w:val="004E4A22"/>
    <w:rsid w:val="00511968"/>
    <w:rsid w:val="0055614C"/>
    <w:rsid w:val="00590290"/>
    <w:rsid w:val="0059428D"/>
    <w:rsid w:val="005C4351"/>
    <w:rsid w:val="005C55C8"/>
    <w:rsid w:val="005E3FD1"/>
    <w:rsid w:val="005F5971"/>
    <w:rsid w:val="00607BA5"/>
    <w:rsid w:val="006149A9"/>
    <w:rsid w:val="00626EB6"/>
    <w:rsid w:val="006353A3"/>
    <w:rsid w:val="00655D03"/>
    <w:rsid w:val="006724F4"/>
    <w:rsid w:val="00683F84"/>
    <w:rsid w:val="006A6A81"/>
    <w:rsid w:val="006C3BB5"/>
    <w:rsid w:val="006E26AF"/>
    <w:rsid w:val="006F7393"/>
    <w:rsid w:val="0070224F"/>
    <w:rsid w:val="007115F7"/>
    <w:rsid w:val="0072729C"/>
    <w:rsid w:val="0073182E"/>
    <w:rsid w:val="00736386"/>
    <w:rsid w:val="007517B5"/>
    <w:rsid w:val="007613FA"/>
    <w:rsid w:val="00785689"/>
    <w:rsid w:val="0079754B"/>
    <w:rsid w:val="007A1E6D"/>
    <w:rsid w:val="007B573A"/>
    <w:rsid w:val="007F6512"/>
    <w:rsid w:val="00822CE0"/>
    <w:rsid w:val="00835C1A"/>
    <w:rsid w:val="00837C62"/>
    <w:rsid w:val="00841AB1"/>
    <w:rsid w:val="008A1BBB"/>
    <w:rsid w:val="008C22FD"/>
    <w:rsid w:val="00910F12"/>
    <w:rsid w:val="0092578D"/>
    <w:rsid w:val="00926503"/>
    <w:rsid w:val="00930482"/>
    <w:rsid w:val="00930ECF"/>
    <w:rsid w:val="0094322E"/>
    <w:rsid w:val="009743E4"/>
    <w:rsid w:val="009838BC"/>
    <w:rsid w:val="00A351CB"/>
    <w:rsid w:val="00A43C3A"/>
    <w:rsid w:val="00A45F4F"/>
    <w:rsid w:val="00A575F5"/>
    <w:rsid w:val="00A600A9"/>
    <w:rsid w:val="00A866AC"/>
    <w:rsid w:val="00AA55B7"/>
    <w:rsid w:val="00AA5B9E"/>
    <w:rsid w:val="00AB2407"/>
    <w:rsid w:val="00AB53DF"/>
    <w:rsid w:val="00AD3AA3"/>
    <w:rsid w:val="00B07E5C"/>
    <w:rsid w:val="00B20363"/>
    <w:rsid w:val="00B326E3"/>
    <w:rsid w:val="00B811F7"/>
    <w:rsid w:val="00B933AE"/>
    <w:rsid w:val="00BA1443"/>
    <w:rsid w:val="00BA5DC6"/>
    <w:rsid w:val="00BA6196"/>
    <w:rsid w:val="00BC6D8C"/>
    <w:rsid w:val="00C04041"/>
    <w:rsid w:val="00C16AF2"/>
    <w:rsid w:val="00C205D6"/>
    <w:rsid w:val="00C34006"/>
    <w:rsid w:val="00C40450"/>
    <w:rsid w:val="00C426B1"/>
    <w:rsid w:val="00C72681"/>
    <w:rsid w:val="00C82B6B"/>
    <w:rsid w:val="00C90D6A"/>
    <w:rsid w:val="00CC72B6"/>
    <w:rsid w:val="00D0218D"/>
    <w:rsid w:val="00D1733B"/>
    <w:rsid w:val="00D216CD"/>
    <w:rsid w:val="00D80181"/>
    <w:rsid w:val="00D97601"/>
    <w:rsid w:val="00DA2529"/>
    <w:rsid w:val="00DB0A2A"/>
    <w:rsid w:val="00DB130A"/>
    <w:rsid w:val="00DC10A1"/>
    <w:rsid w:val="00DC655F"/>
    <w:rsid w:val="00DD7EBD"/>
    <w:rsid w:val="00DE0AB8"/>
    <w:rsid w:val="00DE2E8B"/>
    <w:rsid w:val="00DF62B6"/>
    <w:rsid w:val="00E07225"/>
    <w:rsid w:val="00E13A01"/>
    <w:rsid w:val="00E155B7"/>
    <w:rsid w:val="00E21A09"/>
    <w:rsid w:val="00E5409F"/>
    <w:rsid w:val="00E94005"/>
    <w:rsid w:val="00EC0185"/>
    <w:rsid w:val="00EC4A9B"/>
    <w:rsid w:val="00ED3AEB"/>
    <w:rsid w:val="00EE0A17"/>
    <w:rsid w:val="00F021FA"/>
    <w:rsid w:val="00F470EA"/>
    <w:rsid w:val="00F57ACA"/>
    <w:rsid w:val="00F62E97"/>
    <w:rsid w:val="00F64209"/>
    <w:rsid w:val="00F80A5B"/>
    <w:rsid w:val="00F86E0D"/>
    <w:rsid w:val="00F93BF5"/>
    <w:rsid w:val="00F96F6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8113686-DF09-4017-AFAF-4616CA66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290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A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4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144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1443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