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E76D83" w14:paraId="0C786D2F" w14:textId="77777777">
      <w:pPr>
        <w:jc w:val="center"/>
        <w:rPr>
          <w:b/>
          <w:szCs w:val="22"/>
        </w:rPr>
      </w:pPr>
      <w:r w:rsidRPr="00E76D83">
        <w:rPr>
          <w:b/>
          <w:kern w:val="0"/>
          <w:szCs w:val="22"/>
        </w:rPr>
        <w:t>Before</w:t>
      </w:r>
      <w:r w:rsidRPr="00E76D83">
        <w:rPr>
          <w:b/>
          <w:szCs w:val="22"/>
        </w:rPr>
        <w:t xml:space="preserve"> the</w:t>
      </w:r>
    </w:p>
    <w:p w:rsidR="00921803" w:rsidRPr="00E76D83" w:rsidP="00921803" w14:paraId="0301541B" w14:textId="77777777">
      <w:pPr>
        <w:pStyle w:val="StyleBoldCentered"/>
        <w:rPr>
          <w:rFonts w:ascii="Times New Roman" w:hAnsi="Times New Roman"/>
        </w:rPr>
      </w:pPr>
      <w:r w:rsidRPr="00E76D83">
        <w:rPr>
          <w:rFonts w:ascii="Times New Roman" w:hAnsi="Times New Roman"/>
        </w:rPr>
        <w:t>F</w:t>
      </w:r>
      <w:r w:rsidRPr="00E76D83">
        <w:rPr>
          <w:rFonts w:ascii="Times New Roman" w:hAnsi="Times New Roman"/>
          <w:caps w:val="0"/>
        </w:rPr>
        <w:t>ederal Communications Commission</w:t>
      </w:r>
    </w:p>
    <w:p w:rsidR="004C2EE3" w:rsidRPr="00E76D83" w:rsidP="00096D8C" w14:paraId="650453D7" w14:textId="77777777">
      <w:pPr>
        <w:pStyle w:val="StyleBoldCentered"/>
        <w:rPr>
          <w:rFonts w:ascii="Times New Roman" w:hAnsi="Times New Roman"/>
        </w:rPr>
      </w:pPr>
      <w:r w:rsidRPr="00E76D83">
        <w:rPr>
          <w:rFonts w:ascii="Times New Roman" w:hAnsi="Times New Roman"/>
          <w:caps w:val="0"/>
        </w:rPr>
        <w:t>Washington, D.C. 20554</w:t>
      </w:r>
    </w:p>
    <w:p w:rsidR="004C2EE3" w:rsidRPr="00E76D83" w:rsidP="0070224F" w14:paraId="72115C9C" w14:textId="77777777">
      <w:pPr>
        <w:rPr>
          <w:szCs w:val="22"/>
        </w:rPr>
      </w:pPr>
    </w:p>
    <w:p w:rsidR="004C2EE3" w:rsidRPr="00E76D83" w:rsidP="0070224F" w14:paraId="1F1AC708" w14:textId="77777777">
      <w:pPr>
        <w:rPr>
          <w:szCs w:val="22"/>
        </w:rPr>
      </w:pPr>
    </w:p>
    <w:tbl>
      <w:tblPr>
        <w:tblW w:w="0" w:type="auto"/>
        <w:tblLayout w:type="fixed"/>
        <w:tblLook w:val="0000"/>
      </w:tblPr>
      <w:tblGrid>
        <w:gridCol w:w="4698"/>
        <w:gridCol w:w="630"/>
        <w:gridCol w:w="4248"/>
      </w:tblGrid>
      <w:tr w14:paraId="06968C53" w14:textId="77777777">
        <w:tblPrEx>
          <w:tblW w:w="0" w:type="auto"/>
          <w:tblLayout w:type="fixed"/>
          <w:tblLook w:val="0000"/>
        </w:tblPrEx>
        <w:tc>
          <w:tcPr>
            <w:tcW w:w="4698" w:type="dxa"/>
          </w:tcPr>
          <w:p w:rsidR="008D619A" w:rsidP="008D619A" w14:paraId="43B1EBE2" w14:textId="77777777">
            <w:pPr>
              <w:widowControl/>
              <w:rPr>
                <w:szCs w:val="22"/>
              </w:rPr>
            </w:pPr>
            <w:r w:rsidRPr="00F563A3">
              <w:rPr>
                <w:spacing w:val="-2"/>
                <w:szCs w:val="22"/>
              </w:rPr>
              <w:t>In the Matter of</w:t>
            </w:r>
            <w:r w:rsidRPr="00F563A3">
              <w:rPr>
                <w:szCs w:val="22"/>
              </w:rPr>
              <w:t xml:space="preserve"> </w:t>
            </w:r>
          </w:p>
          <w:p w:rsidR="008D619A" w:rsidRPr="00F563A3" w:rsidP="008D619A" w14:paraId="1BB32674" w14:textId="77777777">
            <w:pPr>
              <w:widowControl/>
              <w:rPr>
                <w:szCs w:val="22"/>
              </w:rPr>
            </w:pPr>
          </w:p>
          <w:p w:rsidR="008D619A" w:rsidP="008D619A" w14:paraId="42D6F274" w14:textId="2C2DF616">
            <w:pPr>
              <w:widowControl/>
              <w:rPr>
                <w:spacing w:val="-2"/>
                <w:szCs w:val="22"/>
              </w:rPr>
            </w:pPr>
            <w:r>
              <w:rPr>
                <w:spacing w:val="-2"/>
                <w:szCs w:val="22"/>
              </w:rPr>
              <w:t>Beasley Media Group Licenses, LLC</w:t>
            </w:r>
          </w:p>
          <w:p w:rsidR="00D4568E" w:rsidP="008D619A" w14:paraId="7A467272" w14:textId="7BA1720D">
            <w:pPr>
              <w:widowControl/>
              <w:rPr>
                <w:spacing w:val="-2"/>
                <w:szCs w:val="22"/>
              </w:rPr>
            </w:pPr>
          </w:p>
          <w:p w:rsidR="004C2EE3" w:rsidRPr="00D321D1" w:rsidP="008C4AD3" w14:paraId="2B68360D" w14:textId="2470157D">
            <w:pPr>
              <w:widowControl/>
              <w:rPr>
                <w:bCs/>
                <w:spacing w:val="-2"/>
                <w:szCs w:val="22"/>
              </w:rPr>
            </w:pPr>
            <w:r>
              <w:rPr>
                <w:spacing w:val="-2"/>
                <w:szCs w:val="22"/>
              </w:rPr>
              <w:t xml:space="preserve">Licensee of </w:t>
            </w:r>
            <w:r>
              <w:rPr>
                <w:szCs w:val="22"/>
              </w:rPr>
              <w:t>KDWN(AM), Las Vegas, Nevada</w:t>
            </w:r>
            <w:r w:rsidR="00DA1E64">
              <w:rPr>
                <w:szCs w:val="22"/>
              </w:rPr>
              <w:t xml:space="preserve"> </w:t>
            </w:r>
          </w:p>
        </w:tc>
        <w:tc>
          <w:tcPr>
            <w:tcW w:w="630" w:type="dxa"/>
          </w:tcPr>
          <w:p w:rsidR="004C2EE3" w:rsidRPr="00E76D83" w14:paraId="57EE62FE" w14:textId="77777777">
            <w:pPr>
              <w:tabs>
                <w:tab w:val="center" w:pos="4680"/>
              </w:tabs>
              <w:suppressAutoHyphens/>
              <w:rPr>
                <w:b/>
                <w:spacing w:val="-2"/>
                <w:szCs w:val="22"/>
              </w:rPr>
            </w:pPr>
            <w:r w:rsidRPr="00E76D83">
              <w:rPr>
                <w:b/>
                <w:spacing w:val="-2"/>
                <w:szCs w:val="22"/>
              </w:rPr>
              <w:t>)</w:t>
            </w:r>
          </w:p>
          <w:p w:rsidR="004C2EE3" w:rsidRPr="00E76D83" w14:paraId="6F58950B" w14:textId="77777777">
            <w:pPr>
              <w:tabs>
                <w:tab w:val="center" w:pos="4680"/>
              </w:tabs>
              <w:suppressAutoHyphens/>
              <w:rPr>
                <w:b/>
                <w:spacing w:val="-2"/>
                <w:szCs w:val="22"/>
              </w:rPr>
            </w:pPr>
            <w:r w:rsidRPr="00E76D83">
              <w:rPr>
                <w:b/>
                <w:spacing w:val="-2"/>
                <w:szCs w:val="22"/>
              </w:rPr>
              <w:t>)</w:t>
            </w:r>
          </w:p>
          <w:p w:rsidR="004C2EE3" w:rsidRPr="00E76D83" w14:paraId="345AC0FB" w14:textId="77777777">
            <w:pPr>
              <w:tabs>
                <w:tab w:val="center" w:pos="4680"/>
              </w:tabs>
              <w:suppressAutoHyphens/>
              <w:rPr>
                <w:b/>
                <w:spacing w:val="-2"/>
                <w:szCs w:val="22"/>
              </w:rPr>
            </w:pPr>
            <w:r w:rsidRPr="00E76D83">
              <w:rPr>
                <w:b/>
                <w:spacing w:val="-2"/>
                <w:szCs w:val="22"/>
              </w:rPr>
              <w:t>)</w:t>
            </w:r>
          </w:p>
          <w:p w:rsidR="004C2EE3" w:rsidRPr="00E76D83" w14:paraId="18AA2BF0" w14:textId="77777777">
            <w:pPr>
              <w:tabs>
                <w:tab w:val="center" w:pos="4680"/>
              </w:tabs>
              <w:suppressAutoHyphens/>
              <w:rPr>
                <w:b/>
                <w:spacing w:val="-2"/>
                <w:szCs w:val="22"/>
              </w:rPr>
            </w:pPr>
            <w:r w:rsidRPr="00E76D83">
              <w:rPr>
                <w:b/>
                <w:spacing w:val="-2"/>
                <w:szCs w:val="22"/>
              </w:rPr>
              <w:t>)</w:t>
            </w:r>
          </w:p>
          <w:p w:rsidR="004C2EE3" w:rsidRPr="00E76D83" w14:paraId="536445FE" w14:textId="77777777">
            <w:pPr>
              <w:tabs>
                <w:tab w:val="center" w:pos="4680"/>
              </w:tabs>
              <w:suppressAutoHyphens/>
              <w:rPr>
                <w:b/>
                <w:spacing w:val="-2"/>
                <w:szCs w:val="22"/>
              </w:rPr>
            </w:pPr>
            <w:r w:rsidRPr="00E76D83">
              <w:rPr>
                <w:b/>
                <w:spacing w:val="-2"/>
                <w:szCs w:val="22"/>
              </w:rPr>
              <w:t>)</w:t>
            </w:r>
          </w:p>
          <w:p w:rsidR="004C2EE3" w:rsidRPr="00E76D83" w14:paraId="48DDF6C4" w14:textId="77777777">
            <w:pPr>
              <w:tabs>
                <w:tab w:val="center" w:pos="4680"/>
              </w:tabs>
              <w:suppressAutoHyphens/>
              <w:rPr>
                <w:b/>
                <w:spacing w:val="-2"/>
                <w:szCs w:val="22"/>
              </w:rPr>
            </w:pPr>
            <w:r w:rsidRPr="00E76D83">
              <w:rPr>
                <w:b/>
                <w:spacing w:val="-2"/>
                <w:szCs w:val="22"/>
              </w:rPr>
              <w:t>)</w:t>
            </w:r>
          </w:p>
          <w:p w:rsidR="004C2EE3" w:rsidRPr="00633670" w14:paraId="444E9F68" w14:textId="7AF51F05">
            <w:pPr>
              <w:tabs>
                <w:tab w:val="center" w:pos="4680"/>
              </w:tabs>
              <w:suppressAutoHyphens/>
              <w:rPr>
                <w:b/>
                <w:spacing w:val="-2"/>
                <w:szCs w:val="22"/>
              </w:rPr>
            </w:pPr>
          </w:p>
        </w:tc>
        <w:tc>
          <w:tcPr>
            <w:tcW w:w="4248" w:type="dxa"/>
          </w:tcPr>
          <w:p w:rsidR="004D3C0E" w:rsidP="00EF26CF" w14:paraId="5656999F" w14:textId="77777777">
            <w:pPr>
              <w:widowControl/>
              <w:tabs>
                <w:tab w:val="left" w:pos="72"/>
              </w:tabs>
              <w:rPr>
                <w:szCs w:val="22"/>
              </w:rPr>
            </w:pPr>
          </w:p>
          <w:p w:rsidR="00633670" w:rsidP="00EF26CF" w14:paraId="445628F7" w14:textId="77777777">
            <w:pPr>
              <w:widowControl/>
              <w:tabs>
                <w:tab w:val="left" w:pos="72"/>
              </w:tabs>
              <w:rPr>
                <w:szCs w:val="22"/>
              </w:rPr>
            </w:pPr>
          </w:p>
          <w:p w:rsidR="008D619A" w:rsidRPr="008D280B" w:rsidP="008D619A" w14:paraId="3D332DF5" w14:textId="77777777">
            <w:pPr>
              <w:widowControl/>
              <w:tabs>
                <w:tab w:val="left" w:pos="72"/>
              </w:tabs>
              <w:ind w:left="327"/>
              <w:rPr>
                <w:szCs w:val="22"/>
                <w:lang w:val="es-UY"/>
              </w:rPr>
            </w:pPr>
            <w:r w:rsidRPr="008D280B">
              <w:rPr>
                <w:szCs w:val="22"/>
                <w:lang w:val="es-UY"/>
              </w:rPr>
              <w:t>File No.: EB-IHD-</w:t>
            </w:r>
            <w:r>
              <w:rPr>
                <w:szCs w:val="22"/>
                <w:lang w:val="es-UY"/>
              </w:rPr>
              <w:t>20</w:t>
            </w:r>
            <w:r w:rsidRPr="008D280B">
              <w:rPr>
                <w:szCs w:val="22"/>
                <w:lang w:val="es-UY"/>
              </w:rPr>
              <w:t>-</w:t>
            </w:r>
            <w:r>
              <w:rPr>
                <w:szCs w:val="22"/>
                <w:lang w:val="es-UY"/>
              </w:rPr>
              <w:t>00031587</w:t>
            </w:r>
          </w:p>
          <w:p w:rsidR="008D619A" w:rsidRPr="008D280B" w:rsidP="008D619A" w14:paraId="6F76E0B3" w14:textId="50296774">
            <w:pPr>
              <w:widowControl/>
              <w:tabs>
                <w:tab w:val="left" w:pos="252"/>
                <w:tab w:val="left" w:pos="612"/>
              </w:tabs>
              <w:ind w:left="327"/>
              <w:rPr>
                <w:szCs w:val="22"/>
                <w:lang w:val="es-UY"/>
              </w:rPr>
            </w:pPr>
            <w:r w:rsidRPr="008D280B">
              <w:rPr>
                <w:szCs w:val="22"/>
                <w:lang w:val="es-UY"/>
              </w:rPr>
              <w:t>NAL/</w:t>
            </w:r>
            <w:r w:rsidRPr="008D280B">
              <w:rPr>
                <w:szCs w:val="22"/>
                <w:lang w:val="es-UY"/>
              </w:rPr>
              <w:t>Acct</w:t>
            </w:r>
            <w:r w:rsidRPr="008D280B">
              <w:rPr>
                <w:szCs w:val="22"/>
                <w:lang w:val="es-UY"/>
              </w:rPr>
              <w:t xml:space="preserve">. No.: </w:t>
            </w:r>
            <w:r w:rsidR="00463013">
              <w:rPr>
                <w:szCs w:val="22"/>
                <w:lang w:val="es-UY"/>
              </w:rPr>
              <w:t>202132080029</w:t>
            </w:r>
          </w:p>
          <w:p w:rsidR="008D619A" w:rsidRPr="008D280B" w:rsidP="008D619A" w14:paraId="3E9724EB" w14:textId="4945EF01">
            <w:pPr>
              <w:widowControl/>
              <w:tabs>
                <w:tab w:val="left" w:pos="252"/>
                <w:tab w:val="left" w:pos="612"/>
              </w:tabs>
              <w:ind w:left="327"/>
              <w:rPr>
                <w:lang w:val="es-UY"/>
              </w:rPr>
            </w:pPr>
            <w:r w:rsidRPr="008D280B">
              <w:rPr>
                <w:szCs w:val="22"/>
                <w:lang w:val="es-UY"/>
              </w:rPr>
              <w:t xml:space="preserve">FRN: </w:t>
            </w:r>
            <w:r>
              <w:rPr>
                <w:lang w:val="es-UY"/>
              </w:rPr>
              <w:t>0004077426</w:t>
            </w:r>
          </w:p>
          <w:p w:rsidR="004C2EE3" w:rsidRPr="00E76D83" w14:paraId="54E5951E" w14:textId="0B937336">
            <w:pPr>
              <w:tabs>
                <w:tab w:val="center" w:pos="4680"/>
              </w:tabs>
              <w:suppressAutoHyphens/>
              <w:rPr>
                <w:spacing w:val="-2"/>
                <w:szCs w:val="22"/>
              </w:rPr>
            </w:pPr>
          </w:p>
        </w:tc>
      </w:tr>
    </w:tbl>
    <w:p w:rsidR="004C2EE3" w:rsidRPr="00E76D83" w:rsidP="0070224F" w14:paraId="5891F942" w14:textId="77777777">
      <w:pPr>
        <w:rPr>
          <w:szCs w:val="22"/>
        </w:rPr>
      </w:pPr>
    </w:p>
    <w:p w:rsidR="00841AB1" w:rsidRPr="00E76D83" w:rsidP="00F021FA" w14:paraId="73144026" w14:textId="28DC1F2A">
      <w:pPr>
        <w:pStyle w:val="StyleBoldCentered"/>
        <w:rPr>
          <w:rFonts w:ascii="Times New Roman" w:hAnsi="Times New Roman"/>
        </w:rPr>
      </w:pPr>
      <w:bookmarkStart w:id="0" w:name="_Hlk7005750"/>
      <w:r w:rsidRPr="00E76D83">
        <w:rPr>
          <w:rFonts w:ascii="Times New Roman" w:hAnsi="Times New Roman"/>
        </w:rPr>
        <w:t>NOTICE OF APPARENT LIABILITY FOR FORFEITURE</w:t>
      </w:r>
      <w:bookmarkEnd w:id="0"/>
    </w:p>
    <w:p w:rsidR="004C2EE3" w:rsidRPr="00E76D83" w14:paraId="6AEDF693" w14:textId="77777777">
      <w:pPr>
        <w:tabs>
          <w:tab w:val="left" w:pos="-720"/>
        </w:tabs>
        <w:suppressAutoHyphens/>
        <w:spacing w:line="227" w:lineRule="auto"/>
        <w:rPr>
          <w:spacing w:val="-2"/>
          <w:szCs w:val="22"/>
        </w:rPr>
      </w:pPr>
    </w:p>
    <w:p w:rsidR="004C2EE3" w:rsidP="00133F79" w14:paraId="46196082" w14:textId="4E2482EF">
      <w:pPr>
        <w:tabs>
          <w:tab w:val="left" w:pos="720"/>
          <w:tab w:val="right" w:pos="9360"/>
        </w:tabs>
        <w:suppressAutoHyphens/>
        <w:spacing w:line="227" w:lineRule="auto"/>
        <w:rPr>
          <w:b/>
          <w:spacing w:val="-2"/>
          <w:szCs w:val="22"/>
        </w:rPr>
      </w:pPr>
      <w:r w:rsidRPr="00E76D83">
        <w:rPr>
          <w:b/>
          <w:spacing w:val="-2"/>
          <w:szCs w:val="22"/>
        </w:rPr>
        <w:t xml:space="preserve">Adopted:  </w:t>
      </w:r>
      <w:r w:rsidR="005E18B5">
        <w:rPr>
          <w:b/>
          <w:spacing w:val="-2"/>
          <w:szCs w:val="22"/>
        </w:rPr>
        <w:t>December 10</w:t>
      </w:r>
      <w:r w:rsidRPr="00E76D83" w:rsidR="009E5B1B">
        <w:rPr>
          <w:b/>
          <w:spacing w:val="-2"/>
          <w:szCs w:val="22"/>
        </w:rPr>
        <w:t>, 20</w:t>
      </w:r>
      <w:r w:rsidR="007D4187">
        <w:rPr>
          <w:b/>
          <w:spacing w:val="-2"/>
          <w:szCs w:val="22"/>
        </w:rPr>
        <w:t>21</w:t>
      </w:r>
      <w:r w:rsidRPr="00E76D83">
        <w:rPr>
          <w:b/>
          <w:spacing w:val="-2"/>
          <w:szCs w:val="22"/>
        </w:rPr>
        <w:tab/>
      </w:r>
      <w:r w:rsidRPr="00E76D83" w:rsidR="00822CE0">
        <w:rPr>
          <w:b/>
          <w:spacing w:val="-2"/>
          <w:szCs w:val="22"/>
        </w:rPr>
        <w:t>Released</w:t>
      </w:r>
      <w:r w:rsidRPr="00E76D83">
        <w:rPr>
          <w:b/>
          <w:spacing w:val="-2"/>
          <w:szCs w:val="22"/>
        </w:rPr>
        <w:t>:</w:t>
      </w:r>
      <w:r w:rsidRPr="00E76D83" w:rsidR="00822CE0">
        <w:rPr>
          <w:b/>
          <w:spacing w:val="-2"/>
          <w:szCs w:val="22"/>
        </w:rPr>
        <w:t xml:space="preserve"> </w:t>
      </w:r>
      <w:r w:rsidRPr="00E76D83">
        <w:rPr>
          <w:b/>
          <w:spacing w:val="-2"/>
          <w:szCs w:val="22"/>
        </w:rPr>
        <w:t xml:space="preserve"> </w:t>
      </w:r>
      <w:r w:rsidR="005E18B5">
        <w:rPr>
          <w:b/>
          <w:spacing w:val="-2"/>
          <w:szCs w:val="22"/>
        </w:rPr>
        <w:t>December 10</w:t>
      </w:r>
      <w:r w:rsidRPr="00E76D83" w:rsidR="007D6A36">
        <w:rPr>
          <w:b/>
          <w:spacing w:val="-2"/>
          <w:szCs w:val="22"/>
        </w:rPr>
        <w:t>, 20</w:t>
      </w:r>
      <w:r w:rsidR="007D4187">
        <w:rPr>
          <w:b/>
          <w:spacing w:val="-2"/>
          <w:szCs w:val="22"/>
        </w:rPr>
        <w:t>21</w:t>
      </w:r>
    </w:p>
    <w:p w:rsidR="00FA2EFE" w:rsidP="00133F79" w14:paraId="1CC88966" w14:textId="163C2592">
      <w:pPr>
        <w:tabs>
          <w:tab w:val="left" w:pos="720"/>
          <w:tab w:val="right" w:pos="9360"/>
        </w:tabs>
        <w:suppressAutoHyphens/>
        <w:spacing w:line="227" w:lineRule="auto"/>
        <w:rPr>
          <w:spacing w:val="-2"/>
          <w:szCs w:val="22"/>
        </w:rPr>
      </w:pPr>
    </w:p>
    <w:p w:rsidR="004D3C0E" w:rsidRPr="00E76D83" w:rsidP="004D3C0E" w14:paraId="1040C9FB" w14:textId="1AEED813">
      <w:pPr>
        <w:rPr>
          <w:spacing w:val="-2"/>
          <w:szCs w:val="22"/>
        </w:rPr>
      </w:pPr>
      <w:r w:rsidRPr="00E76D83">
        <w:rPr>
          <w:szCs w:val="22"/>
        </w:rPr>
        <w:t xml:space="preserve">By the </w:t>
      </w:r>
      <w:r w:rsidR="00D4568E">
        <w:rPr>
          <w:spacing w:val="-2"/>
          <w:szCs w:val="22"/>
        </w:rPr>
        <w:t>Chief, Enforcement Bureau</w:t>
      </w:r>
      <w:r w:rsidRPr="00E76D83">
        <w:rPr>
          <w:spacing w:val="-2"/>
          <w:szCs w:val="22"/>
        </w:rPr>
        <w:t>:</w:t>
      </w:r>
    </w:p>
    <w:p w:rsidR="00633670" w:rsidRPr="00E76D83" w14:paraId="54F20549" w14:textId="6B1CD311">
      <w:pPr>
        <w:rPr>
          <w:szCs w:val="22"/>
        </w:rPr>
      </w:pPr>
      <w:bookmarkStart w:id="1" w:name="start_here"/>
      <w:bookmarkEnd w:id="1"/>
    </w:p>
    <w:p w:rsidR="0042735F" w:rsidRPr="00E76D83" w:rsidP="00BB3876" w14:paraId="5C64BA5A" w14:textId="77777777">
      <w:pPr>
        <w:pStyle w:val="Heading1"/>
        <w:rPr>
          <w:rFonts w:ascii="Times New Roman" w:hAnsi="Times New Roman"/>
          <w:szCs w:val="22"/>
        </w:rPr>
      </w:pPr>
      <w:bookmarkStart w:id="2" w:name="_Toc7629831"/>
      <w:bookmarkStart w:id="3" w:name="_Toc7778355"/>
      <w:r w:rsidRPr="00E76D83">
        <w:rPr>
          <w:rFonts w:ascii="Times New Roman" w:hAnsi="Times New Roman"/>
          <w:szCs w:val="22"/>
        </w:rPr>
        <w:t>INTRODUCTION</w:t>
      </w:r>
      <w:bookmarkEnd w:id="2"/>
      <w:bookmarkEnd w:id="3"/>
    </w:p>
    <w:p w:rsidR="003473C1" w:rsidRPr="00981F23" w:rsidP="003473C1" w14:paraId="21E3565E" w14:textId="17C8C8FF">
      <w:pPr>
        <w:pStyle w:val="ParaNum"/>
      </w:pPr>
      <w:r>
        <w:t>We propose a penalty of $</w:t>
      </w:r>
      <w:r w:rsidR="00042222">
        <w:t>20,000</w:t>
      </w:r>
      <w:r>
        <w:t xml:space="preserve"> against </w:t>
      </w:r>
      <w:r w:rsidR="00AA073B">
        <w:t>Beasley Media Group Licenses, LLC (Beasley)</w:t>
      </w:r>
      <w:r>
        <w:t xml:space="preserve"> for</w:t>
      </w:r>
      <w:r w:rsidR="00AA073B">
        <w:t xml:space="preserve"> </w:t>
      </w:r>
      <w:r>
        <w:t xml:space="preserve">apparently </w:t>
      </w:r>
      <w:r w:rsidR="00EC4F25">
        <w:t xml:space="preserve">willfully </w:t>
      </w:r>
      <w:r>
        <w:t xml:space="preserve">violating the Commission’s rules </w:t>
      </w:r>
      <w:r w:rsidR="00F05F70">
        <w:t>that prohibit</w:t>
      </w:r>
      <w:r>
        <w:t xml:space="preserve"> </w:t>
      </w:r>
      <w:r w:rsidR="005C0A46">
        <w:t xml:space="preserve">the transmission of </w:t>
      </w:r>
      <w:r w:rsidR="004C1169">
        <w:t xml:space="preserve">false or deceptive </w:t>
      </w:r>
      <w:r w:rsidR="004C7676">
        <w:t xml:space="preserve">emergency alert system (EAS) </w:t>
      </w:r>
      <w:r>
        <w:t xml:space="preserve">codes or </w:t>
      </w:r>
      <w:r w:rsidR="004C7676">
        <w:t xml:space="preserve">EAS </w:t>
      </w:r>
      <w:r>
        <w:t>Attention Signal</w:t>
      </w:r>
      <w:r w:rsidR="004C7676">
        <w:t>s</w:t>
      </w:r>
      <w:r>
        <w:t>, or simulations thereof (</w:t>
      </w:r>
      <w:r w:rsidR="004C7676">
        <w:t xml:space="preserve">together, </w:t>
      </w:r>
      <w:r>
        <w:t>EAS Tones)</w:t>
      </w:r>
      <w:r w:rsidR="00F05F70">
        <w:t>.</w:t>
      </w:r>
      <w:r>
        <w:t xml:space="preserve"> </w:t>
      </w:r>
      <w:r w:rsidR="00F05F70">
        <w:t xml:space="preserve"> On </w:t>
      </w:r>
      <w:r w:rsidR="00AA073B">
        <w:t>September</w:t>
      </w:r>
      <w:r w:rsidR="00F05F70">
        <w:t xml:space="preserve"> </w:t>
      </w:r>
      <w:r w:rsidR="00FE0490">
        <w:t>2</w:t>
      </w:r>
      <w:r w:rsidR="00AA073B">
        <w:t>6</w:t>
      </w:r>
      <w:r w:rsidR="00F05F70">
        <w:t xml:space="preserve">, 2020, </w:t>
      </w:r>
      <w:r w:rsidR="00AA073B">
        <w:t>Beasley</w:t>
      </w:r>
      <w:r>
        <w:t xml:space="preserve"> </w:t>
      </w:r>
      <w:r w:rsidR="003A7491">
        <w:t>apparently</w:t>
      </w:r>
      <w:r w:rsidR="00885418">
        <w:t xml:space="preserve"> </w:t>
      </w:r>
      <w:r>
        <w:t>transmitted</w:t>
      </w:r>
      <w:r w:rsidR="00591E12">
        <w:t>,</w:t>
      </w:r>
      <w:r w:rsidR="00EC4F25">
        <w:t xml:space="preserve"> or </w:t>
      </w:r>
      <w:r>
        <w:t>caused the transmission o</w:t>
      </w:r>
      <w:r w:rsidR="00AA073B">
        <w:t>f</w:t>
      </w:r>
      <w:r w:rsidR="00A46E86">
        <w:t>,</w:t>
      </w:r>
      <w:r>
        <w:t xml:space="preserve"> EAS Tones during </w:t>
      </w:r>
      <w:r w:rsidRPr="00867A8F" w:rsidR="00867A8F">
        <w:rPr>
          <w:i/>
          <w:iCs/>
        </w:rPr>
        <w:t>T</w:t>
      </w:r>
      <w:r w:rsidRPr="00867A8F">
        <w:rPr>
          <w:i/>
          <w:iCs/>
        </w:rPr>
        <w:t xml:space="preserve">he </w:t>
      </w:r>
      <w:r w:rsidRPr="00867A8F" w:rsidR="00AA073B">
        <w:rPr>
          <w:i/>
          <w:iCs/>
        </w:rPr>
        <w:t>Doug Basham Radio Show</w:t>
      </w:r>
      <w:r>
        <w:t>, in the absence of any actual emergency, authorized test of the EAS</w:t>
      </w:r>
      <w:r w:rsidR="00591E12">
        <w:t>,</w:t>
      </w:r>
      <w:r>
        <w:t xml:space="preserve"> or qualified public service announcement (PSA).</w:t>
      </w:r>
    </w:p>
    <w:p w:rsidR="004E7F9F" w:rsidP="00131954" w14:paraId="77368213" w14:textId="05836E2B">
      <w:pPr>
        <w:pStyle w:val="ParaNum"/>
        <w:widowControl/>
      </w:pPr>
      <w:r w:rsidRPr="224F0C9F">
        <w:t xml:space="preserve">The </w:t>
      </w:r>
      <w:r w:rsidRPr="224F0C9F" w:rsidR="003473C1">
        <w:t>EAS</w:t>
      </w:r>
      <w:r>
        <w:rPr>
          <w:szCs w:val="22"/>
        </w:rPr>
        <w:t xml:space="preserve"> </w:t>
      </w:r>
      <w:r w:rsidRPr="224F0C9F">
        <w:t>is a national 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w:t>
      </w:r>
      <w:r>
        <w:rPr>
          <w:rStyle w:val="FootnoteReference"/>
          <w:sz w:val="22"/>
          <w:szCs w:val="22"/>
        </w:rPr>
        <w:footnoteReference w:id="3"/>
      </w:r>
      <w:r>
        <w:rPr>
          <w:szCs w:val="22"/>
        </w:rPr>
        <w:t xml:space="preserve">  </w:t>
      </w:r>
      <w:r w:rsidRPr="224F0C9F">
        <w:t>Federal, state, and local authorities may also use the EAS to deliver important emergency information, such as AMBER alerts and weather information targeted to specific areas.</w:t>
      </w:r>
      <w:r>
        <w:rPr>
          <w:rStyle w:val="FootnoteReference"/>
          <w:sz w:val="22"/>
          <w:szCs w:val="22"/>
        </w:rPr>
        <w:footnoteReference w:id="4"/>
      </w:r>
      <w:r w:rsidRPr="00E76D83">
        <w:rPr>
          <w:szCs w:val="22"/>
        </w:rPr>
        <w:t xml:space="preserve">  </w:t>
      </w:r>
    </w:p>
    <w:p w:rsidR="00FA1BAC" w:rsidP="009F7601" w14:paraId="4940250A" w14:textId="2E1CCF95">
      <w:pPr>
        <w:pStyle w:val="ParaNum"/>
        <w:widowControl/>
      </w:pPr>
      <w:r w:rsidRPr="224F0C9F">
        <w:t xml:space="preserve">To preserve the unique purpose </w:t>
      </w:r>
      <w:r w:rsidRPr="224F0C9F" w:rsidR="00867FCD">
        <w:t xml:space="preserve">and effectiveness </w:t>
      </w:r>
      <w:r w:rsidRPr="224F0C9F">
        <w:t xml:space="preserve">of the EAS </w:t>
      </w:r>
      <w:r w:rsidRPr="224F0C9F" w:rsidR="009B0281">
        <w:t>T</w:t>
      </w:r>
      <w:r w:rsidRPr="224F0C9F">
        <w:t>ones, the Commission enforc</w:t>
      </w:r>
      <w:r w:rsidRPr="224F0C9F" w:rsidR="007A3BD8">
        <w:t>es</w:t>
      </w:r>
      <w:r w:rsidRPr="224F0C9F">
        <w:t xml:space="preserve"> laws that prohibit the</w:t>
      </w:r>
      <w:r w:rsidRPr="224F0C9F" w:rsidR="007A3BD8">
        <w:t>ir</w:t>
      </w:r>
      <w:r w:rsidRPr="224F0C9F">
        <w:t xml:space="preserve"> use, or simulations of them,</w:t>
      </w:r>
      <w:r>
        <w:rPr>
          <w:rStyle w:val="FootnoteReference"/>
          <w:sz w:val="22"/>
          <w:szCs w:val="22"/>
        </w:rPr>
        <w:footnoteReference w:id="5"/>
      </w:r>
      <w:r w:rsidRPr="224F0C9F">
        <w:t xml:space="preserve"> except </w:t>
      </w:r>
      <w:r w:rsidRPr="224F0C9F" w:rsidR="0098155F">
        <w:t>for specific Permitted Uses</w:t>
      </w:r>
      <w:r w:rsidRPr="00E76D83">
        <w:rPr>
          <w:szCs w:val="22"/>
        </w:rPr>
        <w:t>.</w:t>
      </w:r>
      <w:r>
        <w:rPr>
          <w:rStyle w:val="FootnoteReference"/>
        </w:rPr>
        <w:footnoteReference w:id="6"/>
      </w:r>
      <w:r w:rsidRPr="224F0C9F">
        <w:t xml:space="preserve">  The Commission has warned that the use of simulated or actual EAS </w:t>
      </w:r>
      <w:r w:rsidRPr="224F0C9F" w:rsidR="009B0281">
        <w:t>T</w:t>
      </w:r>
      <w:r w:rsidRPr="224F0C9F">
        <w:t>ones for non-authorized purposes</w:t>
      </w:r>
      <w:r w:rsidRPr="00E76D83" w:rsidR="007A2E87">
        <w:rPr>
          <w:szCs w:val="22"/>
        </w:rPr>
        <w:t>—</w:t>
      </w:r>
      <w:r w:rsidRPr="224F0C9F">
        <w:t>such as commercial or entertainment purposes</w:t>
      </w:r>
      <w:r w:rsidRPr="00E76D83" w:rsidR="007A2E87">
        <w:rPr>
          <w:szCs w:val="22"/>
        </w:rPr>
        <w:t>—</w:t>
      </w:r>
      <w:r w:rsidRPr="224F0C9F">
        <w:t>can lead to “alert fatigue</w:t>
      </w:r>
      <w:r w:rsidR="00A44631">
        <w:rPr>
          <w:szCs w:val="22"/>
        </w:rPr>
        <w:t>,</w:t>
      </w:r>
      <w:r w:rsidRPr="224F0C9F">
        <w:t xml:space="preserve">” whereby the public becomes </w:t>
      </w:r>
      <w:r w:rsidRPr="224F0C9F">
        <w:t xml:space="preserve">desensitized to the alerts, questioning </w:t>
      </w:r>
      <w:r w:rsidRPr="224F0C9F" w:rsidR="00A44631">
        <w:t xml:space="preserve">or simply disregarding </w:t>
      </w:r>
      <w:r w:rsidRPr="224F0C9F">
        <w:t>whether</w:t>
      </w:r>
      <w:r w:rsidRPr="224F0C9F" w:rsidR="00A44631">
        <w:t xml:space="preserve"> a particular </w:t>
      </w:r>
      <w:r w:rsidRPr="224F0C9F">
        <w:t>alert</w:t>
      </w:r>
      <w:r w:rsidRPr="224F0C9F" w:rsidR="00A44631">
        <w:t xml:space="preserve"> is intended to warn about</w:t>
      </w:r>
      <w:r w:rsidRPr="224F0C9F">
        <w:t xml:space="preserve"> a real, imminent threat or some other cause.</w:t>
      </w:r>
      <w:r>
        <w:rPr>
          <w:rStyle w:val="FootnoteReference"/>
          <w:sz w:val="22"/>
          <w:szCs w:val="22"/>
        </w:rPr>
        <w:footnoteReference w:id="7"/>
      </w:r>
      <w:r w:rsidRPr="224F0C9F">
        <w:t xml:space="preserve">  Moreover, because the EAS </w:t>
      </w:r>
      <w:r w:rsidRPr="224F0C9F" w:rsidR="009B0281">
        <w:t>T</w:t>
      </w:r>
      <w:r w:rsidRPr="224F0C9F">
        <w:t>ones include operative data elements,</w:t>
      </w:r>
      <w:r>
        <w:rPr>
          <w:rStyle w:val="FootnoteReference"/>
          <w:sz w:val="22"/>
          <w:szCs w:val="22"/>
        </w:rPr>
        <w:footnoteReference w:id="8"/>
      </w:r>
      <w:r w:rsidRPr="224F0C9F">
        <w:t xml:space="preserve"> the misuse of simulated or actual EAS </w:t>
      </w:r>
      <w:r w:rsidRPr="224F0C9F" w:rsidR="009B0281">
        <w:t>T</w:t>
      </w:r>
      <w:r w:rsidRPr="224F0C9F">
        <w:t xml:space="preserve">ones may result in false activations of the EAS that can spread false information or lock out legitimate activations of the EAS. </w:t>
      </w:r>
      <w:r w:rsidR="00151C34">
        <w:rPr>
          <w:szCs w:val="22"/>
        </w:rPr>
        <w:t xml:space="preserve"> </w:t>
      </w:r>
      <w:r w:rsidRPr="224F0C9F">
        <w:t xml:space="preserve">Unauthorized use of the EAS Tones thus </w:t>
      </w:r>
      <w:r w:rsidRPr="224F0C9F" w:rsidR="00861124">
        <w:t xml:space="preserve">undermines the </w:t>
      </w:r>
      <w:r w:rsidRPr="224F0C9F" w:rsidR="6064FE4D">
        <w:t xml:space="preserve">integrity and effectiveness of the </w:t>
      </w:r>
      <w:r w:rsidRPr="224F0C9F" w:rsidR="00861124">
        <w:t xml:space="preserve">EAS and </w:t>
      </w:r>
      <w:r w:rsidRPr="224F0C9F">
        <w:t>presents a substantial threat to public safety.</w:t>
      </w:r>
      <w:r w:rsidR="009F7601">
        <w:rPr>
          <w:szCs w:val="22"/>
        </w:rPr>
        <w:t xml:space="preserve">  </w:t>
      </w:r>
    </w:p>
    <w:p w:rsidR="0042735F" w:rsidP="00AC64D6" w14:paraId="1BCB2982" w14:textId="2BDB513C">
      <w:pPr>
        <w:pStyle w:val="ParaNum"/>
        <w:widowControl/>
      </w:pPr>
      <w:bookmarkStart w:id="4" w:name="_Hlk7092816"/>
      <w:r w:rsidRPr="224F0C9F">
        <w:t>In this Notice of Apparent Liability</w:t>
      </w:r>
      <w:r w:rsidRPr="224F0C9F" w:rsidR="00AA4158">
        <w:t xml:space="preserve"> for Forfeiture</w:t>
      </w:r>
      <w:r w:rsidRPr="224F0C9F" w:rsidR="00D90D3C">
        <w:t>, w</w:t>
      </w:r>
      <w:r w:rsidRPr="224F0C9F" w:rsidR="007B167A">
        <w:t xml:space="preserve">e find that </w:t>
      </w:r>
      <w:r w:rsidRPr="224F0C9F" w:rsidR="00C36F61">
        <w:t>Beasley</w:t>
      </w:r>
      <w:r w:rsidRPr="224F0C9F" w:rsidR="007B167A">
        <w:t xml:space="preserve"> apparently willfully violated section 11.45</w:t>
      </w:r>
      <w:r w:rsidRPr="224F0C9F" w:rsidR="009F7601">
        <w:t>(a)</w:t>
      </w:r>
      <w:r w:rsidRPr="224F0C9F" w:rsidR="007B167A">
        <w:t xml:space="preserve"> of the Commission’s rules</w:t>
      </w:r>
      <w:r>
        <w:rPr>
          <w:rStyle w:val="FootnoteReference"/>
          <w:sz w:val="22"/>
          <w:szCs w:val="22"/>
        </w:rPr>
        <w:footnoteReference w:id="9"/>
      </w:r>
      <w:r w:rsidRPr="224F0C9F" w:rsidR="007B167A">
        <w:t xml:space="preserve"> </w:t>
      </w:r>
      <w:r w:rsidRPr="224F0C9F" w:rsidR="008460AF">
        <w:t>on September 26, 202</w:t>
      </w:r>
      <w:r w:rsidR="00A8615F">
        <w:t>0</w:t>
      </w:r>
      <w:r w:rsidRPr="008460AF" w:rsidR="008460AF">
        <w:t xml:space="preserve"> </w:t>
      </w:r>
      <w:r w:rsidRPr="224F0C9F" w:rsidR="007B167A">
        <w:t xml:space="preserve">when </w:t>
      </w:r>
      <w:r w:rsidRPr="224F0C9F" w:rsidR="00151C34">
        <w:t>it</w:t>
      </w:r>
      <w:r w:rsidRPr="00AC64D6" w:rsidR="00151C34">
        <w:rPr>
          <w:szCs w:val="22"/>
        </w:rPr>
        <w:t xml:space="preserve"> </w:t>
      </w:r>
      <w:r w:rsidRPr="224F0C9F" w:rsidR="007B167A">
        <w:t xml:space="preserve">transmitted </w:t>
      </w:r>
      <w:r w:rsidRPr="224F0C9F" w:rsidR="00861124">
        <w:t xml:space="preserve">or </w:t>
      </w:r>
      <w:r w:rsidRPr="224F0C9F" w:rsidR="007B167A">
        <w:t xml:space="preserve">caused the transmission of EAS Tones </w:t>
      </w:r>
      <w:r w:rsidRPr="224F0C9F" w:rsidR="00C36F61">
        <w:t xml:space="preserve">during </w:t>
      </w:r>
      <w:r w:rsidRPr="00867A8F" w:rsidR="00867A8F">
        <w:rPr>
          <w:i/>
          <w:iCs/>
        </w:rPr>
        <w:t>T</w:t>
      </w:r>
      <w:r w:rsidRPr="00867A8F" w:rsidR="00C36F61">
        <w:rPr>
          <w:i/>
          <w:iCs/>
        </w:rPr>
        <w:t>he Doug Basham Radio Show</w:t>
      </w:r>
      <w:r w:rsidR="00AC64D6">
        <w:rPr>
          <w:szCs w:val="22"/>
        </w:rPr>
        <w:t xml:space="preserve"> </w:t>
      </w:r>
      <w:r w:rsidR="008460AF">
        <w:t>on Station KDWN(AM)</w:t>
      </w:r>
      <w:r>
        <w:rPr>
          <w:rStyle w:val="FootnoteReference"/>
        </w:rPr>
        <w:footnoteReference w:id="10"/>
      </w:r>
      <w:r w:rsidR="008460AF">
        <w:t xml:space="preserve"> </w:t>
      </w:r>
      <w:r w:rsidRPr="224F0C9F" w:rsidR="007B167A">
        <w:t>in the absence of any actual emergency, authorized test of the EAS, or qualified PSA.</w:t>
      </w:r>
      <w:r>
        <w:rPr>
          <w:rStyle w:val="FootnoteReference"/>
          <w:sz w:val="22"/>
          <w:szCs w:val="22"/>
        </w:rPr>
        <w:footnoteReference w:id="11"/>
      </w:r>
      <w:r w:rsidRPr="00AC64D6" w:rsidR="00BA4618">
        <w:rPr>
          <w:szCs w:val="22"/>
        </w:rPr>
        <w:t xml:space="preserve"> </w:t>
      </w:r>
      <w:r w:rsidR="00172479">
        <w:rPr>
          <w:szCs w:val="22"/>
        </w:rPr>
        <w:t xml:space="preserve"> </w:t>
      </w:r>
      <w:r w:rsidRPr="224F0C9F" w:rsidR="00172479">
        <w:t>The prohibition on such transmissions has been in place for many years</w:t>
      </w:r>
      <w:r w:rsidR="00172479">
        <w:rPr>
          <w:szCs w:val="22"/>
        </w:rPr>
        <w:t>,</w:t>
      </w:r>
      <w:r w:rsidRPr="224F0C9F" w:rsidR="00172479">
        <w:t xml:space="preserve"> and </w:t>
      </w:r>
      <w:r w:rsidR="00C47937">
        <w:t>the Commission has repeatedly made its requirements clear</w:t>
      </w:r>
      <w:r w:rsidRPr="224F0C9F" w:rsidR="00172479">
        <w:t>.</w:t>
      </w:r>
      <w:r>
        <w:rPr>
          <w:rStyle w:val="FootnoteReference"/>
          <w:sz w:val="22"/>
          <w:szCs w:val="22"/>
        </w:rPr>
        <w:footnoteReference w:id="12"/>
      </w:r>
      <w:r w:rsidRPr="00AC64D6" w:rsidR="009F7601">
        <w:rPr>
          <w:szCs w:val="22"/>
        </w:rPr>
        <w:t xml:space="preserve"> </w:t>
      </w:r>
      <w:r w:rsidR="00172479">
        <w:rPr>
          <w:szCs w:val="22"/>
        </w:rPr>
        <w:t xml:space="preserve"> </w:t>
      </w:r>
      <w:r w:rsidRPr="224F0C9F" w:rsidR="007B167A">
        <w:t xml:space="preserve">Accordingly, based on our review of the facts and circumstances surrounding </w:t>
      </w:r>
      <w:r w:rsidR="004A0D92">
        <w:t>this</w:t>
      </w:r>
      <w:r w:rsidRPr="224F0C9F" w:rsidR="004A0D92">
        <w:t xml:space="preserve"> </w:t>
      </w:r>
      <w:r w:rsidRPr="224F0C9F" w:rsidR="007B167A">
        <w:t>apparent violation</w:t>
      </w:r>
      <w:r w:rsidRPr="224F0C9F" w:rsidR="00AA6FC4">
        <w:t xml:space="preserve"> of </w:t>
      </w:r>
      <w:r w:rsidRPr="224F0C9F" w:rsidR="007B167A">
        <w:t>section</w:t>
      </w:r>
      <w:r w:rsidR="00402F8B">
        <w:rPr>
          <w:szCs w:val="22"/>
        </w:rPr>
        <w:t xml:space="preserve"> </w:t>
      </w:r>
      <w:r w:rsidRPr="224F0C9F" w:rsidR="007B167A">
        <w:t>11.45</w:t>
      </w:r>
      <w:r w:rsidRPr="224F0C9F" w:rsidR="003F182C">
        <w:t>(a)</w:t>
      </w:r>
      <w:r w:rsidRPr="224F0C9F" w:rsidR="007B167A">
        <w:t xml:space="preserve"> of the </w:t>
      </w:r>
      <w:r w:rsidRPr="224F0C9F" w:rsidR="004A1A5A">
        <w:t>Commission’s rules</w:t>
      </w:r>
      <w:r w:rsidRPr="224F0C9F" w:rsidR="007B167A">
        <w:t>, we propose a forfeiture of $</w:t>
      </w:r>
      <w:r w:rsidR="00042222">
        <w:t>20,000</w:t>
      </w:r>
      <w:r w:rsidRPr="224F0C9F" w:rsidR="007B167A">
        <w:t xml:space="preserve"> against </w:t>
      </w:r>
      <w:r w:rsidRPr="224F0C9F" w:rsidR="009F7601">
        <w:t>Beasley</w:t>
      </w:r>
      <w:r w:rsidRPr="00AC64D6" w:rsidR="007B167A">
        <w:rPr>
          <w:szCs w:val="22"/>
        </w:rPr>
        <w:t>.</w:t>
      </w:r>
    </w:p>
    <w:p w:rsidR="0042735F" w:rsidRPr="00E76D83" w:rsidP="00BB3876" w14:paraId="5C041593" w14:textId="77777777">
      <w:pPr>
        <w:pStyle w:val="Heading1"/>
        <w:rPr>
          <w:rFonts w:ascii="Times New Roman" w:hAnsi="Times New Roman"/>
          <w:szCs w:val="22"/>
        </w:rPr>
      </w:pPr>
      <w:bookmarkStart w:id="8" w:name="_Toc7629832"/>
      <w:bookmarkStart w:id="9" w:name="_Toc7778356"/>
      <w:bookmarkEnd w:id="4"/>
      <w:r w:rsidRPr="00E76D83">
        <w:rPr>
          <w:rFonts w:ascii="Times New Roman" w:hAnsi="Times New Roman"/>
          <w:szCs w:val="22"/>
        </w:rPr>
        <w:t>BACKGROUND</w:t>
      </w:r>
      <w:bookmarkEnd w:id="8"/>
      <w:bookmarkEnd w:id="9"/>
    </w:p>
    <w:p w:rsidR="00D86AA9" w:rsidP="00633670" w14:paraId="5A411749" w14:textId="26737FF2">
      <w:pPr>
        <w:pStyle w:val="Heading2"/>
      </w:pPr>
      <w:r>
        <w:t>Legal Framework</w:t>
      </w:r>
    </w:p>
    <w:p w:rsidR="00657897" w:rsidRPr="00A5022F" w:rsidP="00657897" w14:paraId="06711BF1" w14:textId="77777777">
      <w:pPr>
        <w:pStyle w:val="ParaNum"/>
      </w:pPr>
      <w:r w:rsidRPr="00657897">
        <w:t>Pursuant to section 503(b)(1) of the Communications Act of 1934, as amended</w:t>
      </w:r>
      <w:r w:rsidRPr="00657897">
        <w:rPr>
          <w:szCs w:val="22"/>
        </w:rPr>
        <w:t xml:space="preserve"> (</w:t>
      </w:r>
      <w:r w:rsidRPr="00657897">
        <w:t>Act</w:t>
      </w:r>
      <w:r w:rsidRPr="00657897">
        <w:rPr>
          <w:szCs w:val="22"/>
        </w:rPr>
        <w:t>)</w:t>
      </w:r>
      <w:r w:rsidRPr="00657897">
        <w:t xml:space="preserve">, any person who is determined by the Commission to have </w:t>
      </w:r>
      <w:r w:rsidRPr="00A5022F">
        <w:t>willfully or repeatedly failed to comply with any provision of the Act or any rule, regulation, or order issued by the Commission shall be liable to the United States for a forfeiture penalty.</w:t>
      </w:r>
      <w:r>
        <w:rPr>
          <w:rStyle w:val="FootnoteReference"/>
          <w:sz w:val="22"/>
          <w:szCs w:val="22"/>
        </w:rPr>
        <w:footnoteReference w:id="13"/>
      </w:r>
      <w:r w:rsidRPr="00657897">
        <w:t xml:space="preserve">  Section 312(f)(1) of the Act defines willful as “the conscious and deliberate commission or omission of such act, irrespective of any intent to violate” the law.</w:t>
      </w:r>
      <w:r>
        <w:rPr>
          <w:rStyle w:val="FootnoteReference"/>
          <w:sz w:val="22"/>
          <w:szCs w:val="22"/>
        </w:rPr>
        <w:footnoteReference w:id="14"/>
      </w:r>
      <w:r w:rsidRPr="00657897">
        <w:t xml:space="preserve">  The legislative history to section 312(f)(1) of the Act clarifies that this definition of willful applies to both sections 312 and 503</w:t>
      </w:r>
      <w:r w:rsidRPr="00A5022F">
        <w:t>(b) of the Act,</w:t>
      </w:r>
      <w:r>
        <w:rPr>
          <w:rStyle w:val="FootnoteReference"/>
          <w:sz w:val="22"/>
          <w:szCs w:val="22"/>
        </w:rPr>
        <w:footnoteReference w:id="15"/>
      </w:r>
      <w:r w:rsidRPr="00657897">
        <w:t xml:space="preserve"> and the Commission has so interpreted the term in the section 503(b) context.</w:t>
      </w:r>
      <w:r>
        <w:rPr>
          <w:rStyle w:val="FootnoteReference"/>
          <w:sz w:val="22"/>
          <w:szCs w:val="22"/>
        </w:rPr>
        <w:footnoteReference w:id="16"/>
      </w:r>
      <w:r w:rsidRPr="00657897">
        <w:t xml:space="preserve">  In order to impose such a penalty, the Commission must issue a notice of apparent liability, the notice must be received, and the person against whom the notice has been issued must have an opportunity to show, in writing, why no such penalty should be imposed</w:t>
      </w:r>
      <w:r w:rsidRPr="00A5022F">
        <w:rPr>
          <w:szCs w:val="22"/>
        </w:rPr>
        <w:t>.</w:t>
      </w:r>
      <w:r>
        <w:rPr>
          <w:rStyle w:val="FootnoteReference"/>
        </w:rPr>
        <w:footnoteReference w:id="17"/>
      </w:r>
      <w:r w:rsidRPr="00657897">
        <w:t xml:space="preserve">  The Commission will then issue a forfeiture if it finds, by a preponderance of the evidence, that the person has willfully or repeatedly violated the Act or a Commission rule.</w:t>
      </w:r>
      <w:r>
        <w:rPr>
          <w:rStyle w:val="FootnoteReference"/>
        </w:rPr>
        <w:footnoteReference w:id="18"/>
      </w:r>
    </w:p>
    <w:p w:rsidR="00D86AA9" w:rsidP="009030D4" w14:paraId="66506552" w14:textId="18D58BCE">
      <w:pPr>
        <w:pStyle w:val="ParaNum"/>
        <w:widowControl/>
        <w:rPr>
          <w:snapToGrid/>
          <w:kern w:val="0"/>
          <w:szCs w:val="22"/>
        </w:rPr>
      </w:pPr>
      <w:bookmarkStart w:id="10" w:name="ID8C6A0A2DFB711E09E30CFCCF2216C1F"/>
      <w:bookmarkEnd w:id="10"/>
      <w:r w:rsidRPr="00657897">
        <w:rPr>
          <w:color w:val="000000"/>
        </w:rPr>
        <w:t>Under section 11.45</w:t>
      </w:r>
      <w:r w:rsidRPr="00657897" w:rsidR="00485161">
        <w:rPr>
          <w:color w:val="000000"/>
        </w:rPr>
        <w:t>(a)</w:t>
      </w:r>
      <w:r w:rsidRPr="00657897">
        <w:rPr>
          <w:color w:val="000000"/>
        </w:rPr>
        <w:t xml:space="preserve"> of the </w:t>
      </w:r>
      <w:r w:rsidRPr="00657897" w:rsidR="00955F41">
        <w:rPr>
          <w:color w:val="000000"/>
        </w:rPr>
        <w:t>Commission’s rules</w:t>
      </w:r>
      <w:r w:rsidRPr="00657897">
        <w:rPr>
          <w:color w:val="000000"/>
        </w:rPr>
        <w:t xml:space="preserve">, “[n]o person may transmit or cause to transmit the EAS codes or Attention Signal, or a recording or simulation thereof, </w:t>
      </w:r>
      <w:r w:rsidRPr="00A5022F">
        <w:t>in any circumstance other than in an actual National, State or Local Area emergency or authorized test of the EAS</w:t>
      </w:r>
      <w:r w:rsidRPr="00A5022F" w:rsidR="00506097">
        <w:rPr>
          <w:szCs w:val="22"/>
        </w:rPr>
        <w:t>;</w:t>
      </w:r>
      <w:r w:rsidRPr="00A5022F">
        <w:t xml:space="preserve"> or as</w:t>
      </w:r>
      <w:r w:rsidRPr="224F0C9F">
        <w:t xml:space="preserve"> specified in [sections] 10.520(d), 11.46, and 11.61 of this chapter.”</w:t>
      </w:r>
      <w:r w:rsidRPr="00437F4A" w:rsidR="002D1958">
        <w:rPr>
          <w:rStyle w:val="FootnoteReference"/>
          <w:sz w:val="22"/>
          <w:szCs w:val="22"/>
        </w:rPr>
        <w:t xml:space="preserve"> </w:t>
      </w:r>
      <w:r>
        <w:rPr>
          <w:rStyle w:val="FootnoteReference"/>
          <w:sz w:val="22"/>
          <w:szCs w:val="22"/>
        </w:rPr>
        <w:footnoteReference w:id="19"/>
      </w:r>
      <w:r w:rsidRPr="00437F4A">
        <w:rPr>
          <w:szCs w:val="22"/>
        </w:rPr>
        <w:t xml:space="preserve"> </w:t>
      </w:r>
      <w:r w:rsidRPr="00437F4A" w:rsidR="002D1958">
        <w:rPr>
          <w:szCs w:val="22"/>
        </w:rPr>
        <w:t xml:space="preserve"> </w:t>
      </w:r>
      <w:r w:rsidRPr="224F0C9F">
        <w:rPr>
          <w:color w:val="000000"/>
        </w:rPr>
        <w:t xml:space="preserve">The Commission adopted section 11.45 </w:t>
      </w:r>
      <w:r w:rsidRPr="224F0C9F" w:rsidR="00472673">
        <w:rPr>
          <w:color w:val="000000"/>
        </w:rPr>
        <w:t xml:space="preserve">in 1994 </w:t>
      </w:r>
      <w:r w:rsidRPr="224F0C9F">
        <w:rPr>
          <w:color w:val="000000"/>
        </w:rPr>
        <w:t>to protect the integrity and operation of the EAS</w:t>
      </w:r>
      <w:r w:rsidRPr="224F0C9F" w:rsidR="00472673">
        <w:rPr>
          <w:color w:val="000000"/>
        </w:rPr>
        <w:t>,</w:t>
      </w:r>
      <w:r>
        <w:rPr>
          <w:rStyle w:val="FootnoteReference"/>
        </w:rPr>
        <w:footnoteReference w:id="20"/>
      </w:r>
      <w:r w:rsidRPr="224F0C9F">
        <w:rPr>
          <w:color w:val="000000"/>
        </w:rPr>
        <w:t xml:space="preserve"> acknowledging that </w:t>
      </w:r>
      <w:r w:rsidRPr="224F0C9F" w:rsidR="007061DE">
        <w:rPr>
          <w:color w:val="000000"/>
        </w:rPr>
        <w:t xml:space="preserve">while </w:t>
      </w:r>
      <w:r w:rsidRPr="224F0C9F">
        <w:rPr>
          <w:color w:val="000000"/>
        </w:rPr>
        <w:t xml:space="preserve">existing laws prohibited false distress signals and broadcast hoaxes, “a specific prohibition against the misuse of the EAS attention signal and codes is necessary . . . because it is more specific and directly addresses the proper use of EAS codes and </w:t>
      </w:r>
      <w:r w:rsidRPr="224F0C9F" w:rsidR="00202F45">
        <w:rPr>
          <w:color w:val="000000"/>
        </w:rPr>
        <w:t>T</w:t>
      </w:r>
      <w:r w:rsidRPr="224F0C9F">
        <w:rPr>
          <w:color w:val="000000"/>
        </w:rPr>
        <w:t>ones.”</w:t>
      </w:r>
      <w:r>
        <w:rPr>
          <w:rStyle w:val="FootnoteReference"/>
          <w:sz w:val="22"/>
          <w:szCs w:val="22"/>
        </w:rPr>
        <w:footnoteReference w:id="21"/>
      </w:r>
      <w:r w:rsidRPr="224F0C9F" w:rsidR="001513D0">
        <w:rPr>
          <w:color w:val="000000"/>
        </w:rPr>
        <w:t xml:space="preserve">  </w:t>
      </w:r>
    </w:p>
    <w:p w:rsidR="00633670" w:rsidRPr="00633670" w:rsidP="00633670" w14:paraId="141BCE65" w14:textId="602E2483">
      <w:pPr>
        <w:pStyle w:val="Heading2"/>
        <w:rPr>
          <w:snapToGrid/>
        </w:rPr>
      </w:pPr>
      <w:bookmarkStart w:id="11" w:name="co_fnRef_FN_F2_ID0EQG_1"/>
      <w:bookmarkEnd w:id="11"/>
      <w:r>
        <w:t>Factual Background</w:t>
      </w:r>
    </w:p>
    <w:p w:rsidR="0042735F" w:rsidRPr="008E684F" w:rsidP="008E684F" w14:paraId="23BC8ED5" w14:textId="6B9E498A">
      <w:pPr>
        <w:pStyle w:val="ParaNum"/>
        <w:widowControl/>
        <w:autoSpaceDE w:val="0"/>
        <w:autoSpaceDN w:val="0"/>
        <w:adjustRightInd w:val="0"/>
        <w:rPr>
          <w:snapToGrid/>
        </w:rPr>
      </w:pPr>
      <w:r w:rsidRPr="224F0C9F">
        <w:rPr>
          <w:snapToGrid/>
          <w:kern w:val="0"/>
        </w:rPr>
        <w:t>Beasley is 100</w:t>
      </w:r>
      <w:r w:rsidR="00B87F12">
        <w:rPr>
          <w:snapToGrid/>
          <w:kern w:val="0"/>
          <w:szCs w:val="22"/>
        </w:rPr>
        <w:t xml:space="preserve">% </w:t>
      </w:r>
      <w:r w:rsidRPr="224F0C9F">
        <w:rPr>
          <w:snapToGrid/>
          <w:kern w:val="0"/>
        </w:rPr>
        <w:t xml:space="preserve">owned by Beasley </w:t>
      </w:r>
      <w:r w:rsidRPr="224F0C9F" w:rsidR="0067316B">
        <w:rPr>
          <w:snapToGrid/>
          <w:kern w:val="0"/>
        </w:rPr>
        <w:t xml:space="preserve">Media Group, LLC, which is 100% owned by Beasley Mezzanine Holdings, LLC, which is 100% owned by Beasley </w:t>
      </w:r>
      <w:r w:rsidRPr="224F0C9F">
        <w:rPr>
          <w:snapToGrid/>
          <w:kern w:val="0"/>
        </w:rPr>
        <w:t xml:space="preserve">Broadcast Group, Inc., a publicly traded company </w:t>
      </w:r>
      <w:r>
        <w:t>based in Delaware.</w:t>
      </w:r>
      <w:r>
        <w:rPr>
          <w:rStyle w:val="FootnoteReference"/>
        </w:rPr>
        <w:footnoteReference w:id="22"/>
      </w:r>
      <w:r w:rsidR="00F2176C">
        <w:t xml:space="preserve">  </w:t>
      </w:r>
      <w:r>
        <w:t xml:space="preserve">Beasley </w:t>
      </w:r>
      <w:r w:rsidR="00EF232D">
        <w:t xml:space="preserve">Broadcast Group, Inc. </w:t>
      </w:r>
      <w:r>
        <w:t>is a “multi-platform media company whose primary business is operating radio stations throughout the United States”</w:t>
      </w:r>
      <w:r>
        <w:rPr>
          <w:rStyle w:val="FootnoteReference"/>
        </w:rPr>
        <w:footnoteReference w:id="23"/>
      </w:r>
      <w:r>
        <w:t xml:space="preserve"> </w:t>
      </w:r>
      <w:r w:rsidR="0057688A">
        <w:t xml:space="preserve">and </w:t>
      </w:r>
      <w:r w:rsidR="005F4F5B">
        <w:t xml:space="preserve">it </w:t>
      </w:r>
      <w:r>
        <w:t>own</w:t>
      </w:r>
      <w:r w:rsidR="008E684F">
        <w:t>s</w:t>
      </w:r>
      <w:r>
        <w:t xml:space="preserve"> and operate</w:t>
      </w:r>
      <w:r w:rsidR="005F4F5B">
        <w:t>s</w:t>
      </w:r>
      <w:r>
        <w:t xml:space="preserve"> radio stations in </w:t>
      </w:r>
      <w:r w:rsidR="005F4F5B">
        <w:t xml:space="preserve">several </w:t>
      </w:r>
      <w:r>
        <w:t>radio markets</w:t>
      </w:r>
      <w:r w:rsidR="005F4F5B">
        <w:t xml:space="preserve">, including </w:t>
      </w:r>
      <w:r>
        <w:t xml:space="preserve">Las Vegas, </w:t>
      </w:r>
      <w:r w:rsidR="0067316B">
        <w:t>Nevada</w:t>
      </w:r>
      <w:r w:rsidR="005F4F5B">
        <w:t>.</w:t>
      </w:r>
      <w:r>
        <w:rPr>
          <w:rStyle w:val="FootnoteReference"/>
        </w:rPr>
        <w:footnoteReference w:id="24"/>
      </w:r>
      <w:r>
        <w:t xml:space="preserve"> </w:t>
      </w:r>
      <w:r w:rsidR="008E684F">
        <w:t xml:space="preserve"> </w:t>
      </w:r>
      <w:r w:rsidRPr="00867A8F" w:rsidR="008E684F">
        <w:rPr>
          <w:i/>
          <w:iCs/>
          <w:snapToGrid/>
        </w:rPr>
        <w:t>The Doug Basham Radio Show</w:t>
      </w:r>
      <w:r w:rsidRPr="224F0C9F" w:rsidR="008815FF">
        <w:rPr>
          <w:snapToGrid/>
        </w:rPr>
        <w:t xml:space="preserve"> is a</w:t>
      </w:r>
      <w:r w:rsidRPr="008E684F" w:rsidR="00FE0490">
        <w:rPr>
          <w:iCs/>
          <w:snapToGrid/>
          <w:szCs w:val="22"/>
        </w:rPr>
        <w:t xml:space="preserve"> </w:t>
      </w:r>
      <w:r w:rsidRPr="224F0C9F" w:rsidR="008E684F">
        <w:rPr>
          <w:snapToGrid/>
        </w:rPr>
        <w:t>talk show</w:t>
      </w:r>
      <w:r w:rsidR="00A95522">
        <w:rPr>
          <w:iCs/>
          <w:snapToGrid/>
          <w:szCs w:val="22"/>
        </w:rPr>
        <w:t>,</w:t>
      </w:r>
      <w:r w:rsidRPr="224F0C9F" w:rsidR="008E684F">
        <w:rPr>
          <w:snapToGrid/>
        </w:rPr>
        <w:t xml:space="preserve"> which </w:t>
      </w:r>
      <w:r w:rsidRPr="224F0C9F" w:rsidR="005F4F5B">
        <w:rPr>
          <w:snapToGrid/>
        </w:rPr>
        <w:t xml:space="preserve">Beasley </w:t>
      </w:r>
      <w:r w:rsidRPr="224F0C9F" w:rsidR="008E684F">
        <w:rPr>
          <w:snapToGrid/>
        </w:rPr>
        <w:t>air</w:t>
      </w:r>
      <w:r w:rsidRPr="224F0C9F" w:rsidR="00A95522">
        <w:rPr>
          <w:snapToGrid/>
        </w:rPr>
        <w:t>ed</w:t>
      </w:r>
      <w:r w:rsidR="008E684F">
        <w:rPr>
          <w:iCs/>
          <w:snapToGrid/>
          <w:szCs w:val="22"/>
        </w:rPr>
        <w:t xml:space="preserve"> </w:t>
      </w:r>
      <w:r w:rsidRPr="224F0C9F" w:rsidR="00A95522">
        <w:rPr>
          <w:snapToGrid/>
        </w:rPr>
        <w:t xml:space="preserve">on </w:t>
      </w:r>
      <w:r w:rsidRPr="224F0C9F" w:rsidR="005F4F5B">
        <w:rPr>
          <w:snapToGrid/>
        </w:rPr>
        <w:t>KDWN(AM)</w:t>
      </w:r>
      <w:r w:rsidRPr="006B7408" w:rsidR="00763397">
        <w:t xml:space="preserve"> </w:t>
      </w:r>
      <w:r w:rsidRPr="224F0C9F" w:rsidR="008E684F">
        <w:rPr>
          <w:snapToGrid/>
        </w:rPr>
        <w:t>as a paid programming block purchased by host Doug Basham.</w:t>
      </w:r>
      <w:r>
        <w:rPr>
          <w:rStyle w:val="FootnoteReference"/>
          <w:snapToGrid/>
        </w:rPr>
        <w:footnoteReference w:id="25"/>
      </w:r>
      <w:r w:rsidR="008E684F">
        <w:rPr>
          <w:iCs/>
          <w:snapToGrid/>
          <w:szCs w:val="22"/>
        </w:rPr>
        <w:t xml:space="preserve"> </w:t>
      </w:r>
      <w:r w:rsidR="004E20C3">
        <w:rPr>
          <w:iCs/>
          <w:snapToGrid/>
          <w:szCs w:val="22"/>
        </w:rPr>
        <w:t xml:space="preserve"> </w:t>
      </w:r>
      <w:r w:rsidRPr="00867A8F" w:rsidR="008E684F">
        <w:rPr>
          <w:i/>
          <w:iCs/>
          <w:snapToGrid/>
        </w:rPr>
        <w:t>The</w:t>
      </w:r>
      <w:r w:rsidRPr="224F0C9F" w:rsidR="008E684F">
        <w:rPr>
          <w:snapToGrid/>
        </w:rPr>
        <w:t xml:space="preserve"> </w:t>
      </w:r>
      <w:r w:rsidRPr="00867A8F" w:rsidR="008E684F">
        <w:rPr>
          <w:i/>
          <w:iCs/>
          <w:snapToGrid/>
        </w:rPr>
        <w:t>Doug Basham Radio Show</w:t>
      </w:r>
      <w:r w:rsidRPr="224F0C9F" w:rsidR="008E684F">
        <w:rPr>
          <w:snapToGrid/>
        </w:rPr>
        <w:t xml:space="preserve"> air</w:t>
      </w:r>
      <w:r w:rsidRPr="224F0C9F" w:rsidR="0093381C">
        <w:rPr>
          <w:snapToGrid/>
        </w:rPr>
        <w:t>ed</w:t>
      </w:r>
      <w:r w:rsidRPr="224F0C9F" w:rsidR="008E684F">
        <w:rPr>
          <w:snapToGrid/>
        </w:rPr>
        <w:t xml:space="preserve"> live </w:t>
      </w:r>
      <w:r w:rsidRPr="224F0C9F" w:rsidR="00A95522">
        <w:rPr>
          <w:snapToGrid/>
        </w:rPr>
        <w:t xml:space="preserve">on </w:t>
      </w:r>
      <w:r w:rsidR="00D8148E">
        <w:rPr>
          <w:snapToGrid/>
        </w:rPr>
        <w:t>KDWN</w:t>
      </w:r>
      <w:r w:rsidRPr="224F0C9F" w:rsidR="00A95522">
        <w:rPr>
          <w:snapToGrid/>
        </w:rPr>
        <w:t xml:space="preserve">, </w:t>
      </w:r>
      <w:r w:rsidRPr="224F0C9F" w:rsidR="008E684F">
        <w:rPr>
          <w:snapToGrid/>
        </w:rPr>
        <w:t>and incorporate</w:t>
      </w:r>
      <w:r w:rsidRPr="224F0C9F" w:rsidR="0093381C">
        <w:rPr>
          <w:snapToGrid/>
        </w:rPr>
        <w:t>d</w:t>
      </w:r>
      <w:r w:rsidRPr="224F0C9F" w:rsidR="008E684F">
        <w:rPr>
          <w:snapToGrid/>
        </w:rPr>
        <w:t xml:space="preserve"> pre-recorded audio clips produced and provided by Doug Basham</w:t>
      </w:r>
      <w:r w:rsidRPr="008E684F">
        <w:rPr>
          <w:snapToGrid/>
          <w:szCs w:val="22"/>
        </w:rPr>
        <w:t>.</w:t>
      </w:r>
      <w:r>
        <w:rPr>
          <w:rStyle w:val="FootnoteReference"/>
          <w:snapToGrid/>
          <w:sz w:val="22"/>
          <w:szCs w:val="22"/>
        </w:rPr>
        <w:footnoteReference w:id="26"/>
      </w:r>
      <w:r w:rsidR="008E684F">
        <w:rPr>
          <w:snapToGrid/>
          <w:szCs w:val="22"/>
        </w:rPr>
        <w:t xml:space="preserve"> </w:t>
      </w:r>
      <w:r w:rsidRPr="008E684F">
        <w:rPr>
          <w:snapToGrid/>
          <w:szCs w:val="22"/>
        </w:rPr>
        <w:t xml:space="preserve"> </w:t>
      </w:r>
      <w:r w:rsidRPr="009030D4" w:rsidR="00D8148E">
        <w:t>Beasley’s station KKL</w:t>
      </w:r>
      <w:r w:rsidR="00956A40">
        <w:t>Z(FM)</w:t>
      </w:r>
      <w:r w:rsidRPr="009030D4" w:rsidR="00D8148E">
        <w:t xml:space="preserve"> rebroadcasts KDWN’s signal on its digital subchannel KKLZ-HD2</w:t>
      </w:r>
      <w:r>
        <w:rPr>
          <w:rStyle w:val="FootnoteReference"/>
        </w:rPr>
        <w:footnoteReference w:id="27"/>
      </w:r>
      <w:r w:rsidR="00D8148E">
        <w:rPr>
          <w:snapToGrid/>
          <w:szCs w:val="22"/>
        </w:rPr>
        <w:t xml:space="preserve"> </w:t>
      </w:r>
      <w:r w:rsidR="00956A40">
        <w:rPr>
          <w:snapToGrid/>
          <w:szCs w:val="22"/>
        </w:rPr>
        <w:t xml:space="preserve">and </w:t>
      </w:r>
      <w:r w:rsidR="00D93E80">
        <w:rPr>
          <w:snapToGrid/>
          <w:szCs w:val="22"/>
        </w:rPr>
        <w:t xml:space="preserve">Beasley’s FM translator, </w:t>
      </w:r>
      <w:r w:rsidRPr="00A57DD6" w:rsidR="00A57DD6">
        <w:rPr>
          <w:snapToGrid/>
          <w:szCs w:val="22"/>
        </w:rPr>
        <w:t>K268CS</w:t>
      </w:r>
      <w:r w:rsidR="00AE45BD">
        <w:rPr>
          <w:snapToGrid/>
          <w:szCs w:val="22"/>
        </w:rPr>
        <w:t>,</w:t>
      </w:r>
      <w:r w:rsidRPr="00A57DD6" w:rsidR="00A57DD6">
        <w:rPr>
          <w:snapToGrid/>
          <w:szCs w:val="22"/>
        </w:rPr>
        <w:t xml:space="preserve"> rebroadcasts KKLZ-HD2’s signal.</w:t>
      </w:r>
      <w:r>
        <w:rPr>
          <w:rStyle w:val="FootnoteReference"/>
          <w:snapToGrid/>
          <w:szCs w:val="22"/>
        </w:rPr>
        <w:footnoteReference w:id="28"/>
      </w:r>
      <w:r w:rsidRPr="00A57DD6" w:rsidR="00A57DD6">
        <w:rPr>
          <w:snapToGrid/>
          <w:szCs w:val="22"/>
        </w:rPr>
        <w:t xml:space="preserve">  </w:t>
      </w:r>
    </w:p>
    <w:p w:rsidR="00065275" w:rsidRPr="002E6BE1" w:rsidP="002E7537" w14:paraId="79401AFC" w14:textId="4A6D88DA">
      <w:pPr>
        <w:pStyle w:val="ParaNum"/>
      </w:pPr>
      <w:r w:rsidRPr="00D43D81">
        <w:t xml:space="preserve">On </w:t>
      </w:r>
      <w:r>
        <w:t>October</w:t>
      </w:r>
      <w:r w:rsidRPr="005E1D8E">
        <w:t xml:space="preserve"> </w:t>
      </w:r>
      <w:r>
        <w:t>7</w:t>
      </w:r>
      <w:r w:rsidRPr="005E1D8E">
        <w:t>, 20</w:t>
      </w:r>
      <w:r>
        <w:t>20</w:t>
      </w:r>
      <w:r w:rsidRPr="005E1D8E">
        <w:t>, the Commission received a complaint</w:t>
      </w:r>
      <w:r>
        <w:rPr>
          <w:rStyle w:val="FootnoteReference"/>
        </w:rPr>
        <w:footnoteReference w:id="29"/>
      </w:r>
      <w:r w:rsidRPr="005E1D8E">
        <w:t xml:space="preserve"> </w:t>
      </w:r>
      <w:r>
        <w:t>alleging that</w:t>
      </w:r>
      <w:r w:rsidRPr="005E1D8E">
        <w:t xml:space="preserve"> </w:t>
      </w:r>
      <w:r w:rsidR="00D8148E">
        <w:t>KDWN</w:t>
      </w:r>
      <w:r>
        <w:t xml:space="preserve"> </w:t>
      </w:r>
      <w:r w:rsidRPr="224F0C9F" w:rsidR="0042735F">
        <w:t xml:space="preserve">transmitted </w:t>
      </w:r>
      <w:r w:rsidRPr="224F0C9F" w:rsidR="00F255A9">
        <w:t>EAS Tones</w:t>
      </w:r>
      <w:r w:rsidRPr="224F0C9F" w:rsidR="0042735F">
        <w:t xml:space="preserve">, or </w:t>
      </w:r>
      <w:r w:rsidRPr="224F0C9F" w:rsidR="003558B7">
        <w:t xml:space="preserve">a </w:t>
      </w:r>
      <w:r w:rsidRPr="224F0C9F" w:rsidR="0042735F">
        <w:t xml:space="preserve">simulation thereof, </w:t>
      </w:r>
      <w:r w:rsidRPr="224F0C9F" w:rsidR="0088178A">
        <w:t xml:space="preserve">on </w:t>
      </w:r>
      <w:r w:rsidRPr="224F0C9F">
        <w:t>September</w:t>
      </w:r>
      <w:r w:rsidRPr="224F0C9F" w:rsidR="0088178A">
        <w:t xml:space="preserve"> 2</w:t>
      </w:r>
      <w:r w:rsidRPr="224F0C9F">
        <w:t>6</w:t>
      </w:r>
      <w:r w:rsidRPr="224F0C9F" w:rsidR="0088178A">
        <w:t xml:space="preserve">, 2020, </w:t>
      </w:r>
      <w:r w:rsidRPr="224F0C9F" w:rsidR="0042735F">
        <w:t>during</w:t>
      </w:r>
      <w:r w:rsidRPr="224F0C9F">
        <w:t xml:space="preserve"> </w:t>
      </w:r>
      <w:r w:rsidRPr="00867A8F" w:rsidR="00867A8F">
        <w:rPr>
          <w:i/>
          <w:iCs/>
        </w:rPr>
        <w:t>T</w:t>
      </w:r>
      <w:r w:rsidRPr="00867A8F">
        <w:rPr>
          <w:i/>
          <w:iCs/>
        </w:rPr>
        <w:t>he Doug Basham Radio Show</w:t>
      </w:r>
      <w:r w:rsidRPr="224F0C9F">
        <w:t xml:space="preserve"> </w:t>
      </w:r>
      <w:r w:rsidRPr="224F0C9F" w:rsidR="0042735F">
        <w:t>absent an actual emergency, authorized EAS test, or qualified PSA</w:t>
      </w:r>
      <w:r w:rsidRPr="00437F4A" w:rsidR="0042735F">
        <w:rPr>
          <w:szCs w:val="22"/>
        </w:rPr>
        <w:t>.</w:t>
      </w:r>
      <w:r>
        <w:rPr>
          <w:vertAlign w:val="superscript"/>
        </w:rPr>
        <w:footnoteReference w:id="30"/>
      </w:r>
      <w:r w:rsidRPr="224F0C9F" w:rsidR="0042735F">
        <w:t xml:space="preserve">  The Enforcement Bureau</w:t>
      </w:r>
      <w:r w:rsidRPr="00437F4A" w:rsidR="003558B7">
        <w:rPr>
          <w:szCs w:val="22"/>
        </w:rPr>
        <w:t xml:space="preserve"> </w:t>
      </w:r>
      <w:r w:rsidRPr="224F0C9F" w:rsidR="0042735F">
        <w:t>issued a</w:t>
      </w:r>
      <w:r w:rsidRPr="00437F4A">
        <w:rPr>
          <w:szCs w:val="22"/>
        </w:rPr>
        <w:t xml:space="preserve"> </w:t>
      </w:r>
      <w:r w:rsidRPr="224F0C9F" w:rsidR="0042735F">
        <w:t>L</w:t>
      </w:r>
      <w:r w:rsidRPr="224F0C9F">
        <w:t xml:space="preserve">etter of </w:t>
      </w:r>
      <w:r w:rsidRPr="224F0C9F" w:rsidR="0042735F">
        <w:t>I</w:t>
      </w:r>
      <w:r w:rsidRPr="224F0C9F">
        <w:t xml:space="preserve">nquiry </w:t>
      </w:r>
      <w:r w:rsidRPr="224F0C9F" w:rsidR="0042735F">
        <w:t xml:space="preserve">on </w:t>
      </w:r>
      <w:r w:rsidRPr="224F0C9F">
        <w:t>January</w:t>
      </w:r>
      <w:r w:rsidRPr="00437F4A" w:rsidR="0042735F">
        <w:rPr>
          <w:szCs w:val="22"/>
        </w:rPr>
        <w:t xml:space="preserve"> </w:t>
      </w:r>
      <w:r w:rsidRPr="224F0C9F">
        <w:t>5</w:t>
      </w:r>
      <w:r w:rsidRPr="224F0C9F" w:rsidR="0042735F">
        <w:t>, 20</w:t>
      </w:r>
      <w:r w:rsidRPr="224F0C9F">
        <w:t>21</w:t>
      </w:r>
      <w:r w:rsidRPr="00437F4A" w:rsidR="0042735F">
        <w:rPr>
          <w:szCs w:val="22"/>
        </w:rPr>
        <w:t>,</w:t>
      </w:r>
      <w:r>
        <w:rPr>
          <w:rStyle w:val="FootnoteReference"/>
          <w:sz w:val="22"/>
          <w:szCs w:val="22"/>
        </w:rPr>
        <w:footnoteReference w:id="31"/>
      </w:r>
      <w:r w:rsidRPr="224F0C9F" w:rsidR="0042735F">
        <w:t xml:space="preserve"> directing</w:t>
      </w:r>
      <w:r w:rsidRPr="224F0C9F">
        <w:t xml:space="preserve"> Beasley</w:t>
      </w:r>
      <w:r w:rsidRPr="002E6BE1" w:rsidR="003558B7">
        <w:rPr>
          <w:szCs w:val="22"/>
        </w:rPr>
        <w:t xml:space="preserve"> </w:t>
      </w:r>
      <w:r w:rsidRPr="224F0C9F" w:rsidR="0042735F">
        <w:t xml:space="preserve">to submit, among other things, recordings of the </w:t>
      </w:r>
      <w:r w:rsidRPr="224F0C9F">
        <w:t>September 26</w:t>
      </w:r>
      <w:r w:rsidRPr="224F0C9F" w:rsidR="0088178A">
        <w:t xml:space="preserve">, 2020, </w:t>
      </w:r>
      <w:r w:rsidRPr="224F0C9F">
        <w:t xml:space="preserve">broadcast of </w:t>
      </w:r>
      <w:r w:rsidRPr="00867A8F" w:rsidR="00867A8F">
        <w:rPr>
          <w:i/>
          <w:iCs/>
        </w:rPr>
        <w:t>T</w:t>
      </w:r>
      <w:r w:rsidRPr="00867A8F">
        <w:rPr>
          <w:i/>
          <w:iCs/>
        </w:rPr>
        <w:t>he</w:t>
      </w:r>
      <w:r w:rsidRPr="224F0C9F">
        <w:t xml:space="preserve"> </w:t>
      </w:r>
      <w:r w:rsidRPr="00867A8F">
        <w:rPr>
          <w:i/>
          <w:iCs/>
        </w:rPr>
        <w:t>Doug Basham Radio Show</w:t>
      </w:r>
      <w:r w:rsidRPr="224F0C9F" w:rsidR="0042735F">
        <w:t>, and sworn written statements as to whether it had transmitted, or caused the transmission of, the EAS Tones.</w:t>
      </w:r>
      <w:r>
        <w:rPr>
          <w:rStyle w:val="FootnoteReference"/>
          <w:spacing w:val="-2"/>
          <w:sz w:val="22"/>
          <w:szCs w:val="22"/>
        </w:rPr>
        <w:footnoteReference w:id="32"/>
      </w:r>
      <w:r w:rsidRPr="002E6BE1" w:rsidR="0042735F">
        <w:rPr>
          <w:szCs w:val="22"/>
        </w:rPr>
        <w:t xml:space="preserve">  </w:t>
      </w:r>
    </w:p>
    <w:p w:rsidR="00682706" w:rsidRPr="00C076C5" w:rsidP="00A95522" w14:paraId="352386CF" w14:textId="7FD779CB">
      <w:pPr>
        <w:pStyle w:val="ParaNum"/>
        <w:widowControl/>
      </w:pPr>
      <w:r w:rsidRPr="224F0C9F">
        <w:t>In its LOI Response,</w:t>
      </w:r>
      <w:r w:rsidRPr="00A261B3">
        <w:rPr>
          <w:rStyle w:val="CommentReference"/>
          <w:sz w:val="22"/>
          <w:szCs w:val="22"/>
        </w:rPr>
        <w:t xml:space="preserve"> </w:t>
      </w:r>
      <w:r w:rsidRPr="224F0C9F" w:rsidR="002E6BE1">
        <w:t>Beasley</w:t>
      </w:r>
      <w:r w:rsidRPr="224F0C9F">
        <w:t xml:space="preserve"> admits </w:t>
      </w:r>
      <w:r w:rsidRPr="224F0C9F" w:rsidR="00D828A0">
        <w:t xml:space="preserve">that </w:t>
      </w:r>
      <w:r w:rsidRPr="224F0C9F">
        <w:t xml:space="preserve">the </w:t>
      </w:r>
      <w:r w:rsidRPr="224F0C9F" w:rsidR="002E6BE1">
        <w:t>September 26, 2020</w:t>
      </w:r>
      <w:r w:rsidR="00CE0968">
        <w:t>,</w:t>
      </w:r>
      <w:r w:rsidRPr="224F0C9F" w:rsidR="002E6BE1">
        <w:t xml:space="preserve"> broadcast of </w:t>
      </w:r>
      <w:r w:rsidRPr="00867A8F" w:rsidR="00867A8F">
        <w:rPr>
          <w:i/>
          <w:iCs/>
        </w:rPr>
        <w:t>T</w:t>
      </w:r>
      <w:r w:rsidRPr="00867A8F" w:rsidR="002E6BE1">
        <w:rPr>
          <w:i/>
          <w:iCs/>
        </w:rPr>
        <w:t>he</w:t>
      </w:r>
      <w:r w:rsidRPr="224F0C9F" w:rsidR="002E6BE1">
        <w:t xml:space="preserve"> </w:t>
      </w:r>
      <w:r w:rsidRPr="00867A8F" w:rsidR="002E6BE1">
        <w:rPr>
          <w:i/>
          <w:iCs/>
        </w:rPr>
        <w:t>Doug Basham Radio Show</w:t>
      </w:r>
      <w:r w:rsidRPr="224F0C9F" w:rsidR="002E6BE1">
        <w:t xml:space="preserve"> </w:t>
      </w:r>
      <w:r w:rsidRPr="224F0C9F">
        <w:t>included</w:t>
      </w:r>
      <w:r w:rsidRPr="224F0C9F" w:rsidR="005451E8">
        <w:t xml:space="preserve"> an audio clip that “appears to contain portions of an EAS Attention Signal or a simulation thereof.”</w:t>
      </w:r>
      <w:r>
        <w:rPr>
          <w:rStyle w:val="FootnoteReference"/>
        </w:rPr>
        <w:footnoteReference w:id="33"/>
      </w:r>
      <w:r w:rsidRPr="00A261B3">
        <w:rPr>
          <w:szCs w:val="22"/>
        </w:rPr>
        <w:t xml:space="preserve">  </w:t>
      </w:r>
      <w:r w:rsidRPr="224F0C9F" w:rsidR="005451E8">
        <w:t xml:space="preserve">Beasley </w:t>
      </w:r>
      <w:r w:rsidRPr="224F0C9F" w:rsidR="00B24FF9">
        <w:t xml:space="preserve">further </w:t>
      </w:r>
      <w:r w:rsidRPr="224F0C9F" w:rsidR="005451E8">
        <w:t>admits that the transmission</w:t>
      </w:r>
      <w:r w:rsidRPr="00A261B3" w:rsidR="00DA49BF">
        <w:rPr>
          <w:szCs w:val="22"/>
        </w:rPr>
        <w:t xml:space="preserve"> </w:t>
      </w:r>
      <w:r w:rsidRPr="224F0C9F">
        <w:t xml:space="preserve">was not in connection with </w:t>
      </w:r>
      <w:r w:rsidRPr="224F0C9F" w:rsidR="00C9643C">
        <w:t>a</w:t>
      </w:r>
      <w:r w:rsidRPr="224F0C9F" w:rsidR="57349197">
        <w:t xml:space="preserve">ny </w:t>
      </w:r>
      <w:r w:rsidRPr="224F0C9F" w:rsidR="04D1B53B">
        <w:t>p</w:t>
      </w:r>
      <w:r w:rsidRPr="224F0C9F" w:rsidR="00C9643C">
        <w:t xml:space="preserve">ermitted </w:t>
      </w:r>
      <w:r w:rsidRPr="224F0C9F" w:rsidR="3DC3B942">
        <w:t>u</w:t>
      </w:r>
      <w:r w:rsidRPr="224F0C9F" w:rsidR="00C9643C">
        <w:t>s</w:t>
      </w:r>
      <w:r w:rsidRPr="224F0C9F" w:rsidR="00CC19D0">
        <w:t>e</w:t>
      </w:r>
      <w:r w:rsidR="00502039">
        <w:t xml:space="preserve">, </w:t>
      </w:r>
      <w:r w:rsidR="47C8EA5E">
        <w:rPr>
          <w:szCs w:val="22"/>
        </w:rPr>
        <w:t xml:space="preserve">i.e., </w:t>
      </w:r>
      <w:r w:rsidRPr="224F0C9F">
        <w:t>an actual emergency, authorized test of the EAS, or qualified PSA.</w:t>
      </w:r>
      <w:r>
        <w:rPr>
          <w:rStyle w:val="FootnoteReference"/>
          <w:sz w:val="22"/>
          <w:szCs w:val="22"/>
        </w:rPr>
        <w:footnoteReference w:id="34"/>
      </w:r>
      <w:r w:rsidRPr="00A261B3">
        <w:rPr>
          <w:szCs w:val="22"/>
        </w:rPr>
        <w:t xml:space="preserve"> </w:t>
      </w:r>
      <w:r w:rsidR="0093381C">
        <w:rPr>
          <w:szCs w:val="22"/>
        </w:rPr>
        <w:t xml:space="preserve"> </w:t>
      </w:r>
      <w:r w:rsidRPr="224F0C9F" w:rsidR="00C9643C">
        <w:t xml:space="preserve">In addition, </w:t>
      </w:r>
      <w:r w:rsidR="00C076C5">
        <w:t>Beasley</w:t>
      </w:r>
      <w:r w:rsidRPr="006B7408" w:rsidR="00C076C5">
        <w:t xml:space="preserve"> states that </w:t>
      </w:r>
      <w:r w:rsidR="00236CDF">
        <w:t>KDWN</w:t>
      </w:r>
      <w:r w:rsidRPr="006B7408" w:rsidR="00C076C5">
        <w:t xml:space="preserve"> did not review the audio</w:t>
      </w:r>
      <w:r w:rsidR="00CC19D0">
        <w:t xml:space="preserve"> clip containing the actual or simulated EAS Tones</w:t>
      </w:r>
      <w:r w:rsidRPr="006B7408" w:rsidR="00C076C5">
        <w:t xml:space="preserve"> prior to broadcast.</w:t>
      </w:r>
      <w:r>
        <w:rPr>
          <w:rStyle w:val="FootnoteReference"/>
        </w:rPr>
        <w:footnoteReference w:id="35"/>
      </w:r>
      <w:r w:rsidR="00C076C5">
        <w:t xml:space="preserve">  </w:t>
      </w:r>
      <w:bookmarkStart w:id="14" w:name="_Hlk88492139"/>
      <w:r w:rsidRPr="009030D4" w:rsidR="00C076C5">
        <w:t>Beasley explain</w:t>
      </w:r>
      <w:r w:rsidRPr="009030D4" w:rsidR="0015323E">
        <w:t>s</w:t>
      </w:r>
      <w:r w:rsidRPr="009030D4" w:rsidR="00C076C5">
        <w:t xml:space="preserve"> that the programming containing the EAS Tones was transmitted on KDWN(AM), Las Vegas, Nevada</w:t>
      </w:r>
      <w:r w:rsidRPr="009030D4" w:rsidR="00836180">
        <w:t>, and</w:t>
      </w:r>
      <w:r w:rsidRPr="009030D4" w:rsidR="00A57DD6">
        <w:t xml:space="preserve">, as a result, was also rebroadcast on </w:t>
      </w:r>
      <w:r w:rsidRPr="009030D4" w:rsidR="00836180">
        <w:t>KKLZ-HD</w:t>
      </w:r>
      <w:bookmarkEnd w:id="14"/>
      <w:r w:rsidRPr="009030D4" w:rsidR="0000182F">
        <w:t>2</w:t>
      </w:r>
      <w:r w:rsidRPr="009030D4" w:rsidR="00A57DD6">
        <w:t xml:space="preserve"> and FM translator K26</w:t>
      </w:r>
      <w:r w:rsidR="009F2EB4">
        <w:t>8</w:t>
      </w:r>
      <w:r w:rsidRPr="009030D4" w:rsidR="00A57DD6">
        <w:t>CS.</w:t>
      </w:r>
      <w:r>
        <w:rPr>
          <w:rStyle w:val="FootnoteReference"/>
        </w:rPr>
        <w:footnoteReference w:id="36"/>
      </w:r>
      <w:r w:rsidR="0015323E">
        <w:t xml:space="preserve">  Beasley </w:t>
      </w:r>
      <w:r w:rsidR="00AE45BD">
        <w:t>states</w:t>
      </w:r>
      <w:r w:rsidR="0015323E">
        <w:t xml:space="preserve"> that “immediately after” transmission of the false EAS Tones</w:t>
      </w:r>
      <w:r w:rsidR="000F5E4E">
        <w:t xml:space="preserve"> on September 26, 2020</w:t>
      </w:r>
      <w:r w:rsidR="0015323E">
        <w:t xml:space="preserve">, </w:t>
      </w:r>
      <w:r w:rsidR="00963614">
        <w:t xml:space="preserve">KDWN’s </w:t>
      </w:r>
      <w:r w:rsidR="0015323E">
        <w:t xml:space="preserve">board operator </w:t>
      </w:r>
      <w:r w:rsidR="000F5E4E">
        <w:t>“confronted Basham and informed him that the broadcast was impermissible.”</w:t>
      </w:r>
      <w:r>
        <w:rPr>
          <w:rStyle w:val="FootnoteReference"/>
        </w:rPr>
        <w:footnoteReference w:id="37"/>
      </w:r>
      <w:r w:rsidR="0093381C">
        <w:t xml:space="preserve">  </w:t>
      </w:r>
      <w:r w:rsidR="00121C2A">
        <w:t>On the same day, t</w:t>
      </w:r>
      <w:r w:rsidRPr="0093381C" w:rsidR="0093381C">
        <w:t xml:space="preserve">he board operator </w:t>
      </w:r>
      <w:r w:rsidR="0093381C">
        <w:t xml:space="preserve">also sent an e-mail to </w:t>
      </w:r>
      <w:r w:rsidR="00963614">
        <w:t>KDWN</w:t>
      </w:r>
      <w:r w:rsidRPr="0093381C" w:rsidR="00963614">
        <w:t xml:space="preserve">’s </w:t>
      </w:r>
      <w:r w:rsidRPr="0093381C" w:rsidR="0093381C">
        <w:t xml:space="preserve">program director, notifying him about the </w:t>
      </w:r>
      <w:r w:rsidR="00121C2A">
        <w:t xml:space="preserve">transmission of </w:t>
      </w:r>
      <w:r w:rsidRPr="0093381C" w:rsidR="0093381C">
        <w:t>false EAS Tones.</w:t>
      </w:r>
      <w:r>
        <w:rPr>
          <w:rStyle w:val="FootnoteReference"/>
        </w:rPr>
        <w:footnoteReference w:id="38"/>
      </w:r>
    </w:p>
    <w:p w:rsidR="0042735F" w:rsidRPr="00E76D83" w:rsidP="00BB3876" w14:paraId="39CAD8E0" w14:textId="77777777">
      <w:pPr>
        <w:pStyle w:val="Heading1"/>
        <w:rPr>
          <w:rFonts w:ascii="Times New Roman" w:hAnsi="Times New Roman"/>
          <w:szCs w:val="22"/>
        </w:rPr>
      </w:pPr>
      <w:bookmarkStart w:id="15" w:name="_Toc7629833"/>
      <w:bookmarkStart w:id="16" w:name="_Toc7778359"/>
      <w:r w:rsidRPr="00E76D83">
        <w:rPr>
          <w:rFonts w:ascii="Times New Roman" w:hAnsi="Times New Roman"/>
          <w:szCs w:val="22"/>
        </w:rPr>
        <w:t>DISCUSSION</w:t>
      </w:r>
      <w:bookmarkEnd w:id="15"/>
      <w:bookmarkEnd w:id="16"/>
    </w:p>
    <w:p w:rsidR="00D872CA" w:rsidRPr="00377ADB" w:rsidP="00A162D9" w14:paraId="5299A39A" w14:textId="7B4149A2">
      <w:pPr>
        <w:pStyle w:val="ParaNum"/>
      </w:pPr>
      <w:r w:rsidRPr="224F0C9F">
        <w:t>We</w:t>
      </w:r>
      <w:r w:rsidRPr="00955F41" w:rsidR="00AD6F7D">
        <w:t xml:space="preserve"> find that</w:t>
      </w:r>
      <w:r w:rsidRPr="00955F41">
        <w:t xml:space="preserve"> </w:t>
      </w:r>
      <w:r w:rsidR="00C076C5">
        <w:t>Beasley</w:t>
      </w:r>
      <w:r w:rsidRPr="00955F41">
        <w:t xml:space="preserve"> apparently willfully violated </w:t>
      </w:r>
      <w:r w:rsidR="0064400A">
        <w:t>section</w:t>
      </w:r>
      <w:r w:rsidRPr="00955F41" w:rsidR="0064400A">
        <w:t xml:space="preserve"> </w:t>
      </w:r>
      <w:r w:rsidRPr="00955F41">
        <w:t>11.45</w:t>
      </w:r>
      <w:r w:rsidR="00C076C5">
        <w:t>(a)</w:t>
      </w:r>
      <w:r w:rsidR="00121C2A">
        <w:t xml:space="preserve"> </w:t>
      </w:r>
      <w:r w:rsidRPr="00955F41">
        <w:t>of the Commission’s rules</w:t>
      </w:r>
      <w:r w:rsidR="00506686">
        <w:t xml:space="preserve">.  </w:t>
      </w:r>
      <w:r w:rsidR="00C076C5">
        <w:t>Beasley</w:t>
      </w:r>
      <w:r w:rsidR="00C94660">
        <w:t xml:space="preserve"> confirms</w:t>
      </w:r>
      <w:r w:rsidRPr="00955F41">
        <w:t xml:space="preserve"> that t</w:t>
      </w:r>
      <w:r w:rsidRPr="00955F41" w:rsidR="00826AC1">
        <w:t xml:space="preserve">he </w:t>
      </w:r>
      <w:r w:rsidR="00C076C5">
        <w:t>September</w:t>
      </w:r>
      <w:r w:rsidRPr="00955F41" w:rsidR="00826AC1">
        <w:t xml:space="preserve"> 2</w:t>
      </w:r>
      <w:r w:rsidR="00C076C5">
        <w:t>6</w:t>
      </w:r>
      <w:r w:rsidRPr="00955F41" w:rsidR="00826AC1">
        <w:t xml:space="preserve">, 2020, </w:t>
      </w:r>
      <w:r w:rsidR="00C076C5">
        <w:t xml:space="preserve">broadcast of </w:t>
      </w:r>
      <w:r w:rsidRPr="00867A8F" w:rsidR="00867A8F">
        <w:rPr>
          <w:i/>
          <w:iCs/>
        </w:rPr>
        <w:t>T</w:t>
      </w:r>
      <w:r w:rsidRPr="00867A8F" w:rsidR="00C076C5">
        <w:rPr>
          <w:i/>
          <w:iCs/>
        </w:rPr>
        <w:t>he Doug Basham Radio Show</w:t>
      </w:r>
      <w:r w:rsidRPr="224F0C9F" w:rsidR="00826AC1">
        <w:rPr>
          <w:i/>
          <w:iCs/>
        </w:rPr>
        <w:t xml:space="preserve"> </w:t>
      </w:r>
      <w:r w:rsidRPr="224F0C9F" w:rsidR="00826AC1">
        <w:t>i</w:t>
      </w:r>
      <w:r w:rsidRPr="00955F41" w:rsidR="00AD6F7D">
        <w:t>nclude</w:t>
      </w:r>
      <w:r w:rsidR="00506686">
        <w:t>d</w:t>
      </w:r>
      <w:r w:rsidRPr="00955F41" w:rsidR="00AD6F7D">
        <w:t xml:space="preserve"> </w:t>
      </w:r>
      <w:r w:rsidRPr="00955F41" w:rsidR="00826AC1">
        <w:t>the EAS Tones</w:t>
      </w:r>
      <w:r w:rsidR="00AC6614">
        <w:t>.</w:t>
      </w:r>
      <w:r>
        <w:rPr>
          <w:rStyle w:val="FootnoteReference"/>
        </w:rPr>
        <w:footnoteReference w:id="39"/>
      </w:r>
      <w:r w:rsidRPr="00955F41" w:rsidR="00AD6F7D">
        <w:t xml:space="preserve">  </w:t>
      </w:r>
      <w:r w:rsidR="00C076C5">
        <w:t>Beasley</w:t>
      </w:r>
      <w:r w:rsidRPr="00955F41" w:rsidR="00713203">
        <w:t xml:space="preserve"> admits</w:t>
      </w:r>
      <w:r w:rsidR="00D8148E">
        <w:t xml:space="preserve"> that KDWN </w:t>
      </w:r>
      <w:r w:rsidR="00E30FD5">
        <w:t>transmitt</w:t>
      </w:r>
      <w:r w:rsidR="000D063F">
        <w:t>ed</w:t>
      </w:r>
      <w:r w:rsidR="00E30FD5">
        <w:t xml:space="preserve"> the show with the EAS Tones</w:t>
      </w:r>
      <w:r w:rsidR="00D8148E">
        <w:t>.</w:t>
      </w:r>
      <w:r>
        <w:rPr>
          <w:rStyle w:val="FootnoteReference"/>
          <w:sz w:val="22"/>
          <w:szCs w:val="22"/>
        </w:rPr>
        <w:footnoteReference w:id="40"/>
      </w:r>
      <w:r w:rsidRPr="00955F41" w:rsidR="00713203">
        <w:t xml:space="preserve"> </w:t>
      </w:r>
      <w:r w:rsidRPr="00955F41" w:rsidR="00CA5014">
        <w:t xml:space="preserve"> </w:t>
      </w:r>
      <w:r w:rsidR="00C076C5">
        <w:t>Beasley</w:t>
      </w:r>
      <w:r w:rsidRPr="00955F41" w:rsidR="00CA5014">
        <w:t xml:space="preserve"> </w:t>
      </w:r>
      <w:r w:rsidR="00C94660">
        <w:t xml:space="preserve">also </w:t>
      </w:r>
      <w:r w:rsidR="00751CC6">
        <w:t>admits</w:t>
      </w:r>
      <w:r w:rsidRPr="00955F41" w:rsidR="00C94660">
        <w:t xml:space="preserve"> </w:t>
      </w:r>
      <w:r w:rsidRPr="00955F41" w:rsidR="00CA5014">
        <w:t>that none of the material in question was transmitted in connection with an actual national, state, or local emergency, authorized test, or qualified PSA</w:t>
      </w:r>
      <w:r w:rsidRPr="00955F41" w:rsidR="00955F41">
        <w:t>.</w:t>
      </w:r>
      <w:r>
        <w:rPr>
          <w:rStyle w:val="FootnoteReference"/>
          <w:sz w:val="22"/>
          <w:szCs w:val="22"/>
        </w:rPr>
        <w:footnoteReference w:id="41"/>
      </w:r>
      <w:r w:rsidR="00B9693E">
        <w:t xml:space="preserve"> </w:t>
      </w:r>
      <w:r w:rsidR="00FE6D35">
        <w:t xml:space="preserve"> </w:t>
      </w:r>
      <w:r w:rsidR="000D063F">
        <w:t>Beasley</w:t>
      </w:r>
      <w:r w:rsidR="00772904">
        <w:t xml:space="preserve"> </w:t>
      </w:r>
      <w:r w:rsidR="00E30FD5">
        <w:t>provides an e-mail from Doug Basham</w:t>
      </w:r>
      <w:r w:rsidR="00772904">
        <w:t xml:space="preserve">, </w:t>
      </w:r>
      <w:r>
        <w:t>in which the host asserts that he used the EAS Tones as a “stunt</w:t>
      </w:r>
      <w:r w:rsidR="00751CC6">
        <w:t>.</w:t>
      </w:r>
      <w:r>
        <w:t>”</w:t>
      </w:r>
      <w:r>
        <w:rPr>
          <w:rStyle w:val="FootnoteReference"/>
        </w:rPr>
        <w:footnoteReference w:id="42"/>
      </w:r>
      <w:r w:rsidR="00751CC6">
        <w:t xml:space="preserve"> </w:t>
      </w:r>
      <w:r w:rsidR="000D063F">
        <w:t xml:space="preserve"> </w:t>
      </w:r>
      <w:r w:rsidR="00751CC6">
        <w:t>Beasley also provides</w:t>
      </w:r>
      <w:r w:rsidR="000D063F">
        <w:t xml:space="preserve"> e-mails from </w:t>
      </w:r>
      <w:r w:rsidR="00236CDF">
        <w:t xml:space="preserve">KDWN’s </w:t>
      </w:r>
      <w:r w:rsidR="000D063F">
        <w:t>Master Control Operator, Program Director, and Vice President</w:t>
      </w:r>
      <w:r w:rsidR="00AB7166">
        <w:t>/</w:t>
      </w:r>
      <w:r w:rsidR="000D063F">
        <w:t xml:space="preserve">Market Manager, </w:t>
      </w:r>
      <w:r w:rsidR="00FE6D35">
        <w:t xml:space="preserve">all of whom acknowledge that </w:t>
      </w:r>
      <w:r w:rsidR="00236CDF">
        <w:t xml:space="preserve">KDWN’s </w:t>
      </w:r>
      <w:r w:rsidR="00FE6D35">
        <w:t>broadcast of the false EAS Tones was impermissible.</w:t>
      </w:r>
      <w:r>
        <w:rPr>
          <w:vertAlign w:val="superscript"/>
        </w:rPr>
        <w:footnoteReference w:id="43"/>
      </w:r>
      <w:r w:rsidR="00C9180C">
        <w:t xml:space="preserve"> </w:t>
      </w:r>
      <w:r w:rsidR="000D063F">
        <w:t xml:space="preserve"> </w:t>
      </w:r>
    </w:p>
    <w:p w:rsidR="00A162D9" w:rsidP="00C310CB" w14:paraId="22F75C77" w14:textId="4A264A5F">
      <w:pPr>
        <w:pStyle w:val="ParaNum"/>
        <w:widowControl/>
      </w:pPr>
      <w:r>
        <w:t xml:space="preserve">Based on </w:t>
      </w:r>
      <w:r w:rsidR="00450D35">
        <w:t xml:space="preserve">Beasley’s admissions and our review of the audio recording of the radio show provided by Beasley in its LOI Response, Beasley transmitted an EAS Tone on September 26, 2020 on station KDWN(AM) in the absence </w:t>
      </w:r>
      <w:r w:rsidR="00DF3CD9">
        <w:t xml:space="preserve">of </w:t>
      </w:r>
      <w:r w:rsidR="00622BD7">
        <w:t>any actual emergency, authorized test of the EAS or qualified public service announcement</w:t>
      </w:r>
      <w:r w:rsidR="00450D35">
        <w:t>.</w:t>
      </w:r>
      <w:r w:rsidR="00E61A16">
        <w:t xml:space="preserve"> </w:t>
      </w:r>
      <w:r w:rsidR="00751CC6">
        <w:t xml:space="preserve"> </w:t>
      </w:r>
      <w:r w:rsidR="00450D35">
        <w:t xml:space="preserve">We therefore </w:t>
      </w:r>
      <w:r w:rsidR="00E61A16">
        <w:t xml:space="preserve">find that Beasley </w:t>
      </w:r>
      <w:r>
        <w:t xml:space="preserve">apparently willfully </w:t>
      </w:r>
      <w:r w:rsidR="00E61A16">
        <w:t xml:space="preserve">violated </w:t>
      </w:r>
      <w:r w:rsidR="00AA45AE">
        <w:t xml:space="preserve">section </w:t>
      </w:r>
      <w:r w:rsidR="00E61A16">
        <w:t>11.45(a) of the Commission’s rules.</w:t>
      </w:r>
    </w:p>
    <w:p w:rsidR="0042735F" w:rsidRPr="00232FF0" w:rsidP="00BB3876" w14:paraId="670331E0" w14:textId="6C0FA1CE">
      <w:pPr>
        <w:pStyle w:val="Heading1"/>
        <w:rPr>
          <w:rFonts w:ascii="Times New Roman" w:hAnsi="Times New Roman"/>
          <w:szCs w:val="22"/>
        </w:rPr>
      </w:pPr>
      <w:bookmarkStart w:id="17" w:name="_Toc7629836"/>
      <w:bookmarkStart w:id="18" w:name="_Toc7778360"/>
      <w:r w:rsidRPr="00232FF0">
        <w:rPr>
          <w:rFonts w:ascii="Times New Roman" w:hAnsi="Times New Roman"/>
          <w:szCs w:val="22"/>
        </w:rPr>
        <w:t>PROPOSED FORFEITURE</w:t>
      </w:r>
      <w:bookmarkEnd w:id="17"/>
      <w:bookmarkEnd w:id="18"/>
    </w:p>
    <w:p w:rsidR="0042735F" w:rsidRPr="00E76D83" w:rsidP="003E711C" w14:paraId="2B629D91" w14:textId="39FFF7C1">
      <w:pPr>
        <w:pStyle w:val="ParaNum"/>
        <w:rPr>
          <w:snapToGrid/>
          <w:kern w:val="0"/>
        </w:rPr>
      </w:pPr>
      <w:r w:rsidRPr="00232FF0">
        <w:t xml:space="preserve">Section 503(b) of the Act authorizes the Commission to impose a forfeiture against any entity that “willfully or repeatedly fail[s] to comply with </w:t>
      </w:r>
      <w:r w:rsidRPr="00232FF0" w:rsidR="00CA4AD6">
        <w:t xml:space="preserve">. . . </w:t>
      </w:r>
      <w:r w:rsidRPr="00232FF0">
        <w:t>any rule, regulation, or order issued by the Commission</w:t>
      </w:r>
      <w:r w:rsidRPr="00232FF0" w:rsidR="00A67816">
        <w:t xml:space="preserve"> . . . .</w:t>
      </w:r>
      <w:r w:rsidRPr="00232FF0">
        <w:t>”</w:t>
      </w:r>
      <w:r>
        <w:rPr>
          <w:vertAlign w:val="superscript"/>
        </w:rPr>
        <w:footnoteReference w:id="44"/>
      </w:r>
      <w:r w:rsidRPr="00232FF0">
        <w:t xml:space="preserve">  In exercising our forfeiture authority, we must consider the nature, circumstances, extent, and gravity of the violation and, with respect to the violator, the degree of culpability, any history of prior offenses, ability to pay, and such</w:t>
      </w:r>
      <w:r w:rsidRPr="224F0C9F">
        <w:t xml:space="preserve"> other matters as justice may require.</w:t>
      </w:r>
      <w:r>
        <w:rPr>
          <w:rStyle w:val="FootnoteReference"/>
          <w:sz w:val="22"/>
          <w:szCs w:val="22"/>
        </w:rPr>
        <w:footnoteReference w:id="45"/>
      </w:r>
      <w:r w:rsidR="00716F7A">
        <w:rPr>
          <w:szCs w:val="22"/>
        </w:rPr>
        <w:t xml:space="preserve">  </w:t>
      </w:r>
      <w:r w:rsidRPr="224F0C9F" w:rsidR="000740F1">
        <w:t>T</w:t>
      </w:r>
      <w:r w:rsidRPr="00981F23">
        <w:t>he Commission has established forfeiture guidelines</w:t>
      </w:r>
      <w:r w:rsidR="000740F1">
        <w:t>,</w:t>
      </w:r>
      <w:r w:rsidR="005303E7">
        <w:t xml:space="preserve"> </w:t>
      </w:r>
      <w:r w:rsidRPr="00981F23">
        <w:t xml:space="preserve">base penalties for certain violations and </w:t>
      </w:r>
      <w:r w:rsidR="000740F1">
        <w:t xml:space="preserve">has </w:t>
      </w:r>
      <w:r w:rsidRPr="00981F23">
        <w:t>identif</w:t>
      </w:r>
      <w:r w:rsidR="000740F1">
        <w:t>ied</w:t>
      </w:r>
      <w:r w:rsidRPr="00981F23">
        <w:t xml:space="preserve"> criteria that </w:t>
      </w:r>
      <w:r w:rsidR="000740F1">
        <w:t xml:space="preserve">it </w:t>
      </w:r>
      <w:r w:rsidRPr="00981F23">
        <w:t>consider</w:t>
      </w:r>
      <w:r w:rsidR="00A718E8">
        <w:t>s</w:t>
      </w:r>
      <w:r w:rsidRPr="00981F23">
        <w:t xml:space="preserve"> when determining the appropriate penalty in any given case.</w:t>
      </w:r>
      <w:r>
        <w:rPr>
          <w:rStyle w:val="FootnoteReference"/>
          <w:color w:val="000000"/>
        </w:rPr>
        <w:footnoteReference w:id="46"/>
      </w:r>
      <w:r w:rsidRPr="00981F23">
        <w:t xml:space="preserve">  Under these guidelines, </w:t>
      </w:r>
      <w:r w:rsidR="000740F1">
        <w:t xml:space="preserve">we may adjust a forfeiture downward for violations that are </w:t>
      </w:r>
      <w:r w:rsidR="00413719">
        <w:t xml:space="preserve">minor, violations that are </w:t>
      </w:r>
      <w:r w:rsidR="000740F1">
        <w:t>voluntarily disclosed</w:t>
      </w:r>
      <w:r w:rsidR="00413719">
        <w:t xml:space="preserve">, </w:t>
      </w:r>
      <w:r w:rsidR="000740F1">
        <w:t xml:space="preserve">where </w:t>
      </w:r>
      <w:r w:rsidR="000740F1">
        <w:t>there is a history of compliance</w:t>
      </w:r>
      <w:r w:rsidR="00413719">
        <w:t>, or where there is an inability to pay</w:t>
      </w:r>
      <w:r w:rsidR="000740F1">
        <w:t>.</w:t>
      </w:r>
      <w:r>
        <w:rPr>
          <w:rStyle w:val="FootnoteReference"/>
        </w:rPr>
        <w:footnoteReference w:id="47"/>
      </w:r>
      <w:r w:rsidR="000740F1">
        <w:t xml:space="preserve">  We</w:t>
      </w:r>
      <w:r w:rsidRPr="00981F23" w:rsidR="000740F1">
        <w:t xml:space="preserve"> </w:t>
      </w:r>
      <w:r w:rsidRPr="00981F23">
        <w:t>may adjust a forfeiture upward for violations that are egregious, intentional, repeated, that cause substantial harm or generate substantial economic gain for the violator</w:t>
      </w:r>
      <w:r w:rsidR="00413719">
        <w:t>, where there is an ability to pay, or where there is a history of prior violations of FCC requirements</w:t>
      </w:r>
      <w:r w:rsidRPr="00981F23">
        <w:t>.</w:t>
      </w:r>
      <w:r>
        <w:rPr>
          <w:rStyle w:val="FootnoteReference"/>
          <w:color w:val="000000"/>
        </w:rPr>
        <w:footnoteReference w:id="48"/>
      </w:r>
      <w:r w:rsidRPr="00981F23">
        <w:t xml:space="preserve">  </w:t>
      </w:r>
    </w:p>
    <w:p w:rsidR="0023759D" w:rsidRPr="00232FF0" w:rsidP="00A5022F" w14:paraId="585FF4F9" w14:textId="26917108">
      <w:pPr>
        <w:pStyle w:val="ParaNum"/>
        <w:tabs>
          <w:tab w:val="clear" w:pos="1440"/>
        </w:tabs>
      </w:pPr>
      <w:r w:rsidRPr="00981F23">
        <w:t xml:space="preserve">Section 1.80(b) of the </w:t>
      </w:r>
      <w:r>
        <w:t>Commission’s r</w:t>
      </w:r>
      <w:r w:rsidRPr="00981F23">
        <w:t xml:space="preserve">ules </w:t>
      </w:r>
      <w:r w:rsidR="00791C1F">
        <w:t xml:space="preserve">provides for </w:t>
      </w:r>
      <w:r w:rsidRPr="00981F23">
        <w:t>a base forfeiture of $</w:t>
      </w:r>
      <w:r>
        <w:t xml:space="preserve">8,000 for </w:t>
      </w:r>
      <w:r w:rsidR="00EF7E5D">
        <w:t xml:space="preserve">various </w:t>
      </w:r>
      <w:r w:rsidR="00791C1F">
        <w:t xml:space="preserve">EAS </w:t>
      </w:r>
      <w:r w:rsidR="00EF7E5D">
        <w:t xml:space="preserve">and false distress </w:t>
      </w:r>
      <w:r w:rsidR="00791C1F">
        <w:t xml:space="preserve">rule </w:t>
      </w:r>
      <w:r>
        <w:t>violations</w:t>
      </w:r>
      <w:r w:rsidR="00791C1F">
        <w:t>,</w:t>
      </w:r>
      <w:r>
        <w:t xml:space="preserve"> </w:t>
      </w:r>
      <w:r w:rsidRPr="00981F23">
        <w:t>for each violation or each day of a continuing violation.</w:t>
      </w:r>
      <w:r>
        <w:rPr>
          <w:vertAlign w:val="superscript"/>
        </w:rPr>
        <w:footnoteReference w:id="49"/>
      </w:r>
      <w:r w:rsidRPr="00981F23">
        <w:t xml:space="preserve">  </w:t>
      </w:r>
      <w:r w:rsidR="00791C1F">
        <w:t>The Commission has previously applied an $8,000 base forfeiture for violations of section 11.45(a) of the Commission’s rules.</w:t>
      </w:r>
      <w:r>
        <w:rPr>
          <w:rStyle w:val="FootnoteReference"/>
        </w:rPr>
        <w:footnoteReference w:id="50"/>
      </w:r>
      <w:r w:rsidRPr="00232FF0" w:rsidR="00767580">
        <w:rPr>
          <w:color w:val="000000" w:themeColor="text1"/>
        </w:rPr>
        <w:t xml:space="preserve">  </w:t>
      </w:r>
      <w:r w:rsidRPr="00232FF0">
        <w:t xml:space="preserve">We have discretion, however, to depart from </w:t>
      </w:r>
      <w:r w:rsidRPr="00232FF0" w:rsidR="00767580">
        <w:t xml:space="preserve">the base forfeiture </w:t>
      </w:r>
      <w:r w:rsidRPr="00232FF0">
        <w:t>guidelines, taking into account the particular facts of each individual case.</w:t>
      </w:r>
      <w:r>
        <w:rPr>
          <w:rStyle w:val="FootnoteReference"/>
          <w:color w:val="000000" w:themeColor="text1"/>
        </w:rPr>
        <w:footnoteReference w:id="51"/>
      </w:r>
      <w:r w:rsidRPr="00232FF0">
        <w:t xml:space="preserve"> </w:t>
      </w:r>
    </w:p>
    <w:p w:rsidR="000743C6" w:rsidRPr="00232FF0" w:rsidP="00A5022F" w14:paraId="1D5F11E0" w14:textId="1A78D275">
      <w:pPr>
        <w:pStyle w:val="ParaNum"/>
        <w:widowControl/>
        <w:rPr>
          <w:rStyle w:val="documentbody1"/>
          <w:rFonts w:ascii="Times New Roman" w:hAnsi="Times New Roman"/>
          <w:snapToGrid/>
          <w:kern w:val="0"/>
          <w:sz w:val="22"/>
          <w:szCs w:val="22"/>
          <w:shd w:val="clear" w:color="auto" w:fill="auto"/>
        </w:rPr>
      </w:pPr>
      <w:r w:rsidRPr="00232FF0">
        <w:t>T</w:t>
      </w:r>
      <w:r w:rsidRPr="00232FF0" w:rsidR="0042735F">
        <w:t xml:space="preserve">he nature of EAS violations requires particularly serious consideration because, among other issues, such violations undermine the integrity of the EAS by desensitizing </w:t>
      </w:r>
      <w:r w:rsidRPr="00232FF0" w:rsidR="00637316">
        <w:t>the public</w:t>
      </w:r>
      <w:r w:rsidRPr="00232FF0" w:rsidR="0042735F">
        <w:t xml:space="preserve"> to the potential importance of warning tones</w:t>
      </w:r>
      <w:r w:rsidRPr="00232FF0" w:rsidR="00883AA6">
        <w:t>.  EAS violations</w:t>
      </w:r>
      <w:r w:rsidRPr="00232FF0" w:rsidR="0042735F">
        <w:t xml:space="preserve"> therefore implicate substantial public safety concerns</w:t>
      </w:r>
      <w:r w:rsidRPr="00232FF0" w:rsidR="0042735F">
        <w:rPr>
          <w:rStyle w:val="documentbody1"/>
          <w:rFonts w:ascii="Times New Roman" w:hAnsi="Times New Roman"/>
          <w:color w:val="000000"/>
          <w:sz w:val="22"/>
          <w:szCs w:val="22"/>
        </w:rPr>
        <w:t>.</w:t>
      </w:r>
      <w:r w:rsidRPr="00232FF0" w:rsidR="00182ED8">
        <w:rPr>
          <w:rStyle w:val="documentbody1"/>
          <w:rFonts w:ascii="Times New Roman" w:hAnsi="Times New Roman"/>
          <w:color w:val="000000"/>
          <w:sz w:val="22"/>
          <w:szCs w:val="22"/>
        </w:rPr>
        <w:t xml:space="preserve">  </w:t>
      </w:r>
      <w:r w:rsidRPr="00232FF0" w:rsidR="0042735F">
        <w:t xml:space="preserve">As explained in </w:t>
      </w:r>
      <w:r w:rsidRPr="00232FF0" w:rsidR="0074755A">
        <w:rPr>
          <w:i/>
          <w:iCs/>
        </w:rPr>
        <w:t>CBS NAL</w:t>
      </w:r>
      <w:r w:rsidRPr="00232FF0" w:rsidR="0042735F">
        <w:t>, our forfeiture determination in such cases is based on multiple factors associated with the nature of the violation and the violator.</w:t>
      </w:r>
      <w:r>
        <w:rPr>
          <w:rStyle w:val="FootnoteReference"/>
          <w:sz w:val="22"/>
          <w:szCs w:val="22"/>
        </w:rPr>
        <w:footnoteReference w:id="52"/>
      </w:r>
      <w:r w:rsidRPr="00232FF0" w:rsidR="0042735F">
        <w:t xml:space="preserve">  </w:t>
      </w:r>
      <w:r w:rsidRPr="00232FF0" w:rsidR="4DA8CE77">
        <w:t xml:space="preserve">When applying the statutory factors concerning the circumstances, extent, and gravity of an EAS violation, we take into account a </w:t>
      </w:r>
      <w:r w:rsidRPr="00232FF0" w:rsidR="4DA8CE77">
        <w:rPr>
          <w:rStyle w:val="documentbody1"/>
          <w:rFonts w:ascii="Times New Roman" w:hAnsi="Times New Roman"/>
          <w:color w:val="000000" w:themeColor="text1"/>
          <w:sz w:val="22"/>
          <w:szCs w:val="22"/>
        </w:rPr>
        <w:t>number of specific factors, including:</w:t>
      </w:r>
      <w:r w:rsidRPr="00232FF0" w:rsidR="4DA8CE77">
        <w:t xml:space="preserve">  (1) the number of repetitions (i.e., the number of individual transmissions); (2) the duration of the violation (i.e., the number of days or months over which the violation occurred); (3) the audience reach of the transmissions (e.g., nationwide, regional, or local); and (4) the extent of the public safety impact (e.g., whether an EAS activation is triggered).</w:t>
      </w:r>
      <w:r>
        <w:rPr>
          <w:rStyle w:val="FootnoteReference"/>
          <w:sz w:val="22"/>
          <w:szCs w:val="22"/>
        </w:rPr>
        <w:footnoteReference w:id="53"/>
      </w:r>
      <w:r w:rsidRPr="00232FF0" w:rsidR="4DA8CE77">
        <w:t xml:space="preserve">  While each of these factors may be significant </w:t>
      </w:r>
      <w:r w:rsidRPr="00232FF0" w:rsidR="7113C1D9">
        <w:t>in a given case, no single factor (e.g., the number of transmissions) is controlling</w:t>
      </w:r>
      <w:r w:rsidR="00232FF0">
        <w:t>.</w:t>
      </w:r>
      <w:r w:rsidRPr="00232FF0">
        <w:rPr>
          <w:rStyle w:val="documentbody1"/>
          <w:rFonts w:ascii="Times New Roman" w:hAnsi="Times New Roman"/>
          <w:sz w:val="22"/>
          <w:szCs w:val="22"/>
        </w:rPr>
        <w:t xml:space="preserve"> </w:t>
      </w:r>
    </w:p>
    <w:p w:rsidR="0042735F" w:rsidRPr="00A5022F" w:rsidP="00232FF0" w14:paraId="4D1F1447" w14:textId="01EAB648">
      <w:pPr>
        <w:pStyle w:val="ParaNum"/>
        <w:widowControl/>
        <w:rPr>
          <w:rStyle w:val="documentbody1"/>
          <w:rFonts w:ascii="Times New Roman" w:hAnsi="Times New Roman"/>
          <w:sz w:val="22"/>
          <w:szCs w:val="22"/>
        </w:rPr>
      </w:pPr>
      <w:r w:rsidRPr="00A5022F">
        <w:rPr>
          <w:shd w:val="clear" w:color="auto" w:fill="FFFFFF"/>
        </w:rPr>
        <w:t xml:space="preserve">In determining the proposed forfeiture amount, we considered the factors </w:t>
      </w:r>
      <w:r w:rsidRPr="00232FF0">
        <w:rPr>
          <w:rStyle w:val="documentbody1"/>
          <w:rFonts w:ascii="Times New Roman" w:hAnsi="Times New Roman"/>
          <w:color w:val="000000"/>
          <w:sz w:val="22"/>
          <w:szCs w:val="22"/>
        </w:rPr>
        <w:t xml:space="preserve">outlined in the Commission’s </w:t>
      </w:r>
      <w:r w:rsidRPr="00232FF0">
        <w:rPr>
          <w:rStyle w:val="documentbody1"/>
          <w:rFonts w:ascii="Times New Roman" w:hAnsi="Times New Roman"/>
          <w:i/>
          <w:iCs/>
          <w:color w:val="000000"/>
          <w:sz w:val="22"/>
          <w:szCs w:val="22"/>
        </w:rPr>
        <w:t>Forfeiture Policy Statement</w:t>
      </w:r>
      <w:r w:rsidRPr="00232FF0">
        <w:rPr>
          <w:rStyle w:val="documentbody1"/>
          <w:rFonts w:ascii="Times New Roman" w:hAnsi="Times New Roman"/>
          <w:color w:val="000000"/>
          <w:sz w:val="22"/>
          <w:szCs w:val="22"/>
        </w:rPr>
        <w:t>, section 1.80 of the Commission’s rules, and section 503 of the Act.</w:t>
      </w:r>
      <w:r w:rsidR="00657897">
        <w:rPr>
          <w:rStyle w:val="documentbody1"/>
          <w:rFonts w:ascii="Times New Roman" w:hAnsi="Times New Roman"/>
          <w:color w:val="000000"/>
          <w:sz w:val="22"/>
          <w:szCs w:val="22"/>
        </w:rPr>
        <w:t xml:space="preserve">  We </w:t>
      </w:r>
      <w:r w:rsidRPr="00232FF0" w:rsidR="00D43D41">
        <w:rPr>
          <w:shd w:val="clear" w:color="auto" w:fill="FFFFFF"/>
        </w:rPr>
        <w:t xml:space="preserve">have considered </w:t>
      </w:r>
      <w:r w:rsidRPr="00232FF0">
        <w:rPr>
          <w:shd w:val="clear" w:color="auto" w:fill="FFFFFF"/>
        </w:rPr>
        <w:t xml:space="preserve">the number of transmissions at issue, the amount of time over which the transmissions took place, the </w:t>
      </w:r>
      <w:r w:rsidRPr="00232FF0" w:rsidR="001513D0">
        <w:rPr>
          <w:shd w:val="clear" w:color="auto" w:fill="FFFFFF"/>
        </w:rPr>
        <w:t>S</w:t>
      </w:r>
      <w:r w:rsidRPr="00232FF0" w:rsidR="00422DEB">
        <w:rPr>
          <w:shd w:val="clear" w:color="auto" w:fill="FFFFFF"/>
        </w:rPr>
        <w:t>tations</w:t>
      </w:r>
      <w:r w:rsidR="008313B6">
        <w:rPr>
          <w:shd w:val="clear" w:color="auto" w:fill="FFFFFF"/>
        </w:rPr>
        <w:t>’</w:t>
      </w:r>
      <w:r w:rsidRPr="00232FF0" w:rsidR="00422DEB">
        <w:rPr>
          <w:shd w:val="clear" w:color="auto" w:fill="FFFFFF"/>
        </w:rPr>
        <w:t xml:space="preserve"> sizeable </w:t>
      </w:r>
      <w:r w:rsidRPr="00232FF0" w:rsidR="007A5EBE">
        <w:rPr>
          <w:shd w:val="clear" w:color="auto" w:fill="FFFFFF"/>
        </w:rPr>
        <w:t>audience</w:t>
      </w:r>
      <w:r w:rsidRPr="00232FF0">
        <w:rPr>
          <w:shd w:val="clear" w:color="auto" w:fill="FFFFFF"/>
        </w:rPr>
        <w:t xml:space="preserve"> reach, and the serious public safety implications of the apparent violations, as well as </w:t>
      </w:r>
      <w:r w:rsidRPr="00232FF0">
        <w:rPr>
          <w:rStyle w:val="documentbody1"/>
          <w:rFonts w:ascii="Times New Roman" w:hAnsi="Times New Roman"/>
          <w:color w:val="000000"/>
          <w:sz w:val="22"/>
          <w:szCs w:val="22"/>
        </w:rPr>
        <w:t xml:space="preserve">the other factors outlined in the Commission’s </w:t>
      </w:r>
      <w:r w:rsidRPr="00232FF0">
        <w:rPr>
          <w:rStyle w:val="documentbody1"/>
          <w:rFonts w:ascii="Times New Roman" w:hAnsi="Times New Roman"/>
          <w:i/>
          <w:iCs/>
          <w:color w:val="000000"/>
          <w:sz w:val="22"/>
          <w:szCs w:val="22"/>
        </w:rPr>
        <w:t>Forfeiture Policy Statement</w:t>
      </w:r>
      <w:r w:rsidRPr="00232FF0" w:rsidR="004A5A7A">
        <w:rPr>
          <w:rStyle w:val="documentbody1"/>
          <w:rFonts w:ascii="Times New Roman" w:hAnsi="Times New Roman"/>
          <w:color w:val="000000"/>
          <w:sz w:val="22"/>
          <w:szCs w:val="22"/>
        </w:rPr>
        <w:t xml:space="preserve"> and</w:t>
      </w:r>
      <w:r w:rsidRPr="00232FF0" w:rsidR="00EA3A3D">
        <w:rPr>
          <w:rStyle w:val="documentbody1"/>
          <w:rFonts w:ascii="Times New Roman" w:hAnsi="Times New Roman"/>
          <w:color w:val="000000"/>
          <w:sz w:val="22"/>
          <w:szCs w:val="22"/>
        </w:rPr>
        <w:t xml:space="preserve"> section 1.80 of the Commission’s rules.</w:t>
      </w:r>
      <w:r w:rsidRPr="00232FF0" w:rsidR="00D43D41">
        <w:rPr>
          <w:rStyle w:val="documentbody1"/>
          <w:rFonts w:ascii="Times New Roman" w:hAnsi="Times New Roman"/>
          <w:color w:val="000000"/>
          <w:sz w:val="22"/>
          <w:szCs w:val="22"/>
        </w:rPr>
        <w:t xml:space="preserve">  </w:t>
      </w:r>
      <w:r w:rsidRPr="00A31718" w:rsidR="00AD6656">
        <w:t xml:space="preserve">In this case, </w:t>
      </w:r>
      <w:r w:rsidRPr="00A31718" w:rsidR="00AD6656">
        <w:rPr>
          <w:rStyle w:val="documentbody1"/>
          <w:rFonts w:ascii="Times New Roman" w:hAnsi="Times New Roman"/>
          <w:color w:val="000000"/>
          <w:sz w:val="22"/>
          <w:szCs w:val="22"/>
        </w:rPr>
        <w:t>Beasley</w:t>
      </w:r>
      <w:r w:rsidRPr="00A31718" w:rsidR="00AD6656">
        <w:t xml:space="preserve"> transmitted programming </w:t>
      </w:r>
      <w:r w:rsidR="00DF7494">
        <w:t xml:space="preserve">on KDWN(AM) </w:t>
      </w:r>
      <w:r w:rsidRPr="00A31718" w:rsidR="00AD6656">
        <w:t>containing the false EAS Tones on September 26, 2020</w:t>
      </w:r>
      <w:r w:rsidR="00083879">
        <w:rPr>
          <w:szCs w:val="22"/>
        </w:rPr>
        <w:t>.</w:t>
      </w:r>
      <w:r>
        <w:rPr>
          <w:rStyle w:val="FootnoteReference"/>
        </w:rPr>
        <w:footnoteReference w:id="54"/>
      </w:r>
      <w:r w:rsidRPr="00A31718" w:rsidR="00AD6656">
        <w:t xml:space="preserve"> </w:t>
      </w:r>
      <w:r w:rsidR="00AD6656">
        <w:t xml:space="preserve"> </w:t>
      </w:r>
      <w:r w:rsidRPr="00A31718" w:rsidR="007F5545">
        <w:t xml:space="preserve">The fact that </w:t>
      </w:r>
      <w:r w:rsidR="00D8148E">
        <w:t>KDWN</w:t>
      </w:r>
      <w:r w:rsidR="00DF7494">
        <w:t>(AM)</w:t>
      </w:r>
      <w:r w:rsidR="00D8148E">
        <w:t xml:space="preserve"> </w:t>
      </w:r>
      <w:r w:rsidR="00A57DD6">
        <w:t>is in</w:t>
      </w:r>
      <w:r w:rsidRPr="00A31718" w:rsidR="007F5545">
        <w:t xml:space="preserve"> a large market increases the </w:t>
      </w:r>
      <w:r w:rsidRPr="00A31718" w:rsidR="007F5545">
        <w:rPr>
          <w:rStyle w:val="documentbody1"/>
          <w:rFonts w:ascii="Times New Roman" w:hAnsi="Times New Roman"/>
          <w:color w:val="000000"/>
          <w:sz w:val="22"/>
          <w:szCs w:val="22"/>
        </w:rPr>
        <w:t>extent and gravity of the instant</w:t>
      </w:r>
      <w:r w:rsidRPr="00A31718" w:rsidR="007F5545">
        <w:rPr>
          <w:rStyle w:val="documentbody1"/>
          <w:rFonts w:ascii="Times New Roman" w:hAnsi="Times New Roman"/>
          <w:sz w:val="22"/>
          <w:szCs w:val="22"/>
        </w:rPr>
        <w:t xml:space="preserve"> violation.</w:t>
      </w:r>
      <w:r>
        <w:rPr>
          <w:rStyle w:val="FootnoteReference"/>
          <w:shd w:val="clear" w:color="auto" w:fill="FFFFFF"/>
        </w:rPr>
        <w:footnoteReference w:id="55"/>
      </w:r>
      <w:r w:rsidRPr="00A31718" w:rsidR="007F5545">
        <w:rPr>
          <w:rStyle w:val="documentbody1"/>
          <w:rFonts w:ascii="Times New Roman" w:hAnsi="Times New Roman"/>
          <w:sz w:val="22"/>
          <w:szCs w:val="22"/>
        </w:rPr>
        <w:t xml:space="preserve"> </w:t>
      </w:r>
      <w:r w:rsidR="007F5545">
        <w:rPr>
          <w:rStyle w:val="documentbody1"/>
          <w:rFonts w:ascii="Times New Roman" w:hAnsi="Times New Roman"/>
          <w:sz w:val="22"/>
          <w:szCs w:val="22"/>
        </w:rPr>
        <w:t xml:space="preserve"> </w:t>
      </w:r>
      <w:r w:rsidR="00C2513A">
        <w:t xml:space="preserve">Here, </w:t>
      </w:r>
      <w:r w:rsidR="00A57DD6">
        <w:t>the effect of the violation was exacerbated by rebroadcasts on</w:t>
      </w:r>
      <w:r w:rsidR="00EA4202">
        <w:t xml:space="preserve"> Beasley’s station KKLZ</w:t>
      </w:r>
      <w:r w:rsidR="00BF3EC3">
        <w:t>-HD2 and its FM translator K</w:t>
      </w:r>
      <w:r w:rsidR="00155741">
        <w:t>268CS.</w:t>
      </w:r>
      <w:r>
        <w:rPr>
          <w:rStyle w:val="FootnoteReference"/>
        </w:rPr>
        <w:footnoteReference w:id="56"/>
      </w:r>
      <w:r w:rsidR="00155741">
        <w:t xml:space="preserve"> </w:t>
      </w:r>
      <w:r w:rsidR="00C2513A">
        <w:t xml:space="preserve"> </w:t>
      </w:r>
      <w:r w:rsidRPr="00A31718" w:rsidR="00DF7494">
        <w:t xml:space="preserve">With </w:t>
      </w:r>
      <w:r w:rsidRPr="00A31718" w:rsidR="00DF7494">
        <w:t xml:space="preserve">respect to audience reach, the </w:t>
      </w:r>
      <w:r w:rsidR="00DF7494">
        <w:t>Beasley stations and FM translator are</w:t>
      </w:r>
      <w:r w:rsidRPr="00A31718" w:rsidR="00DF7494">
        <w:t xml:space="preserve"> located in Las Vegas, Nevada, a top 50 Nielsen-rated market.</w:t>
      </w:r>
      <w:r>
        <w:rPr>
          <w:rStyle w:val="FootnoteReference"/>
        </w:rPr>
        <w:footnoteReference w:id="57"/>
      </w:r>
      <w:r w:rsidR="00DF7494">
        <w:t xml:space="preserve">  Thus, </w:t>
      </w:r>
      <w:r w:rsidRPr="00A31718" w:rsidR="00DF7494">
        <w:t>Beasley</w:t>
      </w:r>
      <w:r w:rsidRPr="00A31718" w:rsidR="00DF7494">
        <w:rPr>
          <w:szCs w:val="22"/>
        </w:rPr>
        <w:t xml:space="preserve"> </w:t>
      </w:r>
      <w:r w:rsidRPr="00A31718" w:rsidR="00DF7494">
        <w:t>aired the false EAS Tone</w:t>
      </w:r>
      <w:r w:rsidR="00DA4AB0">
        <w:t>s</w:t>
      </w:r>
      <w:r w:rsidRPr="00A31718" w:rsidR="00DF7494">
        <w:t xml:space="preserve"> on station</w:t>
      </w:r>
      <w:r w:rsidR="00DF7494">
        <w:t>s</w:t>
      </w:r>
      <w:r w:rsidRPr="00A31718" w:rsidR="00DF7494">
        <w:t xml:space="preserve"> serving a large radio market, thereby increasing the potential harm by increasing the potential reach of the transmissions.</w:t>
      </w:r>
      <w:r>
        <w:rPr>
          <w:rStyle w:val="FootnoteReference"/>
        </w:rPr>
        <w:footnoteReference w:id="58"/>
      </w:r>
      <w:r w:rsidR="00DF7494">
        <w:t xml:space="preserve">  </w:t>
      </w:r>
      <w:r w:rsidR="00C2513A">
        <w:t>G</w:t>
      </w:r>
      <w:r w:rsidRPr="00232FF0" w:rsidR="00D43D41">
        <w:t xml:space="preserve">iven the totality of the circumstances, and consistent with the </w:t>
      </w:r>
      <w:r w:rsidRPr="00232FF0" w:rsidR="00D43D41">
        <w:rPr>
          <w:i/>
          <w:iCs/>
        </w:rPr>
        <w:t>Forfeiture Policy Statement</w:t>
      </w:r>
      <w:r w:rsidRPr="00232FF0" w:rsidR="00D43D41">
        <w:t>, we conclude that a</w:t>
      </w:r>
      <w:r w:rsidRPr="00232FF0" w:rsidR="0062639A">
        <w:t>n</w:t>
      </w:r>
      <w:r w:rsidRPr="00232FF0" w:rsidR="00E10AEA">
        <w:t xml:space="preserve"> $</w:t>
      </w:r>
      <w:r w:rsidRPr="00232FF0" w:rsidR="00976E87">
        <w:t xml:space="preserve">8,000 </w:t>
      </w:r>
      <w:r w:rsidRPr="00232FF0" w:rsidR="00E10AEA">
        <w:t xml:space="preserve">base forfeiture plus an upward adjustment in the amount of </w:t>
      </w:r>
      <w:r w:rsidRPr="00232FF0" w:rsidR="009F5994">
        <w:t>$</w:t>
      </w:r>
      <w:r w:rsidR="00A57DD6">
        <w:t>12</w:t>
      </w:r>
      <w:r w:rsidRPr="00232FF0" w:rsidR="00976E87">
        <w:t>,000</w:t>
      </w:r>
      <w:r w:rsidRPr="00232FF0" w:rsidR="009F5994">
        <w:t xml:space="preserve"> is warranted for</w:t>
      </w:r>
      <w:r w:rsidR="00BF3EC3">
        <w:t xml:space="preserve"> </w:t>
      </w:r>
      <w:r w:rsidRPr="00232FF0" w:rsidR="009F5994">
        <w:t>Beasley’s</w:t>
      </w:r>
      <w:r w:rsidR="00A57DD6">
        <w:t xml:space="preserve"> </w:t>
      </w:r>
      <w:r w:rsidRPr="00232FF0" w:rsidR="00976E87">
        <w:t>apparent</w:t>
      </w:r>
      <w:r w:rsidRPr="00232FF0" w:rsidR="009F5994">
        <w:t xml:space="preserve"> </w:t>
      </w:r>
      <w:r w:rsidRPr="00232FF0" w:rsidR="00E10AEA">
        <w:t>violation of section 11.45(a) of the Commission’s rules</w:t>
      </w:r>
      <w:r w:rsidRPr="00232FF0" w:rsidR="009F5994">
        <w:t xml:space="preserve">.  </w:t>
      </w:r>
      <w:r w:rsidR="007F5545">
        <w:t>We find no basis for a downward adjustment.</w:t>
      </w:r>
      <w:r>
        <w:rPr>
          <w:rStyle w:val="FootnoteReference"/>
          <w:shd w:val="clear" w:color="auto" w:fill="FFFFFF"/>
        </w:rPr>
        <w:footnoteReference w:id="59"/>
      </w:r>
      <w:r w:rsidRPr="00232FF0" w:rsidR="00423C27">
        <w:rPr>
          <w:rStyle w:val="documentbody1"/>
          <w:rFonts w:ascii="Times New Roman" w:hAnsi="Times New Roman"/>
          <w:color w:val="000000"/>
          <w:sz w:val="22"/>
          <w:szCs w:val="22"/>
        </w:rPr>
        <w:t xml:space="preserve"> </w:t>
      </w:r>
      <w:r w:rsidRPr="00232FF0" w:rsidR="00976E87">
        <w:rPr>
          <w:rStyle w:val="documentbody1"/>
          <w:rFonts w:ascii="Times New Roman" w:hAnsi="Times New Roman"/>
          <w:color w:val="000000"/>
          <w:sz w:val="22"/>
          <w:szCs w:val="22"/>
        </w:rPr>
        <w:t xml:space="preserve"> </w:t>
      </w:r>
      <w:r w:rsidRPr="00232FF0" w:rsidR="00423C27">
        <w:rPr>
          <w:rStyle w:val="documentbody1"/>
          <w:rFonts w:ascii="Times New Roman" w:hAnsi="Times New Roman"/>
          <w:color w:val="000000"/>
          <w:sz w:val="22"/>
          <w:szCs w:val="22"/>
        </w:rPr>
        <w:t>We therefore propose a total forfeiture of $</w:t>
      </w:r>
      <w:r w:rsidR="00042222">
        <w:rPr>
          <w:rStyle w:val="documentbody1"/>
          <w:rFonts w:ascii="Times New Roman" w:hAnsi="Times New Roman"/>
          <w:color w:val="000000"/>
          <w:sz w:val="22"/>
          <w:szCs w:val="22"/>
        </w:rPr>
        <w:t>20,000</w:t>
      </w:r>
      <w:r w:rsidRPr="00232FF0" w:rsidR="00423C27">
        <w:rPr>
          <w:rStyle w:val="documentbody1"/>
          <w:rFonts w:ascii="Times New Roman" w:hAnsi="Times New Roman"/>
          <w:color w:val="000000"/>
          <w:sz w:val="22"/>
          <w:szCs w:val="22"/>
        </w:rPr>
        <w:t>, for which Beasley is apparently liable.</w:t>
      </w:r>
      <w:r>
        <w:rPr>
          <w:rStyle w:val="FootnoteReference"/>
          <w:shd w:val="clear" w:color="auto" w:fill="FFFFFF"/>
        </w:rPr>
        <w:footnoteReference w:id="60"/>
      </w:r>
    </w:p>
    <w:p w:rsidR="00986912" w:rsidP="00DC4CB9" w14:paraId="7474685B" w14:textId="17AB7320">
      <w:pPr>
        <w:pStyle w:val="Heading1"/>
        <w:keepNext w:val="0"/>
        <w:rPr>
          <w:rFonts w:ascii="Times New Roman" w:hAnsi="Times New Roman"/>
          <w:szCs w:val="22"/>
        </w:rPr>
      </w:pPr>
      <w:bookmarkStart w:id="20" w:name="_Toc7629837"/>
      <w:bookmarkStart w:id="21" w:name="_Toc7778361"/>
      <w:r>
        <w:rPr>
          <w:rFonts w:ascii="Times New Roman" w:hAnsi="Times New Roman"/>
          <w:szCs w:val="22"/>
        </w:rPr>
        <w:t>Conclusion</w:t>
      </w:r>
    </w:p>
    <w:p w:rsidR="00986912" w:rsidRPr="00986912" w:rsidP="00986912" w14:paraId="276C632D" w14:textId="01139C5A">
      <w:pPr>
        <w:pStyle w:val="ParaNum"/>
      </w:pPr>
      <w:r>
        <w:t>In view of the foregoing, we determine</w:t>
      </w:r>
      <w:r>
        <w:t xml:space="preserve"> that </w:t>
      </w:r>
      <w:r w:rsidR="00422DEB">
        <w:t>Beasley</w:t>
      </w:r>
      <w:r>
        <w:t xml:space="preserve"> apparently willfully violated </w:t>
      </w:r>
      <w:r w:rsidR="00063FF5">
        <w:t>s</w:t>
      </w:r>
      <w:r>
        <w:t>ection 11.45</w:t>
      </w:r>
      <w:r w:rsidR="00422DEB">
        <w:t xml:space="preserve">(a) </w:t>
      </w:r>
      <w:r>
        <w:t>of the Commission’s rules</w:t>
      </w:r>
      <w:r w:rsidR="00EA3A3D">
        <w:t xml:space="preserve"> and propose a total </w:t>
      </w:r>
      <w:r>
        <w:t>forfeiture of $</w:t>
      </w:r>
      <w:r w:rsidR="00042222">
        <w:t>20,000</w:t>
      </w:r>
      <w:r>
        <w:t xml:space="preserve">. </w:t>
      </w:r>
    </w:p>
    <w:p w:rsidR="0042735F" w:rsidRPr="00E76D83" w:rsidP="00DC4CB9" w14:paraId="3C59C082" w14:textId="4E5D82EC">
      <w:pPr>
        <w:pStyle w:val="Heading1"/>
        <w:keepNext w:val="0"/>
        <w:rPr>
          <w:rFonts w:ascii="Times New Roman" w:hAnsi="Times New Roman"/>
          <w:szCs w:val="22"/>
        </w:rPr>
      </w:pPr>
      <w:r w:rsidRPr="00E76D83">
        <w:rPr>
          <w:rFonts w:ascii="Times New Roman" w:hAnsi="Times New Roman"/>
          <w:szCs w:val="22"/>
        </w:rPr>
        <w:t>ORDERING CLAUSES</w:t>
      </w:r>
      <w:bookmarkEnd w:id="20"/>
      <w:bookmarkEnd w:id="21"/>
    </w:p>
    <w:p w:rsidR="00C23FEA" w:rsidP="00DC4CB9" w14:paraId="305C6AFC" w14:textId="15ECBB71">
      <w:pPr>
        <w:pStyle w:val="ParaNum"/>
        <w:widowControl/>
      </w:pPr>
      <w:r w:rsidRPr="224F0C9F">
        <w:t>Accordingly</w:t>
      </w:r>
      <w:r w:rsidRPr="00C23FEA" w:rsidR="0042735F">
        <w:rPr>
          <w:szCs w:val="22"/>
        </w:rPr>
        <w:t xml:space="preserve">, </w:t>
      </w:r>
      <w:r w:rsidRPr="224F0C9F" w:rsidR="0042735F">
        <w:rPr>
          <w:b/>
          <w:bCs/>
        </w:rPr>
        <w:t>IT IS ORDERED</w:t>
      </w:r>
      <w:r w:rsidRPr="224F0C9F" w:rsidR="00006B79">
        <w:t xml:space="preserve"> that,</w:t>
      </w:r>
      <w:r w:rsidRPr="224F0C9F" w:rsidR="0042735F">
        <w:t xml:space="preserve"> pursuant to section 503(b) of the Act</w:t>
      </w:r>
      <w:r>
        <w:rPr>
          <w:rStyle w:val="FootnoteReference"/>
          <w:sz w:val="22"/>
          <w:szCs w:val="22"/>
        </w:rPr>
        <w:footnoteReference w:id="61"/>
      </w:r>
      <w:r w:rsidRPr="224F0C9F" w:rsidR="0042735F">
        <w:t xml:space="preserve"> and section 1.80 of the </w:t>
      </w:r>
      <w:r w:rsidRPr="224F0C9F" w:rsidR="00006B79">
        <w:t>Commission’s r</w:t>
      </w:r>
      <w:r w:rsidRPr="224F0C9F" w:rsidR="0042735F">
        <w:t>ules,</w:t>
      </w:r>
      <w:r>
        <w:rPr>
          <w:rStyle w:val="FootnoteReference"/>
          <w:spacing w:val="-2"/>
          <w:sz w:val="22"/>
          <w:szCs w:val="22"/>
        </w:rPr>
        <w:footnoteReference w:id="62"/>
      </w:r>
      <w:r w:rsidRPr="00C23FEA" w:rsidR="0042735F">
        <w:rPr>
          <w:szCs w:val="22"/>
        </w:rPr>
        <w:t xml:space="preserve"> </w:t>
      </w:r>
      <w:r w:rsidRPr="224F0C9F" w:rsidR="00422DEB">
        <w:t>Beasley Media Group Licenses, LLC</w:t>
      </w:r>
      <w:r w:rsidRPr="224F0C9F" w:rsidR="0042735F">
        <w:rPr>
          <w:spacing w:val="-2"/>
        </w:rPr>
        <w:t xml:space="preserve"> is </w:t>
      </w:r>
      <w:r w:rsidRPr="224F0C9F" w:rsidR="0042735F">
        <w:t xml:space="preserve">hereby </w:t>
      </w:r>
      <w:r w:rsidRPr="224F0C9F" w:rsidR="0042735F">
        <w:rPr>
          <w:b/>
          <w:bCs/>
        </w:rPr>
        <w:t>NOTIFIED</w:t>
      </w:r>
      <w:r w:rsidRPr="224F0C9F" w:rsidR="0042735F">
        <w:t xml:space="preserve"> of </w:t>
      </w:r>
      <w:r w:rsidRPr="224F0C9F" w:rsidR="00006B79">
        <w:t>this</w:t>
      </w:r>
      <w:r w:rsidRPr="00C23FEA" w:rsidR="0042735F">
        <w:rPr>
          <w:szCs w:val="22"/>
        </w:rPr>
        <w:t xml:space="preserve"> </w:t>
      </w:r>
      <w:r w:rsidRPr="224F0C9F" w:rsidR="0042735F">
        <w:rPr>
          <w:b/>
          <w:bCs/>
        </w:rPr>
        <w:t>APPARENT LIABILITY FOR FORFEITURE</w:t>
      </w:r>
      <w:r w:rsidRPr="224F0C9F" w:rsidR="0042735F">
        <w:t xml:space="preserve"> in the amount of </w:t>
      </w:r>
      <w:r w:rsidRPr="224F0C9F" w:rsidR="00F419C4">
        <w:t>twent</w:t>
      </w:r>
      <w:r w:rsidR="00DD3796">
        <w:t>y</w:t>
      </w:r>
      <w:r w:rsidRPr="224F0C9F" w:rsidR="00006B79">
        <w:t xml:space="preserve"> thousand dollars </w:t>
      </w:r>
      <w:r w:rsidR="00C2513A">
        <w:t>(</w:t>
      </w:r>
      <w:r w:rsidRPr="00990A30" w:rsidR="005434A2">
        <w:rPr>
          <w:rStyle w:val="documentbody1"/>
          <w:rFonts w:ascii="Times New Roman" w:hAnsi="Times New Roman"/>
          <w:color w:val="000000"/>
          <w:sz w:val="22"/>
          <w:szCs w:val="22"/>
        </w:rPr>
        <w:t>$</w:t>
      </w:r>
      <w:r w:rsidR="00042222">
        <w:rPr>
          <w:rStyle w:val="documentbody1"/>
          <w:rFonts w:ascii="Times New Roman" w:hAnsi="Times New Roman"/>
          <w:color w:val="000000"/>
          <w:sz w:val="22"/>
          <w:szCs w:val="22"/>
        </w:rPr>
        <w:t>20,000</w:t>
      </w:r>
      <w:r w:rsidR="00C2513A">
        <w:rPr>
          <w:rStyle w:val="documentbody1"/>
          <w:rFonts w:ascii="Times New Roman" w:hAnsi="Times New Roman"/>
          <w:color w:val="000000"/>
          <w:sz w:val="22"/>
          <w:szCs w:val="22"/>
        </w:rPr>
        <w:t>)</w:t>
      </w:r>
      <w:r w:rsidRPr="224F0C9F" w:rsidR="0042735F">
        <w:t xml:space="preserve"> for </w:t>
      </w:r>
      <w:r w:rsidRPr="00981F23" w:rsidR="00006B79">
        <w:t xml:space="preserve">willful violation of </w:t>
      </w:r>
      <w:r w:rsidR="00006B79">
        <w:t>section 11.45</w:t>
      </w:r>
      <w:r w:rsidR="00422DEB">
        <w:t xml:space="preserve">(a) </w:t>
      </w:r>
      <w:r w:rsidRPr="00981F23" w:rsidR="00006B79">
        <w:t xml:space="preserve">of the </w:t>
      </w:r>
      <w:r w:rsidR="00006B79">
        <w:t>Commission’s r</w:t>
      </w:r>
      <w:r w:rsidRPr="00981F23" w:rsidR="00006B79">
        <w:t>ules</w:t>
      </w:r>
      <w:r w:rsidRPr="00C23FEA">
        <w:rPr>
          <w:szCs w:val="22"/>
        </w:rPr>
        <w:t>.</w:t>
      </w:r>
      <w:r>
        <w:rPr>
          <w:rStyle w:val="FootnoteReference"/>
          <w:sz w:val="22"/>
          <w:szCs w:val="22"/>
        </w:rPr>
        <w:footnoteReference w:id="63"/>
      </w:r>
      <w:r w:rsidRPr="00C23FEA" w:rsidR="0042735F">
        <w:rPr>
          <w:szCs w:val="22"/>
        </w:rPr>
        <w:t xml:space="preserve"> </w:t>
      </w:r>
    </w:p>
    <w:p w:rsidR="00006B79" w:rsidRPr="00981F23" w:rsidP="00CF0743" w14:paraId="78022768" w14:textId="1EC0130F">
      <w:pPr>
        <w:pStyle w:val="ParaNum"/>
        <w:widowControl/>
        <w:rPr>
          <w:spacing w:val="-2"/>
        </w:rPr>
      </w:pPr>
      <w:r w:rsidRPr="224F0C9F">
        <w:rPr>
          <w:b/>
          <w:bCs/>
        </w:rPr>
        <w:t>IT IS FURTHER ORDERED</w:t>
      </w:r>
      <w:r>
        <w:rPr>
          <w:bCs/>
          <w:szCs w:val="22"/>
        </w:rPr>
        <w:t xml:space="preserve"> </w:t>
      </w:r>
      <w:r w:rsidRPr="00981F23">
        <w:t xml:space="preserve">that, pursuant to </w:t>
      </w:r>
      <w:r>
        <w:t>s</w:t>
      </w:r>
      <w:r w:rsidRPr="00981F23">
        <w:t>ection 1.80 of the</w:t>
      </w:r>
      <w:r>
        <w:t xml:space="preserve"> Commission’s r</w:t>
      </w:r>
      <w:r w:rsidRPr="00981F23">
        <w:t>ules,</w:t>
      </w:r>
      <w:r>
        <w:rPr>
          <w:vertAlign w:val="superscript"/>
        </w:rPr>
        <w:footnoteReference w:id="64"/>
      </w:r>
      <w:r w:rsidRPr="00981F23">
        <w:rPr>
          <w:vertAlign w:val="superscript"/>
        </w:rPr>
        <w:t xml:space="preserve"> </w:t>
      </w:r>
      <w:r w:rsidRPr="00981F23">
        <w:t>within thirty (30) calendar days of the release date of this Notice of Apparent Liability for Forfeiture,</w:t>
      </w:r>
      <w:r>
        <w:t xml:space="preserve"> </w:t>
      </w:r>
      <w:r w:rsidR="00422DEB">
        <w:t>Beasley Media Group Licenses, LLC</w:t>
      </w:r>
      <w:r w:rsidRPr="00981F23">
        <w:t xml:space="preserve"> </w:t>
      </w:r>
      <w:r w:rsidRPr="224F0C9F">
        <w:rPr>
          <w:b/>
          <w:bCs/>
        </w:rPr>
        <w:t>SHALL PAY</w:t>
      </w:r>
      <w:r w:rsidRPr="00981F23">
        <w:t xml:space="preserve"> the full amount of the proposed forfeiture or </w:t>
      </w:r>
      <w:r w:rsidRPr="224F0C9F">
        <w:rPr>
          <w:b/>
          <w:bCs/>
        </w:rPr>
        <w:t>SHALL FILE</w:t>
      </w:r>
      <w:r w:rsidRPr="00981F23">
        <w:t xml:space="preserve"> a written statement seeking reduction or cancellation of the proposed forfeiture consistent with paragraph </w:t>
      </w:r>
      <w:r w:rsidR="00D746C3">
        <w:t xml:space="preserve">21 </w:t>
      </w:r>
      <w:r w:rsidRPr="00981F23">
        <w:t>below.</w:t>
      </w:r>
    </w:p>
    <w:p w:rsidR="000803E2" w:rsidRPr="00981F23" w:rsidP="000803E2" w14:paraId="075E9795" w14:textId="6C8DB124">
      <w:pPr>
        <w:pStyle w:val="ParaNum"/>
        <w:rPr>
          <w:spacing w:val="-2"/>
        </w:rPr>
      </w:pPr>
      <w:r w:rsidRPr="224F0C9F">
        <w:t>Beasley Media Group Licenses, LLC</w:t>
      </w:r>
      <w:r w:rsidRPr="000803E2" w:rsidR="009C1D4B">
        <w:rPr>
          <w:szCs w:val="22"/>
        </w:rPr>
        <w:t xml:space="preserve"> </w:t>
      </w:r>
      <w:r w:rsidRPr="224F0C9F" w:rsidR="0042735F">
        <w:t xml:space="preserve">shall send electronic notification of payment to </w:t>
      </w:r>
      <w:r w:rsidRPr="224F0C9F" w:rsidR="00E55184">
        <w:t xml:space="preserve">Jeffrey Gee at </w:t>
      </w:r>
      <w:r w:rsidRPr="00232FF0" w:rsidR="0042735F">
        <w:rPr>
          <w:rStyle w:val="Hyperlink"/>
        </w:rPr>
        <w:t>Jeffrey.Gee@fcc.gov</w:t>
      </w:r>
      <w:r w:rsidRPr="224F0C9F" w:rsidR="0042735F">
        <w:t xml:space="preserve">, </w:t>
      </w:r>
      <w:r w:rsidRPr="224F0C9F" w:rsidR="00E55184">
        <w:t xml:space="preserve">Christopher Sova at </w:t>
      </w:r>
      <w:r w:rsidRPr="00232FF0" w:rsidR="0042735F">
        <w:rPr>
          <w:rStyle w:val="Hyperlink"/>
        </w:rPr>
        <w:t>Christopher.Sova@fcc.gov</w:t>
      </w:r>
      <w:r w:rsidRPr="224F0C9F" w:rsidR="0042735F">
        <w:t xml:space="preserve">, </w:t>
      </w:r>
      <w:r w:rsidRPr="224F0C9F" w:rsidR="000B156E">
        <w:t>Frederick Giroux</w:t>
      </w:r>
      <w:r w:rsidRPr="224F0C9F" w:rsidR="00E55184">
        <w:t xml:space="preserve"> at </w:t>
      </w:r>
      <w:r w:rsidRPr="00232FF0" w:rsidR="000B156E">
        <w:rPr>
          <w:rStyle w:val="Hyperlink"/>
        </w:rPr>
        <w:t>Frederick</w:t>
      </w:r>
      <w:r w:rsidRPr="00232FF0" w:rsidR="0042735F">
        <w:rPr>
          <w:rStyle w:val="Hyperlink"/>
        </w:rPr>
        <w:t>.</w:t>
      </w:r>
      <w:r w:rsidRPr="00232FF0" w:rsidR="000B156E">
        <w:rPr>
          <w:rStyle w:val="Hyperlink"/>
        </w:rPr>
        <w:t>Giroux</w:t>
      </w:r>
      <w:r w:rsidRPr="00232FF0" w:rsidR="0042735F">
        <w:rPr>
          <w:rStyle w:val="Hyperlink"/>
        </w:rPr>
        <w:t>@fcc.gov</w:t>
      </w:r>
      <w:r w:rsidRPr="224F0C9F" w:rsidR="0042735F">
        <w:t xml:space="preserve">, </w:t>
      </w:r>
      <w:r w:rsidRPr="224F0C9F" w:rsidR="000B156E">
        <w:t xml:space="preserve">and </w:t>
      </w:r>
      <w:r w:rsidRPr="224F0C9F" w:rsidR="005F708C">
        <w:t xml:space="preserve">Jennifer Lewis at </w:t>
      </w:r>
      <w:hyperlink r:id="rId5" w:history="1">
        <w:r w:rsidRPr="00232FF0" w:rsidR="000B156E">
          <w:rPr>
            <w:rStyle w:val="Hyperlink"/>
          </w:rPr>
          <w:t>Jennifer.Lewis@fcc.gov</w:t>
        </w:r>
      </w:hyperlink>
      <w:r w:rsidRPr="000803E2" w:rsidR="000B156E">
        <w:rPr>
          <w:szCs w:val="22"/>
        </w:rPr>
        <w:t xml:space="preserve"> </w:t>
      </w:r>
      <w:r w:rsidRPr="224F0C9F" w:rsidR="0042735F">
        <w:t xml:space="preserve">on the date said payment is made.  </w:t>
      </w:r>
      <w:r w:rsidRPr="00AD0726">
        <w:t xml:space="preserve">Payment of the </w:t>
      </w:r>
      <w:r>
        <w:t>forfeiture</w:t>
      </w:r>
      <w:r w:rsidRPr="00AD0726">
        <w:t xml:space="preserve"> must be made by credit card, ACH (Automated Clearing House) debit </w:t>
      </w:r>
      <w:r w:rsidRPr="00AD0726">
        <w:t xml:space="preserve">from a bank account using </w:t>
      </w:r>
      <w:r>
        <w:t xml:space="preserve">the Commission’s </w:t>
      </w:r>
      <w:r w:rsidRPr="00AD0726">
        <w:t>Fee Filer (</w:t>
      </w:r>
      <w:r>
        <w:t>the Commission’s</w:t>
      </w:r>
      <w:r w:rsidRPr="00AD0726">
        <w:t xml:space="preserve"> online payment system),</w:t>
      </w:r>
      <w:r>
        <w:rPr>
          <w:rStyle w:val="FootnoteReference"/>
        </w:rPr>
        <w:footnoteReference w:id="65"/>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66"/>
      </w:r>
      <w:r w:rsidRPr="00981F23">
        <w:tab/>
      </w:r>
    </w:p>
    <w:p w:rsidR="000803E2" w:rsidRPr="000803E2" w:rsidP="000803E2" w14:paraId="6A71A347" w14:textId="1296B27B">
      <w:pPr>
        <w:pStyle w:val="ParaNum"/>
        <w:numPr>
          <w:ilvl w:val="0"/>
          <w:numId w:val="8"/>
        </w:numPr>
        <w:tabs>
          <w:tab w:val="clear" w:pos="1080"/>
        </w:tabs>
        <w:rPr>
          <w:rFonts w:eastAsia="MS Mincho"/>
          <w:szCs w:val="22"/>
        </w:rPr>
      </w:pPr>
      <w:r w:rsidRPr="00AD0726">
        <w:t xml:space="preserve">Payment by wire transfer must be made to ABA Number 021030004, receiving bank TREAS/NYC, and Account Number 27000001.  A completed Form 159 must be faxed to the Federal Communications Commission at 202-418-2843 or e-mailed to </w:t>
      </w:r>
      <w:r w:rsidRPr="00232FF0">
        <w:rPr>
          <w:rStyle w:val="Hyperlink"/>
        </w:rPr>
        <w:t>RROGWireFaxes@fcc.gov</w:t>
      </w:r>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67"/>
      </w:r>
      <w:r w:rsidRPr="00AD0726">
        <w:t xml:space="preserve">  For additional detail and wire transfer instructions</w:t>
      </w:r>
      <w:r>
        <w:t>,</w:t>
      </w:r>
      <w:r w:rsidRPr="00AD0726">
        <w:t xml:space="preserve"> go to </w:t>
      </w:r>
      <w:hyperlink r:id="rId6" w:history="1">
        <w:r w:rsidRPr="000803E2">
          <w:rPr>
            <w:rStyle w:val="Hyperlink"/>
            <w:rFonts w:eastAsia="Calibri"/>
            <w:kern w:val="0"/>
          </w:rPr>
          <w:t>https://www.fcc.gov/licensing-databases/fees/wire-transfer</w:t>
        </w:r>
      </w:hyperlink>
      <w:r>
        <w:rPr>
          <w:rStyle w:val="Hyperlink"/>
          <w:rFonts w:eastAsia="Calibri"/>
          <w:kern w:val="0"/>
        </w:rPr>
        <w:t>.</w:t>
      </w:r>
    </w:p>
    <w:p w:rsidR="0042735F" w:rsidRPr="000803E2" w:rsidP="000803E2" w14:paraId="5456F36B" w14:textId="082342E5">
      <w:pPr>
        <w:pStyle w:val="ParaNum"/>
        <w:numPr>
          <w:ilvl w:val="0"/>
          <w:numId w:val="8"/>
        </w:numPr>
        <w:tabs>
          <w:tab w:val="clear" w:pos="1080"/>
        </w:tabs>
        <w:rPr>
          <w:rFonts w:eastAsia="MS Mincho"/>
          <w:szCs w:val="22"/>
        </w:rPr>
      </w:pPr>
      <w:r w:rsidRPr="00AD0726">
        <w:t xml:space="preserve">Payment by credit card must be made by using the </w:t>
      </w:r>
      <w:r>
        <w:t xml:space="preserve">Commission’s </w:t>
      </w:r>
      <w:r w:rsidRPr="00AD0726">
        <w:t xml:space="preserve">Fee Filer website at </w:t>
      </w:r>
      <w:hyperlink r:id="rId7"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r w:rsidRPr="000803E2">
        <w:rPr>
          <w:rFonts w:eastAsia="MS Mincho"/>
          <w:szCs w:val="22"/>
        </w:rPr>
        <w:t xml:space="preserve">.  </w:t>
      </w:r>
    </w:p>
    <w:p w:rsidR="0042735F" w:rsidRPr="00E76D83" w:rsidP="0042735F" w14:paraId="26C54463" w14:textId="136EEA5E">
      <w:pPr>
        <w:pStyle w:val="ParaNum"/>
        <w:numPr>
          <w:ilvl w:val="0"/>
          <w:numId w:val="8"/>
        </w:numPr>
        <w:rPr>
          <w:rFonts w:eastAsia="MS Mincho"/>
          <w:szCs w:val="22"/>
        </w:rPr>
      </w:pPr>
      <w:r w:rsidRPr="00AD0726">
        <w:t>Payment by ACH</w:t>
      </w:r>
      <w:r>
        <w:t xml:space="preserve"> </w:t>
      </w:r>
      <w:r w:rsidRPr="00AD0726">
        <w:t xml:space="preserve">must be made by using the Commission’s Fee Filer website at </w:t>
      </w:r>
      <w:hyperlink r:id="rId7" w:history="1">
        <w:r w:rsidRPr="000803E2">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r w:rsidRPr="00E76D83">
        <w:rPr>
          <w:rFonts w:eastAsia="MS Mincho"/>
          <w:szCs w:val="22"/>
        </w:rPr>
        <w:t xml:space="preserve">.  </w:t>
      </w:r>
    </w:p>
    <w:p w:rsidR="0042735F" w:rsidRPr="00E76D83" w:rsidP="003E711C" w14:paraId="5D22EBD9" w14:textId="621345B4">
      <w:pPr>
        <w:pStyle w:val="ParaNum"/>
      </w:pPr>
      <w:r w:rsidRPr="00981F23">
        <w:t xml:space="preserve">Any request for making full payment over time under an installment plan should be sent to:  Chief Financial Officer—Financial Operations, Federal Communications Commission, </w:t>
      </w:r>
      <w:r>
        <w:t xml:space="preserve">45 L </w:t>
      </w:r>
      <w:r w:rsidRPr="00981F23">
        <w:t xml:space="preserve">Street, </w:t>
      </w:r>
      <w:r>
        <w:t>NE</w:t>
      </w:r>
      <w:r w:rsidRPr="00981F23">
        <w:t>, Washington, D</w:t>
      </w:r>
      <w:r w:rsidR="00D95900">
        <w:t>.</w:t>
      </w:r>
      <w:r w:rsidRPr="00981F23">
        <w:t>C</w:t>
      </w:r>
      <w:r w:rsidR="00D95900">
        <w:t>.</w:t>
      </w:r>
      <w:r w:rsidRPr="00981F23">
        <w:t xml:space="preserve"> 20554.</w:t>
      </w:r>
      <w:r>
        <w:rPr>
          <w:rStyle w:val="FootnoteReference"/>
        </w:rPr>
        <w:footnoteReference w:id="68"/>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8" w:history="1">
        <w:r w:rsidRPr="00CE4FAD">
          <w:rPr>
            <w:rStyle w:val="Hyperlink"/>
          </w:rPr>
          <w:t>ARINQUIRIES@fcc.gov</w:t>
        </w:r>
      </w:hyperlink>
      <w:r w:rsidRPr="224F0C9F">
        <w:rPr>
          <w:rFonts w:eastAsia="MS Mincho"/>
        </w:rPr>
        <w:t>.</w:t>
      </w:r>
    </w:p>
    <w:p w:rsidR="00C2448B" w:rsidRPr="00E76D83" w:rsidP="00F0574F" w14:paraId="7D910E35" w14:textId="1D1601E0">
      <w:pPr>
        <w:pStyle w:val="ParaNum"/>
        <w:widowControl/>
      </w:pPr>
      <w:r w:rsidRPr="224F0C9F">
        <w:t xml:space="preserve">The written statement seeking reduction or cancellation of the proposed forfeiture, if any, must include a detailed factual statement supported by appropriate documentation and affidavits pursuant to sections 1.16 and 1.80(f)(3) of the </w:t>
      </w:r>
      <w:r w:rsidRPr="224F0C9F" w:rsidR="00B94F54">
        <w:t>Commission’s r</w:t>
      </w:r>
      <w:r w:rsidRPr="224F0C9F">
        <w:t>ules.</w:t>
      </w:r>
      <w:r>
        <w:rPr>
          <w:rStyle w:val="FootnoteReference"/>
          <w:sz w:val="22"/>
          <w:szCs w:val="22"/>
        </w:rPr>
        <w:footnoteReference w:id="69"/>
      </w:r>
      <w:r w:rsidRPr="224F0C9F">
        <w:t xml:space="preserve">  The written statement must be mailed to the Office of the Secretary, Federal Communications Commission, 45 </w:t>
      </w:r>
      <w:r w:rsidRPr="224F0C9F" w:rsidR="00534968">
        <w:t xml:space="preserve">L </w:t>
      </w:r>
      <w:r w:rsidRPr="224F0C9F">
        <w:t xml:space="preserve">Street, </w:t>
      </w:r>
      <w:r w:rsidRPr="224F0C9F" w:rsidR="00534968">
        <w:t>NE</w:t>
      </w:r>
      <w:r w:rsidRPr="224F0C9F">
        <w:t>, Washington, D</w:t>
      </w:r>
      <w:r w:rsidR="00D95900">
        <w:t>.</w:t>
      </w:r>
      <w:r w:rsidRPr="224F0C9F">
        <w:t>C</w:t>
      </w:r>
      <w:r w:rsidR="00D95900">
        <w:t>.</w:t>
      </w:r>
      <w:r w:rsidRPr="224F0C9F">
        <w:t xml:space="preserve"> 20554, ATTN:  Enforcement Bureau – Investigations </w:t>
      </w:r>
      <w:r w:rsidRPr="224F0C9F" w:rsidR="00534968">
        <w:t>and</w:t>
      </w:r>
      <w:r w:rsidRPr="224F0C9F">
        <w:t xml:space="preserve"> Hearings Division, and must include the NAL/Account Number referenced in the caption.  The statement must also be e-mailed to </w:t>
      </w:r>
      <w:r w:rsidRPr="224F0C9F" w:rsidR="006B573C">
        <w:t xml:space="preserve">Jeffrey Gee at </w:t>
      </w:r>
      <w:r w:rsidRPr="00232FF0" w:rsidR="006B573C">
        <w:rPr>
          <w:rStyle w:val="Hyperlink"/>
        </w:rPr>
        <w:t>Jeffrey.Gee@fcc.gov</w:t>
      </w:r>
      <w:r w:rsidRPr="224F0C9F" w:rsidR="006B573C">
        <w:t xml:space="preserve">, Christopher Sova at </w:t>
      </w:r>
      <w:r w:rsidRPr="00232FF0" w:rsidR="006B573C">
        <w:rPr>
          <w:rStyle w:val="Hyperlink"/>
        </w:rPr>
        <w:t>Christopher.Sova@fcc.gov</w:t>
      </w:r>
      <w:r w:rsidRPr="224F0C9F" w:rsidR="006B573C">
        <w:t xml:space="preserve">, </w:t>
      </w:r>
      <w:r w:rsidRPr="224F0C9F" w:rsidR="000B156E">
        <w:t>Frederick Giroux</w:t>
      </w:r>
      <w:r w:rsidRPr="224F0C9F" w:rsidR="006B573C">
        <w:t xml:space="preserve"> at </w:t>
      </w:r>
      <w:r w:rsidRPr="00232FF0" w:rsidR="000B156E">
        <w:rPr>
          <w:rStyle w:val="Hyperlink"/>
        </w:rPr>
        <w:t>Frederick</w:t>
      </w:r>
      <w:r w:rsidRPr="00232FF0" w:rsidR="006B573C">
        <w:rPr>
          <w:rStyle w:val="Hyperlink"/>
        </w:rPr>
        <w:t>.</w:t>
      </w:r>
      <w:r w:rsidRPr="00232FF0" w:rsidR="000B156E">
        <w:rPr>
          <w:rStyle w:val="Hyperlink"/>
        </w:rPr>
        <w:t>Giroux</w:t>
      </w:r>
      <w:r w:rsidRPr="00232FF0" w:rsidR="006B573C">
        <w:rPr>
          <w:rStyle w:val="Hyperlink"/>
        </w:rPr>
        <w:t>@fcc.gov</w:t>
      </w:r>
      <w:r w:rsidRPr="224F0C9F" w:rsidR="006B573C">
        <w:t xml:space="preserve">, </w:t>
      </w:r>
      <w:r w:rsidRPr="224F0C9F" w:rsidR="000B156E">
        <w:t xml:space="preserve">and </w:t>
      </w:r>
      <w:r w:rsidRPr="224F0C9F" w:rsidR="006B573C">
        <w:t xml:space="preserve">Jennifer Lewis at </w:t>
      </w:r>
      <w:r w:rsidRPr="00232FF0" w:rsidR="006B573C">
        <w:rPr>
          <w:rStyle w:val="Hyperlink"/>
        </w:rPr>
        <w:t>Jennifer.Lewis@fcc.gov</w:t>
      </w:r>
      <w:r w:rsidRPr="00E76D83">
        <w:rPr>
          <w:szCs w:val="22"/>
        </w:rPr>
        <w:t xml:space="preserve">.  </w:t>
      </w:r>
    </w:p>
    <w:p w:rsidR="000803E2" w:rsidRPr="00495505" w:rsidP="00A8615F" w14:paraId="6FB81F50" w14:textId="7B1186AD">
      <w:pPr>
        <w:pStyle w:val="ParaNum"/>
        <w:widowControl/>
      </w:pPr>
      <w:r w:rsidRPr="00981F23">
        <w:t>The Commission will not consider reducing or canceling a forfeiture in response to a claim of inability to pay unless the petitioner submits</w:t>
      </w:r>
      <w:r>
        <w:t xml:space="preserve"> the following documentation</w:t>
      </w:r>
      <w:r w:rsidRPr="00981F23">
        <w:t xml:space="preserve">:  (1) federal tax returns for the </w:t>
      </w:r>
      <w:r>
        <w:t>past three years</w:t>
      </w:r>
      <w:r w:rsidRPr="00981F23">
        <w:t xml:space="preserve">; (2) financial statements </w:t>
      </w:r>
      <w:r>
        <w:t xml:space="preserve">for the past three years </w:t>
      </w:r>
      <w:r w:rsidRPr="00981F23">
        <w:t>prepared according to generally accepted accounting practices; or (3)</w:t>
      </w:r>
      <w:r>
        <w:t> </w:t>
      </w:r>
      <w:r w:rsidRPr="00981F23">
        <w:t xml:space="preserve">some other reliable and objective documentation that accurately reflects the petitioner’s current </w:t>
      </w:r>
      <w:r w:rsidRPr="00976E87">
        <w:t>financial status.</w:t>
      </w:r>
      <w:r>
        <w:rPr>
          <w:rStyle w:val="FootnoteReference"/>
        </w:rPr>
        <w:footnoteReference w:id="70"/>
      </w:r>
      <w:r w:rsidRPr="00976E87">
        <w:t xml:space="preserve">  Any claim of </w:t>
      </w:r>
      <w:r w:rsidRPr="224F0C9F">
        <w:t>inability to pay must specifically identify the basis for the claim by reference to the financial documentation.</w:t>
      </w:r>
      <w:r w:rsidRPr="00677F94">
        <w:rPr>
          <w:szCs w:val="22"/>
        </w:rPr>
        <w:t xml:space="preserve"> </w:t>
      </w:r>
    </w:p>
    <w:p w:rsidR="0042735F" w:rsidRPr="00E76D83" w:rsidP="003E711C" w14:paraId="38B4AF15" w14:textId="31A1459F">
      <w:pPr>
        <w:pStyle w:val="ParaNum"/>
      </w:pPr>
      <w:r w:rsidRPr="224F0C9F">
        <w:rPr>
          <w:b/>
          <w:bCs/>
        </w:rPr>
        <w:t xml:space="preserve">IT IS FURTHER ORDERED </w:t>
      </w:r>
      <w:r w:rsidR="0087512E">
        <w:t xml:space="preserve">that a copy of this Notice of Apparent Liability for Forfeiture shall be sent by first class mail and certified mail, return receipt requested, to </w:t>
      </w:r>
      <w:r w:rsidR="0011167E">
        <w:t>Ms. Caroline Beasley</w:t>
      </w:r>
      <w:r w:rsidR="005B354C">
        <w:t>,</w:t>
      </w:r>
      <w:r w:rsidR="0011167E">
        <w:t xml:space="preserve"> </w:t>
      </w:r>
      <w:r w:rsidR="002E7537">
        <w:t>Chief Executive Officer</w:t>
      </w:r>
      <w:r w:rsidR="0011167E">
        <w:t>,</w:t>
      </w:r>
      <w:r w:rsidR="002E7537">
        <w:t xml:space="preserve"> </w:t>
      </w:r>
      <w:r w:rsidR="0011167E">
        <w:t>Beasley Media Group Licenses, LLC, 3033 Riv</w:t>
      </w:r>
      <w:r w:rsidR="00E565E0">
        <w:t>i</w:t>
      </w:r>
      <w:r w:rsidR="0011167E">
        <w:t>era Drive, Suite 200, Naples, Florida 34103</w:t>
      </w:r>
      <w:r w:rsidR="00E565E0">
        <w:t>,</w:t>
      </w:r>
      <w:r w:rsidR="00643FC5">
        <w:t xml:space="preserve"> and to </w:t>
      </w:r>
      <w:r w:rsidR="0011167E">
        <w:t>Beasley’s a</w:t>
      </w:r>
      <w:r w:rsidR="005B354C">
        <w:t>ttorneys</w:t>
      </w:r>
      <w:r w:rsidR="00643FC5">
        <w:t xml:space="preserve">, </w:t>
      </w:r>
      <w:r w:rsidR="0011167E">
        <w:t>Sally A. Buckman, Esq</w:t>
      </w:r>
      <w:r w:rsidR="005B354C">
        <w:t xml:space="preserve">. and </w:t>
      </w:r>
      <w:r w:rsidR="0011167E">
        <w:t>F. Scott Pippin</w:t>
      </w:r>
      <w:r w:rsidR="005B354C">
        <w:t xml:space="preserve">, Esq., </w:t>
      </w:r>
      <w:r w:rsidR="0011167E">
        <w:t>Lerman</w:t>
      </w:r>
      <w:r w:rsidR="0011167E">
        <w:t xml:space="preserve"> </w:t>
      </w:r>
      <w:r w:rsidR="0011167E">
        <w:t>Senter</w:t>
      </w:r>
      <w:r w:rsidR="0011167E">
        <w:t xml:space="preserve"> PLLC, 2001 L Street, NW, Suite 400, W</w:t>
      </w:r>
      <w:r w:rsidR="005B354C">
        <w:t>ashington, D</w:t>
      </w:r>
      <w:r w:rsidR="00D95900">
        <w:t>.</w:t>
      </w:r>
      <w:r w:rsidR="005B354C">
        <w:t>C</w:t>
      </w:r>
      <w:r w:rsidR="00D95900">
        <w:t>.</w:t>
      </w:r>
      <w:r w:rsidR="005B354C">
        <w:t xml:space="preserve"> 20</w:t>
      </w:r>
      <w:r w:rsidR="0011167E">
        <w:t>036</w:t>
      </w:r>
      <w:r w:rsidR="005B354C">
        <w:t xml:space="preserve">. </w:t>
      </w:r>
    </w:p>
    <w:p w:rsidR="0042735F" w:rsidRPr="00E76D83" w:rsidP="0042735F" w14:paraId="06AD824A" w14:textId="77777777">
      <w:pPr>
        <w:widowControl/>
        <w:tabs>
          <w:tab w:val="left" w:pos="0"/>
        </w:tabs>
        <w:suppressAutoHyphens/>
        <w:spacing w:line="240" w:lineRule="atLeast"/>
        <w:rPr>
          <w:spacing w:val="-2"/>
          <w:szCs w:val="22"/>
        </w:rPr>
      </w:pPr>
    </w:p>
    <w:p w:rsidR="0042735F" w:rsidRPr="00E76D83" w:rsidP="0042735F" w14:paraId="496BF333" w14:textId="3C2C76A3">
      <w:pPr>
        <w:widowControl/>
        <w:tabs>
          <w:tab w:val="left" w:pos="0"/>
        </w:tabs>
        <w:suppressAutoHyphens/>
        <w:spacing w:line="240" w:lineRule="atLeast"/>
        <w:rPr>
          <w:spacing w:val="-2"/>
          <w:szCs w:val="22"/>
        </w:rPr>
      </w:pP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sidR="00DA6E03">
        <w:rPr>
          <w:spacing w:val="-2"/>
          <w:szCs w:val="22"/>
        </w:rPr>
        <w:tab/>
      </w:r>
      <w:r w:rsidRPr="00E76D83">
        <w:rPr>
          <w:spacing w:val="-2"/>
          <w:szCs w:val="22"/>
        </w:rPr>
        <w:t>FEDERAL COMMUNICATIONS COMMISSION</w:t>
      </w:r>
    </w:p>
    <w:p w:rsidR="0042735F" w:rsidRPr="00E76D83" w:rsidP="0042735F" w14:paraId="4D5DCCB5" w14:textId="77777777">
      <w:pPr>
        <w:widowControl/>
        <w:tabs>
          <w:tab w:val="left" w:pos="0"/>
        </w:tabs>
        <w:suppressAutoHyphens/>
        <w:spacing w:line="240" w:lineRule="atLeast"/>
        <w:rPr>
          <w:spacing w:val="-2"/>
          <w:szCs w:val="22"/>
        </w:rPr>
      </w:pPr>
    </w:p>
    <w:p w:rsidR="0042735F" w:rsidRPr="00E76D83" w:rsidP="0042735F" w14:paraId="22832C26" w14:textId="77777777">
      <w:pPr>
        <w:widowControl/>
        <w:tabs>
          <w:tab w:val="left" w:pos="0"/>
        </w:tabs>
        <w:suppressAutoHyphens/>
        <w:spacing w:line="240" w:lineRule="atLeast"/>
        <w:rPr>
          <w:spacing w:val="-2"/>
          <w:szCs w:val="22"/>
        </w:rPr>
      </w:pPr>
    </w:p>
    <w:p w:rsidR="0042735F" w:rsidRPr="00E76D83" w:rsidP="0042735F" w14:paraId="1D4172F7" w14:textId="77777777">
      <w:pPr>
        <w:widowControl/>
        <w:tabs>
          <w:tab w:val="left" w:pos="0"/>
        </w:tabs>
        <w:suppressAutoHyphens/>
        <w:spacing w:line="240" w:lineRule="atLeast"/>
        <w:rPr>
          <w:spacing w:val="-2"/>
          <w:szCs w:val="22"/>
        </w:rPr>
      </w:pPr>
    </w:p>
    <w:p w:rsidR="0042735F" w:rsidRPr="00E76D83" w:rsidP="0042735F" w14:paraId="72E43A4E" w14:textId="77777777">
      <w:pPr>
        <w:widowControl/>
        <w:tabs>
          <w:tab w:val="left" w:pos="0"/>
        </w:tabs>
        <w:suppressAutoHyphens/>
        <w:spacing w:line="240" w:lineRule="atLeast"/>
        <w:rPr>
          <w:spacing w:val="-2"/>
          <w:szCs w:val="22"/>
        </w:rPr>
      </w:pPr>
    </w:p>
    <w:p w:rsidR="0042735F" w:rsidP="0042735F" w14:paraId="389DB49A" w14:textId="68CBD625">
      <w:pPr>
        <w:widowControl/>
        <w:tabs>
          <w:tab w:val="left" w:pos="0"/>
        </w:tabs>
        <w:suppressAutoHyphens/>
        <w:spacing w:line="240" w:lineRule="atLeast"/>
        <w:rPr>
          <w:spacing w:val="-2"/>
          <w:szCs w:val="22"/>
        </w:rPr>
      </w:pP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sidR="00DA6E03">
        <w:rPr>
          <w:spacing w:val="-2"/>
          <w:szCs w:val="22"/>
        </w:rPr>
        <w:tab/>
      </w:r>
      <w:r w:rsidR="009F5994">
        <w:rPr>
          <w:spacing w:val="-2"/>
          <w:szCs w:val="22"/>
        </w:rPr>
        <w:t>Rosemary C. Harold</w:t>
      </w:r>
    </w:p>
    <w:p w:rsidR="009F5994" w:rsidRPr="00E76D83" w:rsidP="0042735F" w14:paraId="2719A669" w14:textId="442AC09D">
      <w:pPr>
        <w:widowControl/>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Chief</w:t>
      </w:r>
    </w:p>
    <w:p w:rsidR="0042735F" w:rsidRPr="00E76D83" w:rsidP="0042735F" w14:paraId="152651F0" w14:textId="6EE3431F">
      <w:pPr>
        <w:widowControl/>
        <w:tabs>
          <w:tab w:val="left" w:pos="0"/>
        </w:tabs>
        <w:suppressAutoHyphens/>
        <w:spacing w:line="240" w:lineRule="atLeast"/>
        <w:rPr>
          <w:spacing w:val="-2"/>
          <w:szCs w:val="22"/>
        </w:rPr>
      </w:pP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Pr>
          <w:spacing w:val="-2"/>
          <w:szCs w:val="22"/>
        </w:rPr>
        <w:tab/>
      </w:r>
      <w:r w:rsidRPr="00E76D83" w:rsidR="00DA6E03">
        <w:rPr>
          <w:spacing w:val="-2"/>
          <w:szCs w:val="22"/>
        </w:rPr>
        <w:tab/>
      </w:r>
      <w:r w:rsidR="009F5994">
        <w:rPr>
          <w:spacing w:val="-2"/>
          <w:szCs w:val="22"/>
        </w:rPr>
        <w:t>Enforcement Bureau</w:t>
      </w:r>
    </w:p>
    <w:p w:rsidR="00412FC5" w:rsidRPr="00E76D83" w:rsidP="003E711C" w14:paraId="7A221D6E" w14:textId="77777777">
      <w:pPr>
        <w:pStyle w:val="Heading1"/>
        <w:numPr>
          <w:ilvl w:val="0"/>
          <w:numId w:val="0"/>
        </w:numPr>
        <w:ind w:left="720"/>
        <w:rPr>
          <w:rFonts w:ascii="Times New Roman" w:hAnsi="Times New Roman"/>
          <w:szCs w:val="22"/>
        </w:rPr>
      </w:pPr>
    </w:p>
    <w:sectPr w:rsidSect="0055614C">
      <w:headerReference w:type="default" r:id="rId9"/>
      <w:footerReference w:type="even" r:id="rId10"/>
      <w:footerReference w:type="default" r:id="rId11"/>
      <w:head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EAB" w:rsidP="0055614C" w14:paraId="078CA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53EAB" w14:paraId="39156D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EAB" w14:paraId="686241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3916" w14:paraId="490F9B46" w14:textId="77777777">
      <w:r>
        <w:separator/>
      </w:r>
    </w:p>
  </w:footnote>
  <w:footnote w:type="continuationSeparator" w:id="1">
    <w:p w:rsidR="00A73916" w:rsidP="00C721AC" w14:paraId="72F4822C" w14:textId="77777777">
      <w:pPr>
        <w:spacing w:before="120"/>
        <w:rPr>
          <w:sz w:val="20"/>
        </w:rPr>
      </w:pPr>
      <w:r>
        <w:rPr>
          <w:sz w:val="20"/>
        </w:rPr>
        <w:t xml:space="preserve">(Continued from previous page)  </w:t>
      </w:r>
      <w:r>
        <w:rPr>
          <w:sz w:val="20"/>
        </w:rPr>
        <w:separator/>
      </w:r>
    </w:p>
  </w:footnote>
  <w:footnote w:type="continuationNotice" w:id="2">
    <w:p w:rsidR="00A73916" w:rsidP="00C721AC" w14:paraId="1D321323" w14:textId="77777777">
      <w:pPr>
        <w:jc w:val="right"/>
        <w:rPr>
          <w:sz w:val="20"/>
        </w:rPr>
      </w:pPr>
      <w:r>
        <w:rPr>
          <w:sz w:val="20"/>
        </w:rPr>
        <w:t>(continued….)</w:t>
      </w:r>
    </w:p>
  </w:footnote>
  <w:footnote w:id="3">
    <w:p w:rsidR="00553EAB" w:rsidRPr="004C3F43" w:rsidP="004C3F43" w14:paraId="68AFF05C" w14:textId="53771902">
      <w:pPr>
        <w:pStyle w:val="FootnoteText"/>
      </w:pPr>
      <w:r w:rsidRPr="004C3F43">
        <w:rPr>
          <w:rStyle w:val="FootnoteReference"/>
        </w:rPr>
        <w:footnoteRef/>
      </w:r>
      <w:r w:rsidRPr="004C3F43">
        <w:t xml:space="preserve"> </w:t>
      </w:r>
      <w:r w:rsidRPr="004C3F43">
        <w:rPr>
          <w:i/>
          <w:iCs/>
        </w:rPr>
        <w:t xml:space="preserve">See </w:t>
      </w:r>
      <w:r w:rsidRPr="004C3F43">
        <w:rPr>
          <w:i/>
        </w:rPr>
        <w:t>CBS Broadcasting Inc. d/b/a CBS Television Network, CBS Television Stations, Inc., CBS Stations Group of Texas LLC, CBS LITV LLC</w:t>
      </w:r>
      <w:r w:rsidRPr="004C3F43">
        <w:t xml:space="preserve">, Notice of Apparent Liability for Forfeiture, 34 FCC </w:t>
      </w:r>
      <w:r w:rsidRPr="004C3F43">
        <w:t>Rcd</w:t>
      </w:r>
      <w:r w:rsidRPr="004C3F43">
        <w:t xml:space="preserve"> 8417, para. 1 (2019) (forfeiture paid) (</w:t>
      </w:r>
      <w:r w:rsidRPr="004C3F43">
        <w:rPr>
          <w:i/>
        </w:rPr>
        <w:t>CBS NAL</w:t>
      </w:r>
      <w:r w:rsidRPr="004C3F43">
        <w:t>)</w:t>
      </w:r>
      <w:r>
        <w:t xml:space="preserve">; </w:t>
      </w:r>
      <w:r w:rsidRPr="004C3F43">
        <w:t xml:space="preserve">FEMA, </w:t>
      </w:r>
      <w:r>
        <w:t>Emergency Alert System,</w:t>
      </w:r>
      <w:r w:rsidRPr="004C3F43">
        <w:t xml:space="preserve"> </w:t>
      </w:r>
      <w:hyperlink r:id="rId1" w:history="1">
        <w:r w:rsidRPr="007D5EC9">
          <w:rPr>
            <w:rStyle w:val="Hyperlink"/>
          </w:rPr>
          <w:t>https://www.fema.gov/emergency-managers/practitioners/integrated-public-alert-warning-system/public/emergency-alert-system</w:t>
        </w:r>
      </w:hyperlink>
      <w:r>
        <w:t xml:space="preserve"> (last visited July 8, 2021).</w:t>
      </w:r>
    </w:p>
  </w:footnote>
  <w:footnote w:id="4">
    <w:p w:rsidR="00553EAB" w:rsidRPr="004C3F43" w:rsidP="004C3F43" w14:paraId="5A63B7D5" w14:textId="0F9EF613">
      <w:pPr>
        <w:pStyle w:val="FootnoteText"/>
        <w:rPr>
          <w:iCs/>
        </w:rPr>
      </w:pPr>
      <w:r w:rsidRPr="004C3F43">
        <w:rPr>
          <w:rStyle w:val="FootnoteReference"/>
        </w:rPr>
        <w:footnoteRef/>
      </w:r>
      <w:r w:rsidRPr="004C3F43">
        <w:t xml:space="preserve"> </w:t>
      </w:r>
      <w:r w:rsidRPr="004C3F43">
        <w:rPr>
          <w:i/>
        </w:rPr>
        <w:t>CBS NAL</w:t>
      </w:r>
      <w:r w:rsidRPr="004C3F43">
        <w:rPr>
          <w:iCs/>
        </w:rPr>
        <w:t xml:space="preserve">, </w:t>
      </w:r>
      <w:r w:rsidRPr="004C3F43">
        <w:t xml:space="preserve">34 FCC </w:t>
      </w:r>
      <w:r w:rsidRPr="004C3F43">
        <w:t>Rcd</w:t>
      </w:r>
      <w:r w:rsidRPr="004C3F43">
        <w:t xml:space="preserve"> </w:t>
      </w:r>
      <w:r w:rsidRPr="004C3F43">
        <w:rPr>
          <w:iCs/>
        </w:rPr>
        <w:t xml:space="preserve">at 8417, para. 1.  </w:t>
      </w:r>
    </w:p>
  </w:footnote>
  <w:footnote w:id="5">
    <w:p w:rsidR="00553EAB" w:rsidRPr="004C3F43" w:rsidP="004C3F43" w14:paraId="5EE8C2B7" w14:textId="3FF22194">
      <w:pPr>
        <w:pStyle w:val="FootnoteText"/>
      </w:pPr>
      <w:r w:rsidRPr="004C3F43">
        <w:rPr>
          <w:rStyle w:val="FootnoteReference"/>
        </w:rPr>
        <w:footnoteRef/>
      </w:r>
      <w:r w:rsidRPr="004C3F43">
        <w:t xml:space="preserve"> </w:t>
      </w:r>
      <w:r w:rsidRPr="004C3F43">
        <w:t xml:space="preserve">A “simulation” of the EAS tones includes not only recordings of actual EAS codes or Attention Signals, </w:t>
      </w:r>
      <w:r w:rsidRPr="004C3F43">
        <w:rPr>
          <w:i/>
        </w:rPr>
        <w:t>see</w:t>
      </w:r>
      <w:r w:rsidRPr="004C3F43">
        <w:t xml:space="preserve"> 47 CFR § 11.31, but also sounds that mimic or are substantially similar to them, such that an average listener could reasonably mistake the sounds for an actual EAS code or Attention Signal.  </w:t>
      </w:r>
      <w:r w:rsidRPr="004C3F43">
        <w:rPr>
          <w:i/>
        </w:rPr>
        <w:t xml:space="preserve">Emergency Alert System: False, Fraudulent or Unauthorized Use of the Emergency Alert System Attention Signal and Codes is Strictly Prohibited, </w:t>
      </w:r>
      <w:r w:rsidRPr="004C3F43">
        <w:t xml:space="preserve">Public Notice, 28 FCC </w:t>
      </w:r>
      <w:r w:rsidRPr="004C3F43">
        <w:t>Rcd</w:t>
      </w:r>
      <w:r w:rsidRPr="004C3F43">
        <w:t xml:space="preserve"> 15438, 15440 (EB 2013) (</w:t>
      </w:r>
      <w:r w:rsidRPr="004C3F43">
        <w:rPr>
          <w:i/>
          <w:iCs/>
        </w:rPr>
        <w:t xml:space="preserve">2013 </w:t>
      </w:r>
      <w:r w:rsidRPr="004C3F43">
        <w:rPr>
          <w:i/>
        </w:rPr>
        <w:t>EAS Enforcement Advisory</w:t>
      </w:r>
      <w:r w:rsidRPr="004C3F43">
        <w:t xml:space="preserve">).  By contrast, general alarms or other loud noises, including bells and police or fire sirens, are not considered “simulations” of the EAS tones and are not prohibited under section 11.45 of the Commission’s rules.  </w:t>
      </w:r>
      <w:r w:rsidRPr="004C3F43">
        <w:rPr>
          <w:i/>
        </w:rPr>
        <w:t>Id.</w:t>
      </w:r>
      <w:r w:rsidRPr="004C3F43">
        <w:t xml:space="preserve">  </w:t>
      </w:r>
    </w:p>
  </w:footnote>
  <w:footnote w:id="6">
    <w:p w:rsidR="00553EAB" w:rsidRPr="004C3F43" w:rsidP="004C3F43" w14:paraId="07F60B6B" w14:textId="46FEF7DE">
      <w:pPr>
        <w:pStyle w:val="FootnoteText"/>
      </w:pPr>
      <w:r w:rsidRPr="004C3F43">
        <w:rPr>
          <w:rStyle w:val="FootnoteReference"/>
        </w:rPr>
        <w:footnoteRef/>
      </w:r>
      <w:r w:rsidRPr="004C3F43">
        <w:t xml:space="preserve"> </w:t>
      </w:r>
      <w:r w:rsidRPr="004C3F43">
        <w:t xml:space="preserve">Permitted uses of the EAS are limited to alerts of actual emergencies, authorized tests of the EAS, or qualified PSAs (collectively Permitted Uses).  </w:t>
      </w:r>
      <w:r w:rsidRPr="004C3F43">
        <w:rPr>
          <w:i/>
          <w:iCs/>
        </w:rPr>
        <w:t>See</w:t>
      </w:r>
      <w:r w:rsidRPr="004C3F43">
        <w:t> </w:t>
      </w:r>
      <w:r w:rsidRPr="00FA254A">
        <w:t>47 CFR § 11.45</w:t>
      </w:r>
      <w:r w:rsidRPr="004C3F43">
        <w:rPr>
          <w:rStyle w:val="Hyperlink"/>
          <w:color w:val="auto"/>
          <w:u w:val="none"/>
        </w:rPr>
        <w:t>(a)</w:t>
      </w:r>
      <w:r w:rsidRPr="004C3F43">
        <w:t>.</w:t>
      </w:r>
    </w:p>
  </w:footnote>
  <w:footnote w:id="7">
    <w:p w:rsidR="00553EAB" w:rsidRPr="004C3F43" w:rsidP="004C3F43" w14:paraId="42041986" w14:textId="15CF0F2E">
      <w:pPr>
        <w:pStyle w:val="FootnoteText"/>
      </w:pPr>
      <w:r w:rsidRPr="004C3F43">
        <w:rPr>
          <w:rStyle w:val="FootnoteReference"/>
        </w:rPr>
        <w:footnoteRef/>
      </w:r>
      <w:r w:rsidRPr="004C3F43">
        <w:t xml:space="preserve"> </w:t>
      </w:r>
      <w:r w:rsidRPr="004C3F43">
        <w:rPr>
          <w:i/>
        </w:rPr>
        <w:t>See, e.g.,</w:t>
      </w:r>
      <w:r w:rsidRPr="004C3F43">
        <w:t xml:space="preserve"> </w:t>
      </w:r>
      <w:r w:rsidRPr="004C3F43">
        <w:rPr>
          <w:i/>
          <w:iCs/>
        </w:rPr>
        <w:t>CBS NAL</w:t>
      </w:r>
      <w:r w:rsidRPr="004C3F43">
        <w:t xml:space="preserve">, 34 FCC </w:t>
      </w:r>
      <w:r w:rsidRPr="004C3F43">
        <w:t>Rcd</w:t>
      </w:r>
      <w:r w:rsidRPr="004C3F43">
        <w:t xml:space="preserve"> at 8418, para. 2; </w:t>
      </w:r>
      <w:r w:rsidRPr="004C3F43">
        <w:rPr>
          <w:i/>
        </w:rPr>
        <w:t>Amendment of Part 11 of the Commission’s Rules Regarding the Emergency Alert System, Wireless Emergency Alerts</w:t>
      </w:r>
      <w:r w:rsidRPr="004C3F43">
        <w:t xml:space="preserve">, PS Docket Nos. 15-94, 15-91, Report and Order and Further Notice of Proposed Rulemaking, 33 FCC </w:t>
      </w:r>
      <w:r w:rsidRPr="004C3F43">
        <w:t>Rcd</w:t>
      </w:r>
      <w:r w:rsidRPr="004C3F43">
        <w:t xml:space="preserve"> 7086, 7091, para. 9 (2018)</w:t>
      </w:r>
      <w:r>
        <w:t xml:space="preserve"> (</w:t>
      </w:r>
      <w:r w:rsidRPr="00FA254A">
        <w:rPr>
          <w:i/>
          <w:iCs/>
        </w:rPr>
        <w:t xml:space="preserve">2018 </w:t>
      </w:r>
      <w:r>
        <w:rPr>
          <w:i/>
          <w:iCs/>
        </w:rPr>
        <w:t>EAS/</w:t>
      </w:r>
      <w:r w:rsidRPr="00FA254A">
        <w:rPr>
          <w:i/>
          <w:iCs/>
        </w:rPr>
        <w:t>WEA Report and Order</w:t>
      </w:r>
      <w:r>
        <w:t>)</w:t>
      </w:r>
      <w:r w:rsidRPr="004C3F43">
        <w:t xml:space="preserve">; </w:t>
      </w:r>
      <w:r w:rsidRPr="004C3F43">
        <w:rPr>
          <w:i/>
          <w:iCs/>
        </w:rPr>
        <w:t xml:space="preserve">2013 </w:t>
      </w:r>
      <w:r w:rsidRPr="004C3F43">
        <w:rPr>
          <w:i/>
        </w:rPr>
        <w:t>EAS Enforcement Advisory</w:t>
      </w:r>
      <w:r w:rsidRPr="004C3F43">
        <w:t>,</w:t>
      </w:r>
      <w:r w:rsidRPr="004C3F43">
        <w:rPr>
          <w:i/>
        </w:rPr>
        <w:t xml:space="preserve"> </w:t>
      </w:r>
      <w:r w:rsidRPr="004C3F43">
        <w:t xml:space="preserve">28 FCC </w:t>
      </w:r>
      <w:r w:rsidRPr="004C3F43">
        <w:t>Rcd</w:t>
      </w:r>
      <w:r w:rsidRPr="004C3F43">
        <w:t xml:space="preserve"> at 15438.</w:t>
      </w:r>
    </w:p>
  </w:footnote>
  <w:footnote w:id="8">
    <w:p w:rsidR="00553EAB" w:rsidRPr="004C3F43" w:rsidP="001879BE" w14:paraId="6C4C9B74" w14:textId="1146A514">
      <w:pPr>
        <w:pStyle w:val="FootnoteText"/>
        <w:rPr>
          <w:iCs/>
        </w:rPr>
      </w:pPr>
      <w:r w:rsidRPr="004C3F43">
        <w:rPr>
          <w:rStyle w:val="FootnoteReference"/>
        </w:rPr>
        <w:footnoteRef/>
      </w:r>
      <w:r w:rsidRPr="004C3F43">
        <w:t xml:space="preserve"> </w:t>
      </w:r>
      <w:r w:rsidRPr="004C3F43">
        <w:rPr>
          <w:i/>
        </w:rPr>
        <w:t xml:space="preserve">See </w:t>
      </w:r>
      <w:r w:rsidRPr="004C3F43">
        <w:t>47 CFR § 11.31(a).  The EAS uses a four-part message for an emergency activation</w:t>
      </w:r>
      <w:r>
        <w:t xml:space="preserve">, consisting of:  </w:t>
      </w:r>
      <w:r w:rsidRPr="004C3F43">
        <w:t xml:space="preserve">Preamble and EAS Header Codes; audio Attention Signal; message; and Preamble and EAS End of Message (EOM) Codes.  </w:t>
      </w:r>
      <w:r w:rsidRPr="004C3F43">
        <w:rPr>
          <w:i/>
        </w:rPr>
        <w:t xml:space="preserve">Id.  </w:t>
      </w:r>
      <w:r w:rsidRPr="004C3F43">
        <w:t xml:space="preserve">The sounds of an EAS message serve the dual purposes of </w:t>
      </w:r>
      <w:r>
        <w:t xml:space="preserve">capturing a </w:t>
      </w:r>
      <w:r w:rsidRPr="004C3F43">
        <w:t>listener’s or viewer’s attention and conveying specially coded information for equipment that is activated by the EAS message as part of an actual emergency or authorized test</w:t>
      </w:r>
      <w:r>
        <w:t>.</w:t>
      </w:r>
      <w:r>
        <w:rPr>
          <w:i/>
          <w:iCs/>
        </w:rPr>
        <w:t xml:space="preserve">  See Viacom, Inc., NBC Universal Media, LLC, ESPN Inc., </w:t>
      </w:r>
      <w:r>
        <w:t xml:space="preserve">Notice of Apparent Liability for Forfeiture, 29 FCC </w:t>
      </w:r>
      <w:r>
        <w:t>Rcd</w:t>
      </w:r>
      <w:r>
        <w:t xml:space="preserve"> 2548, 2548, para. 1. (</w:t>
      </w:r>
      <w:r>
        <w:rPr>
          <w:i/>
          <w:iCs/>
        </w:rPr>
        <w:t xml:space="preserve">Viacom </w:t>
      </w:r>
      <w:r w:rsidRPr="0080351E">
        <w:rPr>
          <w:i/>
          <w:iCs/>
        </w:rPr>
        <w:t>N</w:t>
      </w:r>
      <w:r>
        <w:rPr>
          <w:i/>
          <w:iCs/>
        </w:rPr>
        <w:t>AL</w:t>
      </w:r>
      <w:r>
        <w:t xml:space="preserve">), </w:t>
      </w:r>
      <w:r w:rsidRPr="009666C4">
        <w:rPr>
          <w:i/>
          <w:iCs/>
        </w:rPr>
        <w:t>aff’d</w:t>
      </w:r>
      <w:r>
        <w:t xml:space="preserve">, </w:t>
      </w:r>
      <w:r w:rsidRPr="001879BE">
        <w:rPr>
          <w:i/>
        </w:rPr>
        <w:t>Viacom, Inc., ESPN, Inc</w:t>
      </w:r>
      <w:r w:rsidRPr="001879BE">
        <w:rPr>
          <w:iCs/>
        </w:rPr>
        <w:t xml:space="preserve">., Forfeiture Order, 30 FCC </w:t>
      </w:r>
      <w:r w:rsidRPr="001879BE">
        <w:rPr>
          <w:iCs/>
        </w:rPr>
        <w:t>Rcd</w:t>
      </w:r>
      <w:r w:rsidRPr="001879BE">
        <w:rPr>
          <w:iCs/>
        </w:rPr>
        <w:t xml:space="preserve"> 797 (2015) (forfeiture paid)</w:t>
      </w:r>
      <w:r>
        <w:rPr>
          <w:iCs/>
        </w:rPr>
        <w:t xml:space="preserve"> (</w:t>
      </w:r>
      <w:r>
        <w:rPr>
          <w:i/>
        </w:rPr>
        <w:t>Viacom FO</w:t>
      </w:r>
      <w:r>
        <w:rPr>
          <w:iCs/>
        </w:rPr>
        <w:t>).</w:t>
      </w:r>
      <w:r w:rsidRPr="001879BE">
        <w:t xml:space="preserve">  </w:t>
      </w:r>
      <w:r>
        <w:t>T</w:t>
      </w:r>
      <w:r w:rsidRPr="001879BE">
        <w:t xml:space="preserve">he EAS codes consist of audible sounds in which encoded information regarding the specific alert is embedded. </w:t>
      </w:r>
      <w:r>
        <w:t xml:space="preserve"> </w:t>
      </w:r>
      <w:r w:rsidRPr="001879BE">
        <w:rPr>
          <w:i/>
          <w:iCs/>
        </w:rPr>
        <w:t>See Viacom N</w:t>
      </w:r>
      <w:r>
        <w:rPr>
          <w:i/>
          <w:iCs/>
        </w:rPr>
        <w:t>AL</w:t>
      </w:r>
      <w:r w:rsidRPr="001879BE">
        <w:t xml:space="preserve"> at 2548</w:t>
      </w:r>
      <w:r>
        <w:t xml:space="preserve">, </w:t>
      </w:r>
      <w:r w:rsidRPr="001879BE">
        <w:t>para 1</w:t>
      </w:r>
      <w:r w:rsidRPr="001879BE">
        <w:rPr>
          <w:i/>
          <w:iCs/>
        </w:rPr>
        <w:t>.</w:t>
      </w:r>
      <w:r>
        <w:t xml:space="preserve">  </w:t>
      </w:r>
      <w:r w:rsidRPr="004C3F43">
        <w:t xml:space="preserve">The separate EAS Attention Signal that follows the EAS codes </w:t>
      </w:r>
      <w:r>
        <w:t xml:space="preserve">includes </w:t>
      </w:r>
      <w:r w:rsidRPr="004C3F43">
        <w:t xml:space="preserve">two tones that are transmitted simultaneously.  </w:t>
      </w:r>
      <w:r w:rsidRPr="004C3F43">
        <w:rPr>
          <w:i/>
        </w:rPr>
        <w:t>Id</w:t>
      </w:r>
      <w:r>
        <w:rPr>
          <w:i/>
        </w:rPr>
        <w:t>.</w:t>
      </w:r>
    </w:p>
  </w:footnote>
  <w:footnote w:id="9">
    <w:p w:rsidR="00553EAB" w:rsidRPr="004C3F43" w:rsidP="004C3F43" w14:paraId="26D4CFAF" w14:textId="120132EF">
      <w:pPr>
        <w:pStyle w:val="FootnoteText"/>
      </w:pPr>
      <w:r w:rsidRPr="004C3F43">
        <w:rPr>
          <w:rStyle w:val="FootnoteReference"/>
        </w:rPr>
        <w:footnoteRef/>
      </w:r>
      <w:r w:rsidRPr="004C3F43">
        <w:t xml:space="preserve"> </w:t>
      </w:r>
      <w:r w:rsidRPr="004C3F43">
        <w:rPr>
          <w:i/>
        </w:rPr>
        <w:t xml:space="preserve">See </w:t>
      </w:r>
      <w:r w:rsidRPr="004C3F43">
        <w:t>47 CFR § 11.45(a).</w:t>
      </w:r>
    </w:p>
  </w:footnote>
  <w:footnote w:id="10">
    <w:p w:rsidR="00EA7E2C" w14:paraId="088C9431" w14:textId="20F007B7">
      <w:pPr>
        <w:pStyle w:val="FootnoteText"/>
      </w:pPr>
      <w:r>
        <w:rPr>
          <w:rStyle w:val="FootnoteReference"/>
        </w:rPr>
        <w:footnoteRef/>
      </w:r>
      <w:r>
        <w:t xml:space="preserve"> </w:t>
      </w:r>
      <w:r w:rsidR="00916973">
        <w:t xml:space="preserve">The EAS Tones were also transmitted on </w:t>
      </w:r>
      <w:r w:rsidR="00705FC0">
        <w:t>KKLZ-HD2</w:t>
      </w:r>
      <w:r w:rsidR="00BF2CE8">
        <w:t>, which simulcasts KDWN,</w:t>
      </w:r>
      <w:r w:rsidR="00155741">
        <w:t xml:space="preserve"> </w:t>
      </w:r>
      <w:r w:rsidR="00705FC0">
        <w:t xml:space="preserve">and on </w:t>
      </w:r>
      <w:r>
        <w:t xml:space="preserve">FM fill-in translator station </w:t>
      </w:r>
      <w:r w:rsidRPr="006B7408">
        <w:t>K268C</w:t>
      </w:r>
      <w:r>
        <w:t>S</w:t>
      </w:r>
      <w:r w:rsidR="00916973">
        <w:rPr>
          <w:szCs w:val="22"/>
        </w:rPr>
        <w:t xml:space="preserve">, </w:t>
      </w:r>
      <w:r w:rsidR="00BF2CE8">
        <w:rPr>
          <w:szCs w:val="22"/>
        </w:rPr>
        <w:t xml:space="preserve">which retransmits KKLZ-HD2, </w:t>
      </w:r>
      <w:r w:rsidR="00155741">
        <w:rPr>
          <w:szCs w:val="22"/>
        </w:rPr>
        <w:t xml:space="preserve">both in Las Vegas and </w:t>
      </w:r>
      <w:r w:rsidR="00916973">
        <w:rPr>
          <w:szCs w:val="22"/>
        </w:rPr>
        <w:t>licensed to Beasley</w:t>
      </w:r>
      <w:r w:rsidR="00705FC0">
        <w:rPr>
          <w:szCs w:val="22"/>
        </w:rPr>
        <w:t>.</w:t>
      </w:r>
      <w:bookmarkStart w:id="5" w:name="_Hlk88554530"/>
      <w:r w:rsidR="00836180">
        <w:rPr>
          <w:szCs w:val="22"/>
        </w:rPr>
        <w:t xml:space="preserve">  </w:t>
      </w:r>
      <w:bookmarkEnd w:id="5"/>
      <w:r w:rsidRPr="00A8615F" w:rsidR="00684EC2">
        <w:rPr>
          <w:i/>
          <w:iCs/>
          <w:szCs w:val="22"/>
        </w:rPr>
        <w:t>See</w:t>
      </w:r>
      <w:r w:rsidR="00684EC2">
        <w:t xml:space="preserve"> </w:t>
      </w:r>
      <w:r w:rsidRPr="004C3F43" w:rsidR="00916973">
        <w:t xml:space="preserve">Response to Letter of Inquiry from Sally A. Buckman and F. Scott Pippin, </w:t>
      </w:r>
      <w:r w:rsidRPr="004C3F43" w:rsidR="00916973">
        <w:t>Lerman</w:t>
      </w:r>
      <w:r w:rsidRPr="004C3F43" w:rsidR="00916973">
        <w:t xml:space="preserve"> </w:t>
      </w:r>
      <w:r w:rsidRPr="004C3F43" w:rsidR="00916973">
        <w:t>Senter</w:t>
      </w:r>
      <w:r w:rsidRPr="004C3F43" w:rsidR="00916973">
        <w:t xml:space="preserve"> PLLC, Counsel to Beasley Media Group Licenses, LLC, to Marlene H. Dortch, Secretary, Federal Communications Commission </w:t>
      </w:r>
      <w:r w:rsidRPr="00804C96" w:rsidR="00916973">
        <w:t>at 2</w:t>
      </w:r>
      <w:r w:rsidRPr="004C3F43" w:rsidR="00916973">
        <w:t xml:space="preserve"> (Feb. 4, 2021) (on file in EB-IHD-20-00031587) (LOI Response)</w:t>
      </w:r>
      <w:r w:rsidR="00684EC2">
        <w:t xml:space="preserve">; </w:t>
      </w:r>
      <w:r w:rsidRPr="00A8615F" w:rsidR="00684EC2">
        <w:rPr>
          <w:i/>
          <w:iCs/>
        </w:rPr>
        <w:t>see also</w:t>
      </w:r>
      <w:r w:rsidR="00684EC2">
        <w:t xml:space="preserve"> </w:t>
      </w:r>
      <w:r w:rsidRPr="004C3F43" w:rsidR="00684EC2">
        <w:t xml:space="preserve">Response to Letter of Inquiry from Sally A. Buckman and F. Scott Pippin, </w:t>
      </w:r>
      <w:r w:rsidRPr="004C3F43" w:rsidR="00684EC2">
        <w:t>Lerman</w:t>
      </w:r>
      <w:r w:rsidRPr="004C3F43" w:rsidR="00684EC2">
        <w:t xml:space="preserve"> </w:t>
      </w:r>
      <w:r w:rsidRPr="004C3F43" w:rsidR="00684EC2">
        <w:t>Senter</w:t>
      </w:r>
      <w:r w:rsidRPr="004C3F43" w:rsidR="00684EC2">
        <w:t xml:space="preserve"> PLLC, Counsel to Beasley Media Group Licenses, LLC, to Marlene H. Dortch, Secretary, Federal Communications Commission </w:t>
      </w:r>
      <w:r w:rsidRPr="00804C96" w:rsidR="00684EC2">
        <w:t>at 2</w:t>
      </w:r>
      <w:r w:rsidRPr="004C3F43" w:rsidR="00684EC2">
        <w:t xml:space="preserve"> (</w:t>
      </w:r>
      <w:r w:rsidR="00684EC2">
        <w:t>Nov</w:t>
      </w:r>
      <w:r w:rsidRPr="004C3F43" w:rsidR="00684EC2">
        <w:t xml:space="preserve">. </w:t>
      </w:r>
      <w:r w:rsidR="00684EC2">
        <w:t>12</w:t>
      </w:r>
      <w:r w:rsidRPr="004C3F43" w:rsidR="00684EC2">
        <w:t>, 2021) (on file in EB-IHD-20-00031587</w:t>
      </w:r>
      <w:r w:rsidR="00684EC2">
        <w:t xml:space="preserve">, correcting </w:t>
      </w:r>
      <w:r w:rsidR="00BF2CE8">
        <w:t xml:space="preserve">Beasley’s incorrect statement made in its </w:t>
      </w:r>
      <w:r w:rsidR="00684EC2">
        <w:t>LOI Response</w:t>
      </w:r>
      <w:r w:rsidR="00BF2CE8">
        <w:t xml:space="preserve"> that the EAS Tones were only transmitted on KDWN and K268CS</w:t>
      </w:r>
      <w:r w:rsidRPr="004C3F43" w:rsidR="00684EC2">
        <w:t>) (LOI Response</w:t>
      </w:r>
      <w:r w:rsidR="00684EC2">
        <w:t xml:space="preserve"> Supplement</w:t>
      </w:r>
      <w:r w:rsidRPr="004C3F43" w:rsidR="00684EC2">
        <w:t>)</w:t>
      </w:r>
      <w:r w:rsidR="00916973">
        <w:rPr>
          <w:szCs w:val="22"/>
        </w:rPr>
        <w:t>.</w:t>
      </w:r>
    </w:p>
  </w:footnote>
  <w:footnote w:id="11">
    <w:p w:rsidR="00553EAB" w:rsidRPr="004C3F43" w:rsidP="004C3F43" w14:paraId="165AD47B" w14:textId="103944AD">
      <w:pPr>
        <w:pStyle w:val="FootnoteText"/>
      </w:pPr>
      <w:r w:rsidRPr="004C3F43">
        <w:rPr>
          <w:rStyle w:val="FootnoteReference"/>
        </w:rPr>
        <w:footnoteRef/>
      </w:r>
      <w:r w:rsidRPr="004C3F43">
        <w:t xml:space="preserve"> </w:t>
      </w:r>
      <w:r w:rsidRPr="004C3F43">
        <w:rPr>
          <w:i/>
        </w:rPr>
        <w:t xml:space="preserve">See </w:t>
      </w:r>
      <w:r w:rsidR="00916973">
        <w:rPr>
          <w:iCs/>
        </w:rPr>
        <w:t>LOI Response at 2-3</w:t>
      </w:r>
      <w:r w:rsidR="009E37DC">
        <w:rPr>
          <w:iCs/>
        </w:rPr>
        <w:t>; LOI Response Supplement at 2</w:t>
      </w:r>
      <w:r w:rsidR="00916973">
        <w:rPr>
          <w:iCs/>
        </w:rPr>
        <w:t>.</w:t>
      </w:r>
    </w:p>
  </w:footnote>
  <w:footnote w:id="12">
    <w:p w:rsidR="00553EAB" w:rsidRPr="004C3F43" w:rsidP="004C3F43" w14:paraId="2263ABE4" w14:textId="6ECD67CA">
      <w:pPr>
        <w:pStyle w:val="FootnoteText"/>
      </w:pPr>
      <w:r w:rsidRPr="004C3F43">
        <w:rPr>
          <w:rStyle w:val="FootnoteReference"/>
        </w:rPr>
        <w:footnoteRef/>
      </w:r>
      <w:r w:rsidRPr="004C3F43">
        <w:t xml:space="preserve"> </w:t>
      </w:r>
      <w:r w:rsidRPr="004C3F43">
        <w:rPr>
          <w:i/>
        </w:rPr>
        <w:t>See generally</w:t>
      </w:r>
      <w:r w:rsidRPr="004C3F43">
        <w:rPr>
          <w:i/>
          <w:iCs/>
        </w:rPr>
        <w:t xml:space="preserve"> False, Fraudulent, or Unauthorized Use of the Emergency Alert System or Wireless Emergency Alert Codes or Attention Signals is Strictly Prohibited</w:t>
      </w:r>
      <w:r w:rsidRPr="004C3F43">
        <w:rPr>
          <w:i/>
        </w:rPr>
        <w:t xml:space="preserve">, </w:t>
      </w:r>
      <w:r w:rsidRPr="004C3F43">
        <w:rPr>
          <w:iCs/>
        </w:rPr>
        <w:t>Public Notice</w:t>
      </w:r>
      <w:r w:rsidRPr="004C3F43">
        <w:rPr>
          <w:i/>
        </w:rPr>
        <w:t xml:space="preserve">, </w:t>
      </w:r>
      <w:r w:rsidRPr="004C3F43">
        <w:rPr>
          <w:iCs/>
        </w:rPr>
        <w:t xml:space="preserve">34 FCC </w:t>
      </w:r>
      <w:r w:rsidRPr="004C3F43">
        <w:rPr>
          <w:iCs/>
        </w:rPr>
        <w:t>Rcd</w:t>
      </w:r>
      <w:r w:rsidRPr="004C3F43">
        <w:rPr>
          <w:iCs/>
        </w:rPr>
        <w:t xml:space="preserve"> 7041 (EB 2019) (Enforcement Advisory promoting understanding of the regulations governing the appropriate use of EAS Tones)</w:t>
      </w:r>
      <w:r w:rsidRPr="004C3F43">
        <w:rPr>
          <w:i/>
        </w:rPr>
        <w:t>; Viacom</w:t>
      </w:r>
      <w:r>
        <w:rPr>
          <w:i/>
        </w:rPr>
        <w:t xml:space="preserve"> FO, </w:t>
      </w:r>
      <w:r w:rsidRPr="004C3F43">
        <w:rPr>
          <w:iCs/>
        </w:rPr>
        <w:t xml:space="preserve">30 FCC </w:t>
      </w:r>
      <w:r w:rsidRPr="004C3F43">
        <w:rPr>
          <w:iCs/>
        </w:rPr>
        <w:t>Rcd</w:t>
      </w:r>
      <w:r w:rsidRPr="004C3F43">
        <w:rPr>
          <w:iCs/>
        </w:rPr>
        <w:t xml:space="preserve"> 797 (affirming findings that Viacom and ESPN committed violations of the Commission’s rules by transmitting or causing transmission of EAS Tones in a promotional announcement for the movie, “Olympus Has Fallen,” on cable networks);</w:t>
      </w:r>
      <w:r w:rsidRPr="004C3F43">
        <w:rPr>
          <w:i/>
        </w:rPr>
        <w:t xml:space="preserve"> </w:t>
      </w:r>
      <w:r w:rsidRPr="004C3F43">
        <w:rPr>
          <w:i/>
          <w:iCs/>
        </w:rPr>
        <w:t xml:space="preserve">2013 </w:t>
      </w:r>
      <w:r w:rsidRPr="004C3F43">
        <w:rPr>
          <w:i/>
        </w:rPr>
        <w:t>EAS Enforcement Advisory</w:t>
      </w:r>
      <w:r w:rsidRPr="004C3F43">
        <w:rPr>
          <w:iCs/>
        </w:rPr>
        <w:t xml:space="preserve">, </w:t>
      </w:r>
      <w:bookmarkStart w:id="6" w:name="_Hlk77078254"/>
      <w:r w:rsidRPr="00253C4F">
        <w:t xml:space="preserve">28 FCC </w:t>
      </w:r>
      <w:r w:rsidRPr="00253C4F">
        <w:t>Rcd</w:t>
      </w:r>
      <w:r w:rsidRPr="00253C4F">
        <w:t xml:space="preserve"> </w:t>
      </w:r>
      <w:r>
        <w:t>15438</w:t>
      </w:r>
      <w:bookmarkEnd w:id="6"/>
      <w:r>
        <w:t xml:space="preserve"> </w:t>
      </w:r>
      <w:r w:rsidRPr="004C3F43">
        <w:t>(promoting understanding of the laws governing appropriate use of EAS Tones to address concerns about misuse of EAS Tones aired in order to capture audience attention when there is no actual emergency or test)</w:t>
      </w:r>
      <w:r>
        <w:rPr>
          <w:iCs/>
        </w:rPr>
        <w:t xml:space="preserve">.  </w:t>
      </w:r>
      <w:r>
        <w:rPr>
          <w:i/>
        </w:rPr>
        <w:t>S</w:t>
      </w:r>
      <w:r w:rsidRPr="004C3F43">
        <w:rPr>
          <w:i/>
          <w:iCs/>
        </w:rPr>
        <w:t>ee also</w:t>
      </w:r>
      <w:r w:rsidRPr="004C3F43">
        <w:rPr>
          <w:i/>
        </w:rPr>
        <w:t xml:space="preserve"> </w:t>
      </w:r>
      <w:r w:rsidRPr="004C3F43">
        <w:rPr>
          <w:i/>
          <w:iCs/>
        </w:rPr>
        <w:t>Enforcement Bureau Reminds Emergency Alert System (EAS) Participants of Compliance Obligation</w:t>
      </w:r>
      <w:r>
        <w:rPr>
          <w:i/>
          <w:iCs/>
        </w:rPr>
        <w:t>s</w:t>
      </w:r>
      <w:r w:rsidRPr="004C3F43">
        <w:rPr>
          <w:i/>
        </w:rPr>
        <w:t xml:space="preserve">, </w:t>
      </w:r>
      <w:r w:rsidRPr="004C3F43">
        <w:rPr>
          <w:iCs/>
        </w:rPr>
        <w:t xml:space="preserve">Public Notice, </w:t>
      </w:r>
      <w:bookmarkStart w:id="7" w:name="_Hlk77075188"/>
      <w:r w:rsidRPr="004C3F43">
        <w:rPr>
          <w:iCs/>
        </w:rPr>
        <w:t xml:space="preserve">36 FCC </w:t>
      </w:r>
      <w:r w:rsidRPr="004C3F43">
        <w:rPr>
          <w:iCs/>
        </w:rPr>
        <w:t>Rcd</w:t>
      </w:r>
      <w:r w:rsidRPr="004C3F43">
        <w:rPr>
          <w:iCs/>
        </w:rPr>
        <w:t xml:space="preserve"> 44</w:t>
      </w:r>
      <w:bookmarkEnd w:id="7"/>
      <w:r w:rsidRPr="004C3F43">
        <w:rPr>
          <w:iCs/>
        </w:rPr>
        <w:t xml:space="preserve">, 47 (EB 2021) (reiterating that failure to comply with the EAS rules may subject a violator to sanctions, including monetary forfeitures).  </w:t>
      </w:r>
    </w:p>
  </w:footnote>
  <w:footnote w:id="13">
    <w:p w:rsidR="00657897" w:rsidRPr="004C3F43" w:rsidP="00657897" w14:paraId="48593F25" w14:textId="77777777">
      <w:pPr>
        <w:pStyle w:val="FootnoteText"/>
      </w:pPr>
      <w:r w:rsidRPr="004C3F43">
        <w:rPr>
          <w:rStyle w:val="FootnoteReference"/>
        </w:rPr>
        <w:footnoteRef/>
      </w:r>
      <w:r w:rsidRPr="004C3F43">
        <w:rPr>
          <w:i/>
        </w:rPr>
        <w:t xml:space="preserve"> </w:t>
      </w:r>
      <w:r w:rsidRPr="004C3F43">
        <w:t xml:space="preserve">47 U.S.C. § 503(b)(1)(B); </w:t>
      </w:r>
      <w:r w:rsidRPr="004C3F43">
        <w:rPr>
          <w:i/>
        </w:rPr>
        <w:t xml:space="preserve">see also </w:t>
      </w:r>
      <w:r w:rsidRPr="004C3F43">
        <w:t xml:space="preserve">47 CFR § 1.80(a)(2).  </w:t>
      </w:r>
    </w:p>
  </w:footnote>
  <w:footnote w:id="14">
    <w:p w:rsidR="00657897" w:rsidRPr="004C3F43" w:rsidP="00657897" w14:paraId="22D85A44" w14:textId="77777777">
      <w:pPr>
        <w:pStyle w:val="FootnoteText"/>
      </w:pPr>
      <w:r w:rsidRPr="004C3F43">
        <w:rPr>
          <w:rStyle w:val="FootnoteReference"/>
        </w:rPr>
        <w:footnoteRef/>
      </w:r>
      <w:r w:rsidRPr="004C3F43">
        <w:t xml:space="preserve"> </w:t>
      </w:r>
      <w:r w:rsidRPr="004C3F43">
        <w:t>47 U.S.C. § 312(f)(1).</w:t>
      </w:r>
    </w:p>
  </w:footnote>
  <w:footnote w:id="15">
    <w:p w:rsidR="00657897" w:rsidRPr="004C3F43" w:rsidP="00657897" w14:paraId="610BA4CA" w14:textId="77777777">
      <w:pPr>
        <w:pStyle w:val="FootnoteText"/>
      </w:pPr>
      <w:r w:rsidRPr="004C3F43">
        <w:rPr>
          <w:rStyle w:val="FootnoteReference"/>
        </w:rPr>
        <w:footnoteRef/>
      </w:r>
      <w:r w:rsidRPr="004C3F43">
        <w:t xml:space="preserve"> </w:t>
      </w:r>
      <w:r w:rsidRPr="004C3F43">
        <w:t>H.R. Rep. No. 97-765, 97th Cong. 2d Sess. 51 (1982) (“</w:t>
      </w:r>
      <w:r w:rsidRPr="004C3F43">
        <w:rPr>
          <w:rStyle w:val="documentbody"/>
        </w:rPr>
        <w:t xml:space="preserve">This provision [inserted in section 312] defines the terms ‘willful’ and ‘repeated’ for purposes of section </w:t>
      </w:r>
      <w:r w:rsidRPr="004C3F43">
        <w:rPr>
          <w:rStyle w:val="searchterm"/>
        </w:rPr>
        <w:t>312</w:t>
      </w:r>
      <w:r w:rsidRPr="004C3F43">
        <w:rPr>
          <w:rStyle w:val="documentbody"/>
        </w:rPr>
        <w:t>, and for any other relevant section of the act (e.g., [s]</w:t>
      </w:r>
      <w:r w:rsidRPr="004C3F43">
        <w:rPr>
          <w:rStyle w:val="documentbody"/>
        </w:rPr>
        <w:t>ection</w:t>
      </w:r>
      <w:r w:rsidRPr="004C3F43">
        <w:rPr>
          <w:rStyle w:val="documentbody"/>
        </w:rPr>
        <w:t xml:space="preserve">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w:t>
      </w:r>
      <w:r w:rsidRPr="004C3F43">
        <w:rPr>
          <w:rStyle w:val="documentbody"/>
        </w:rPr>
        <w:t>ections</w:t>
      </w:r>
      <w:r w:rsidRPr="004C3F43">
        <w:rPr>
          <w:rStyle w:val="documentbody"/>
        </w:rPr>
        <w:t xml:space="preserve"> </w:t>
      </w:r>
      <w:r w:rsidRPr="004C3F43">
        <w:rPr>
          <w:rStyle w:val="searchterm"/>
        </w:rPr>
        <w:t>312</w:t>
      </w:r>
      <w:r w:rsidRPr="004C3F43">
        <w:rPr>
          <w:rStyle w:val="documentbody"/>
        </w:rPr>
        <w:t xml:space="preserve"> and 503, and are consistent with the Commission’s application of those terms . . . .”)</w:t>
      </w:r>
      <w:r w:rsidRPr="004C3F43">
        <w:t>.</w:t>
      </w:r>
    </w:p>
  </w:footnote>
  <w:footnote w:id="16">
    <w:p w:rsidR="00657897" w:rsidRPr="004C3F43" w:rsidP="00657897" w14:paraId="16BDBB2B" w14:textId="77777777">
      <w:pPr>
        <w:pStyle w:val="FootnoteText"/>
      </w:pPr>
      <w:r w:rsidRPr="004C3F43">
        <w:rPr>
          <w:rStyle w:val="FootnoteReference"/>
        </w:rPr>
        <w:footnoteRef/>
      </w:r>
      <w:r w:rsidRPr="004C3F43">
        <w:t xml:space="preserve"> </w:t>
      </w:r>
      <w:r w:rsidRPr="004C3F43">
        <w:rPr>
          <w:i/>
          <w:iCs/>
        </w:rPr>
        <w:t>See, e.g.</w:t>
      </w:r>
      <w:r w:rsidRPr="004C3F43">
        <w:rPr>
          <w:i/>
        </w:rPr>
        <w:t>,</w:t>
      </w:r>
      <w:r w:rsidRPr="004C3F43">
        <w:rPr>
          <w:i/>
          <w:iCs/>
        </w:rPr>
        <w:t xml:space="preserve"> Southern California Broadcasting Co.</w:t>
      </w:r>
      <w:r w:rsidRPr="004C3F43">
        <w:t xml:space="preserve">, Memorandum Opinion and Order, 6 FCC </w:t>
      </w:r>
      <w:r w:rsidRPr="004C3F43">
        <w:t>Rcd</w:t>
      </w:r>
      <w:r w:rsidRPr="004C3F43">
        <w:t xml:space="preserve"> 4387, 4388, para. 5 (1991), </w:t>
      </w:r>
      <w:r w:rsidRPr="004C3F43">
        <w:rPr>
          <w:i/>
        </w:rPr>
        <w:t>recons. denied</w:t>
      </w:r>
      <w:r w:rsidRPr="004C3F43">
        <w:t xml:space="preserve">, 7 FCC </w:t>
      </w:r>
      <w:r w:rsidRPr="004C3F43">
        <w:t>Rcd</w:t>
      </w:r>
      <w:r w:rsidRPr="004C3F43">
        <w:t xml:space="preserve"> 3454 (1992).</w:t>
      </w:r>
    </w:p>
  </w:footnote>
  <w:footnote w:id="17">
    <w:p w:rsidR="00657897" w:rsidRPr="004C3F43" w:rsidP="00657897" w14:paraId="07C215AD" w14:textId="77777777">
      <w:pPr>
        <w:pStyle w:val="FootnoteText"/>
      </w:pPr>
      <w:r w:rsidRPr="004C3F43">
        <w:rPr>
          <w:rStyle w:val="FootnoteReference"/>
        </w:rPr>
        <w:footnoteRef/>
      </w:r>
      <w:r w:rsidRPr="004C3F43">
        <w:t xml:space="preserve"> </w:t>
      </w:r>
      <w:r w:rsidRPr="004C3F43">
        <w:t>47 U.S.C. § 503(b)(4); 47 CFR § 1.80(g).</w:t>
      </w:r>
    </w:p>
  </w:footnote>
  <w:footnote w:id="18">
    <w:p w:rsidR="00657897" w:rsidRPr="004C3F43" w:rsidP="00657897" w14:paraId="3BC6320A" w14:textId="77777777">
      <w:pPr>
        <w:pStyle w:val="FootnoteText"/>
      </w:pPr>
      <w:r w:rsidRPr="004C3F43">
        <w:rPr>
          <w:rStyle w:val="FootnoteReference"/>
        </w:rPr>
        <w:footnoteRef/>
      </w:r>
      <w:r w:rsidRPr="004C3F43">
        <w:t xml:space="preserve"> </w:t>
      </w:r>
      <w:r w:rsidRPr="004C3F43">
        <w:rPr>
          <w:i/>
        </w:rPr>
        <w:t>See, e.g., SBC Communications, Inc</w:t>
      </w:r>
      <w:r w:rsidRPr="004C3F43">
        <w:t>.,</w:t>
      </w:r>
      <w:r w:rsidRPr="004C3F43">
        <w:rPr>
          <w:i/>
        </w:rPr>
        <w:t xml:space="preserve"> </w:t>
      </w:r>
      <w:r w:rsidRPr="004C3F43">
        <w:t xml:space="preserve">Forfeiture Order, 17 FCC </w:t>
      </w:r>
      <w:r w:rsidRPr="004C3F43">
        <w:t>Rcd</w:t>
      </w:r>
      <w:r w:rsidRPr="004C3F43">
        <w:t xml:space="preserve"> 7589, 7591, para. 4 (2002) (forfeiture paid).</w:t>
      </w:r>
    </w:p>
  </w:footnote>
  <w:footnote w:id="19">
    <w:p w:rsidR="00553EAB" w:rsidRPr="004C3F43" w:rsidP="004C3F43" w14:paraId="5B6A8560" w14:textId="4277799A">
      <w:pPr>
        <w:pStyle w:val="FootnoteText"/>
      </w:pPr>
      <w:r w:rsidRPr="004C3F43">
        <w:rPr>
          <w:rStyle w:val="FootnoteReference"/>
        </w:rPr>
        <w:footnoteRef/>
      </w:r>
      <w:r w:rsidRPr="004C3F43">
        <w:t xml:space="preserve"> </w:t>
      </w:r>
      <w:r w:rsidRPr="004C3F43">
        <w:t xml:space="preserve">47 CFR § 11.45(a).  Section 11.46 </w:t>
      </w:r>
      <w:r w:rsidRPr="007061DE">
        <w:t xml:space="preserve">of the Commission’s rules </w:t>
      </w:r>
      <w:r w:rsidRPr="004C3F43">
        <w:t xml:space="preserve">provides that “EAS Participants may use the EAS Attention Signal and a simulation of the EAS codes as provided by FEMA in EAS Public Service Announcements (PSAs) (including commercially-sponsored announcements, infomercials, or programs) provided by federal, state, and local government entities, or non-governmental organizations, to raise public awareness about emergency alerting.” </w:t>
      </w:r>
      <w:r w:rsidRPr="004C3F43">
        <w:rPr>
          <w:i/>
        </w:rPr>
        <w:t>Id.</w:t>
      </w:r>
      <w:r w:rsidRPr="004C3F43">
        <w:t xml:space="preserve"> § 11.46.  Section 11.61 of the Commission’s rules provides that “EAS Participants shall conduct tests [of EAS procedures] at regular intervals . . . .”  </w:t>
      </w:r>
      <w:r w:rsidRPr="004C3F43">
        <w:rPr>
          <w:i/>
        </w:rPr>
        <w:t xml:space="preserve">Id. </w:t>
      </w:r>
      <w:r w:rsidRPr="004C3F43">
        <w:t xml:space="preserve">§ 11.61(a).  </w:t>
      </w:r>
    </w:p>
  </w:footnote>
  <w:footnote w:id="20">
    <w:p w:rsidR="00553EAB" w:rsidRPr="004C3F43" w:rsidP="004C3F43" w14:paraId="48F11E47" w14:textId="1CF9D114">
      <w:pPr>
        <w:pStyle w:val="FootnoteText"/>
      </w:pPr>
      <w:r w:rsidRPr="004C3F43">
        <w:rPr>
          <w:rStyle w:val="FootnoteReference"/>
        </w:rPr>
        <w:footnoteRef/>
      </w:r>
      <w:r w:rsidRPr="004C3F43">
        <w:t xml:space="preserve"> </w:t>
      </w:r>
      <w:r w:rsidRPr="004C3F43">
        <w:rPr>
          <w:i/>
        </w:rPr>
        <w:t>See Amendment of Part 73, Subpart G, of the Commission’s Rules Regarding the Emergency Broadcast System</w:t>
      </w:r>
      <w:r w:rsidRPr="004C3F43">
        <w:t xml:space="preserve">, FO Docket Nos. 91–301 and 91–171, Notice of Proposed Rulemaking and Further Notice of Proposed Rulemaking, 7 FCC </w:t>
      </w:r>
      <w:r w:rsidRPr="004C3F43">
        <w:t>Rcd</w:t>
      </w:r>
      <w:r w:rsidRPr="004C3F43">
        <w:t xml:space="preserve"> 6903, 6907, para. 39 (1992).</w:t>
      </w:r>
    </w:p>
  </w:footnote>
  <w:footnote w:id="21">
    <w:p w:rsidR="0070589B" w:rsidP="004C3F43" w14:paraId="338E52E3" w14:textId="16C5E082">
      <w:pPr>
        <w:pStyle w:val="FootnoteText"/>
      </w:pPr>
      <w:r w:rsidRPr="004C3F43">
        <w:rPr>
          <w:rStyle w:val="FootnoteReference"/>
        </w:rPr>
        <w:footnoteRef/>
      </w:r>
      <w:r w:rsidRPr="004C3F43">
        <w:t xml:space="preserve"> </w:t>
      </w:r>
      <w:r w:rsidRPr="004C3F43">
        <w:rPr>
          <w:i/>
        </w:rPr>
        <w:t>Amendment of Part 73, Subpart G, of the Commission’s Rules Regarding the Emergency Broadcast System</w:t>
      </w:r>
      <w:r w:rsidRPr="004C3F43">
        <w:t>, FO Docket Nos. 91–301 and 91–171,</w:t>
      </w:r>
      <w:r w:rsidRPr="004C3F43">
        <w:rPr>
          <w:i/>
        </w:rPr>
        <w:t xml:space="preserve"> </w:t>
      </w:r>
      <w:r w:rsidRPr="004C3F43">
        <w:t>Report and Order and Further Notice of Proposed Rulemaking,</w:t>
      </w:r>
      <w:r w:rsidRPr="004C3F43">
        <w:rPr>
          <w:i/>
        </w:rPr>
        <w:t xml:space="preserve"> </w:t>
      </w:r>
      <w:r w:rsidRPr="004C3F43">
        <w:t>10</w:t>
      </w:r>
      <w:r w:rsidRPr="004C3F43">
        <w:rPr>
          <w:i/>
        </w:rPr>
        <w:t xml:space="preserve"> </w:t>
      </w:r>
      <w:r w:rsidRPr="004C3F43">
        <w:t xml:space="preserve">FCC </w:t>
      </w:r>
      <w:r w:rsidRPr="004C3F43">
        <w:t>Rcd</w:t>
      </w:r>
      <w:r w:rsidRPr="004C3F43">
        <w:t xml:space="preserve"> 1786, 1815, para. 84 (1994).</w:t>
      </w:r>
      <w:r>
        <w:t xml:space="preserve">  In enforcing Section 11.45 of the Commission’s rules, the Commission explained:</w:t>
      </w:r>
    </w:p>
    <w:p w:rsidR="00553EAB" w:rsidRPr="004C3F43" w:rsidP="00A5022F" w14:paraId="74AEF9B3" w14:textId="69D80FDF">
      <w:pPr>
        <w:pStyle w:val="FootnoteText"/>
        <w:ind w:left="720"/>
      </w:pPr>
      <w:r w:rsidRPr="00437F4A">
        <w:rPr>
          <w:szCs w:val="22"/>
        </w:rPr>
        <w:t xml:space="preserve">The plain language of the rule prohibits </w:t>
      </w:r>
      <w:r w:rsidRPr="00437F4A">
        <w:rPr>
          <w:i/>
          <w:iCs/>
          <w:szCs w:val="22"/>
        </w:rPr>
        <w:t xml:space="preserve">any </w:t>
      </w:r>
      <w:r w:rsidRPr="00437F4A">
        <w:rPr>
          <w:szCs w:val="22"/>
        </w:rPr>
        <w:t>transmission of the EAS Tones in the absence of an actual emergency or authorized test . . . . Moreover, [s]</w:t>
      </w:r>
      <w:r w:rsidRPr="00437F4A">
        <w:rPr>
          <w:szCs w:val="22"/>
        </w:rPr>
        <w:t>ection</w:t>
      </w:r>
      <w:r w:rsidRPr="00437F4A">
        <w:rPr>
          <w:szCs w:val="22"/>
        </w:rPr>
        <w:t xml:space="preserve"> 11.45 contains no provision limiting liability under the rule to cases where intent to deceive exists, nor does the rule make exceptions for, or protect, “dramatic” uses of the EAS Tones.  Instead, the rule provides that the transmission of the EAS Tones is prohibited in “any circumstance” except when an actual emergency or authorized test warrants their use</w:t>
      </w:r>
      <w:r>
        <w:rPr>
          <w:szCs w:val="22"/>
        </w:rPr>
        <w:t>.</w:t>
      </w:r>
      <w:r>
        <w:t xml:space="preserve">  </w:t>
      </w:r>
      <w:r w:rsidRPr="004C3F43">
        <w:rPr>
          <w:i/>
        </w:rPr>
        <w:t>Viacom FO</w:t>
      </w:r>
      <w:r w:rsidRPr="004C3F43">
        <w:t xml:space="preserve">, 30 FCC </w:t>
      </w:r>
      <w:r w:rsidRPr="004C3F43">
        <w:t>Rcd</w:t>
      </w:r>
      <w:r w:rsidRPr="004C3F43">
        <w:t xml:space="preserve"> at 801-02,</w:t>
      </w:r>
      <w:r w:rsidRPr="004C3F43">
        <w:rPr>
          <w:i/>
        </w:rPr>
        <w:t xml:space="preserve"> </w:t>
      </w:r>
      <w:r w:rsidRPr="004C3F43">
        <w:t>para. 12.</w:t>
      </w:r>
    </w:p>
  </w:footnote>
  <w:footnote w:id="22">
    <w:p w:rsidR="00553EAB" w:rsidRPr="004C3F43" w:rsidP="004C3F43" w14:paraId="592A836A" w14:textId="2FF9BED6">
      <w:pPr>
        <w:pStyle w:val="FootnoteText"/>
      </w:pPr>
      <w:r w:rsidRPr="004C3F43">
        <w:rPr>
          <w:rStyle w:val="FootnoteReference"/>
        </w:rPr>
        <w:footnoteRef/>
      </w:r>
      <w:r w:rsidRPr="004C3F43">
        <w:t xml:space="preserve"> </w:t>
      </w:r>
      <w:r w:rsidRPr="004C3F43">
        <w:rPr>
          <w:i/>
          <w:iCs/>
        </w:rPr>
        <w:t xml:space="preserve">See </w:t>
      </w:r>
      <w:r w:rsidRPr="004C3F43">
        <w:t xml:space="preserve">LOI Response at 1-2, Response to Question 1; Beasley Broadcast Group, Inc., </w:t>
      </w:r>
      <w:r>
        <w:t xml:space="preserve">2020 </w:t>
      </w:r>
      <w:r w:rsidRPr="004C3F43">
        <w:t xml:space="preserve">Annual Report (Form 10-K) at </w:t>
      </w:r>
      <w:r w:rsidRPr="0067316B">
        <w:t>3 (Feb. 19, 2021),</w:t>
      </w:r>
      <w:r>
        <w:t xml:space="preserve"> </w:t>
      </w:r>
      <w:bookmarkStart w:id="12" w:name="_Hlk77085267"/>
      <w:hyperlink r:id="rId2" w:history="1">
        <w:r w:rsidRPr="00CD7F15">
          <w:rPr>
            <w:rStyle w:val="Hyperlink"/>
          </w:rPr>
          <w:t>https://www.sec.gov/Archives/edgar/data/1099160/000119312521048932/d48230d10k.htm</w:t>
        </w:r>
      </w:hyperlink>
      <w:r w:rsidRPr="004C3F43">
        <w:t xml:space="preserve"> </w:t>
      </w:r>
      <w:bookmarkEnd w:id="12"/>
      <w:r w:rsidRPr="004C3F43">
        <w:t>(Beasley 2020 Annual Report).</w:t>
      </w:r>
    </w:p>
  </w:footnote>
  <w:footnote w:id="23">
    <w:p w:rsidR="00553EAB" w:rsidRPr="004C3F43" w:rsidP="004C3F43" w14:paraId="15B16FC9" w14:textId="7219F583">
      <w:pPr>
        <w:pStyle w:val="FootnoteText"/>
      </w:pPr>
      <w:r w:rsidRPr="004C3F43">
        <w:rPr>
          <w:rStyle w:val="FootnoteReference"/>
        </w:rPr>
        <w:footnoteRef/>
      </w:r>
      <w:r w:rsidRPr="004C3F43">
        <w:t xml:space="preserve"> </w:t>
      </w:r>
      <w:r w:rsidRPr="004C3F43">
        <w:t>Beasley 2020 Annual Report at 3.</w:t>
      </w:r>
    </w:p>
  </w:footnote>
  <w:footnote w:id="24">
    <w:p w:rsidR="00553EAB" w:rsidRPr="004C3F43" w:rsidP="004C3F43" w14:paraId="4238CEFA" w14:textId="6A803533">
      <w:pPr>
        <w:pStyle w:val="FootnoteText"/>
        <w:rPr>
          <w:i/>
          <w:iCs/>
        </w:rPr>
      </w:pPr>
      <w:r w:rsidRPr="004C3F43">
        <w:rPr>
          <w:rStyle w:val="FootnoteReference"/>
        </w:rPr>
        <w:footnoteRef/>
      </w:r>
      <w:r w:rsidRPr="004C3F43">
        <w:t xml:space="preserve"> </w:t>
      </w:r>
      <w:r w:rsidRPr="004C3F43">
        <w:rPr>
          <w:i/>
          <w:iCs/>
        </w:rPr>
        <w:t>Id.</w:t>
      </w:r>
    </w:p>
  </w:footnote>
  <w:footnote w:id="25">
    <w:p w:rsidR="00553EAB" w:rsidRPr="004C3F43" w:rsidP="004C3F43" w14:paraId="5D69A493" w14:textId="4FDB4AC1">
      <w:pPr>
        <w:pStyle w:val="FootnoteText"/>
      </w:pPr>
      <w:r w:rsidRPr="004C3F43">
        <w:rPr>
          <w:rStyle w:val="FootnoteReference"/>
        </w:rPr>
        <w:footnoteRef/>
      </w:r>
      <w:r w:rsidRPr="004C3F43">
        <w:t xml:space="preserve"> </w:t>
      </w:r>
      <w:r w:rsidRPr="004C3F43">
        <w:rPr>
          <w:i/>
          <w:iCs/>
        </w:rPr>
        <w:t xml:space="preserve">See </w:t>
      </w:r>
      <w:r w:rsidRPr="004C3F43">
        <w:t>LOI Response at 2, Response to Question 2.</w:t>
      </w:r>
    </w:p>
  </w:footnote>
  <w:footnote w:id="26">
    <w:p w:rsidR="00553EAB" w:rsidRPr="004C3F43" w:rsidP="004C3F43" w14:paraId="0EA8A2BC" w14:textId="2ACFBD75">
      <w:pPr>
        <w:pStyle w:val="FootnoteText"/>
      </w:pPr>
      <w:r w:rsidRPr="004C3F43">
        <w:rPr>
          <w:rStyle w:val="FootnoteReference"/>
        </w:rPr>
        <w:footnoteRef/>
      </w:r>
      <w:r w:rsidRPr="004C3F43">
        <w:t xml:space="preserve"> </w:t>
      </w:r>
      <w:r w:rsidRPr="004C3F43">
        <w:rPr>
          <w:i/>
          <w:iCs/>
        </w:rPr>
        <w:t xml:space="preserve">See </w:t>
      </w:r>
      <w:r w:rsidRPr="004C3F43">
        <w:rPr>
          <w:i/>
        </w:rPr>
        <w:t>id.</w:t>
      </w:r>
      <w:r w:rsidRPr="004C3F43">
        <w:t xml:space="preserve"> </w:t>
      </w:r>
      <w:r w:rsidRPr="007061DE">
        <w:t>at 2, Response to Question 2(c).</w:t>
      </w:r>
    </w:p>
  </w:footnote>
  <w:footnote w:id="27">
    <w:p w:rsidR="002A4EA4" w:rsidRPr="002A4EA4" w14:paraId="1EC0C082" w14:textId="5B289FCC">
      <w:pPr>
        <w:pStyle w:val="FootnoteText"/>
      </w:pPr>
      <w:r>
        <w:rPr>
          <w:rStyle w:val="FootnoteReference"/>
        </w:rPr>
        <w:footnoteRef/>
      </w:r>
      <w:r>
        <w:t xml:space="preserve"> </w:t>
      </w:r>
      <w:r>
        <w:rPr>
          <w:i/>
          <w:iCs/>
        </w:rPr>
        <w:t xml:space="preserve">See </w:t>
      </w:r>
      <w:r w:rsidR="00963614">
        <w:t xml:space="preserve">LOI Response </w:t>
      </w:r>
      <w:r>
        <w:t xml:space="preserve">Supplemental </w:t>
      </w:r>
      <w:r w:rsidR="00963614">
        <w:t>at 2.</w:t>
      </w:r>
    </w:p>
  </w:footnote>
  <w:footnote w:id="28">
    <w:p w:rsidR="00A57DD6" w:rsidRPr="00A57DD6" w14:paraId="0220FFFA" w14:textId="2EDB4D7C">
      <w:pPr>
        <w:pStyle w:val="FootnoteText"/>
        <w:rPr>
          <w:i/>
          <w:iCs/>
        </w:rPr>
      </w:pPr>
      <w:r>
        <w:rPr>
          <w:rStyle w:val="FootnoteReference"/>
        </w:rPr>
        <w:footnoteRef/>
      </w:r>
      <w:r>
        <w:t xml:space="preserve"> </w:t>
      </w:r>
      <w:r>
        <w:rPr>
          <w:i/>
          <w:iCs/>
        </w:rPr>
        <w:t xml:space="preserve">Id.  </w:t>
      </w:r>
    </w:p>
  </w:footnote>
  <w:footnote w:id="29">
    <w:p w:rsidR="00553EAB" w:rsidRPr="004C3F43" w:rsidP="004C3F43" w14:paraId="4C02F81F" w14:textId="6B837A12">
      <w:pPr>
        <w:pStyle w:val="FootnoteText"/>
      </w:pPr>
      <w:r w:rsidRPr="004C3F43">
        <w:rPr>
          <w:rStyle w:val="FootnoteReference"/>
        </w:rPr>
        <w:footnoteRef/>
      </w:r>
      <w:r w:rsidRPr="004C3F43">
        <w:t xml:space="preserve"> </w:t>
      </w:r>
      <w:r w:rsidRPr="004C3F43">
        <w:t>Complaint No. 4277878</w:t>
      </w:r>
      <w:r w:rsidRPr="004C3F43">
        <w:rPr>
          <w:color w:val="2F3941"/>
        </w:rPr>
        <w:t>, dated</w:t>
      </w:r>
      <w:r w:rsidRPr="004C3F43">
        <w:t xml:space="preserve"> Oct. 7, 2020 (on file in </w:t>
      </w:r>
      <w:r w:rsidRPr="007061DE">
        <w:t>EB-IHD-20-00031587).</w:t>
      </w:r>
    </w:p>
  </w:footnote>
  <w:footnote w:id="30">
    <w:p w:rsidR="00553EAB" w:rsidRPr="004C3F43" w:rsidP="004C3F43" w14:paraId="6ADAD0DB" w14:textId="78F815F7">
      <w:pPr>
        <w:pStyle w:val="FootnoteText"/>
        <w:rPr>
          <w:i/>
          <w:iCs/>
        </w:rPr>
      </w:pPr>
      <w:r w:rsidRPr="004C3F43">
        <w:rPr>
          <w:rStyle w:val="FootnoteReference"/>
        </w:rPr>
        <w:footnoteRef/>
      </w:r>
      <w:r w:rsidRPr="004C3F43">
        <w:t xml:space="preserve"> </w:t>
      </w:r>
      <w:r w:rsidRPr="004C3F43">
        <w:rPr>
          <w:i/>
          <w:iCs/>
        </w:rPr>
        <w:t>See id.</w:t>
      </w:r>
    </w:p>
  </w:footnote>
  <w:footnote w:id="31">
    <w:p w:rsidR="00553EAB" w:rsidRPr="004C3F43" w:rsidP="004C3F43" w14:paraId="678B49DB" w14:textId="2ED050F6">
      <w:pPr>
        <w:pStyle w:val="FootnoteText"/>
      </w:pPr>
      <w:r w:rsidRPr="004C3F43">
        <w:rPr>
          <w:rStyle w:val="FootnoteReference"/>
        </w:rPr>
        <w:footnoteRef/>
      </w:r>
      <w:r w:rsidRPr="004C3F43">
        <w:t xml:space="preserve"> </w:t>
      </w:r>
      <w:r w:rsidRPr="004C3F43">
        <w:rPr>
          <w:i/>
        </w:rPr>
        <w:t>See</w:t>
      </w:r>
      <w:r w:rsidRPr="004C3F43">
        <w:t xml:space="preserve"> Letter of Inquiry from Christopher J. Sova, Deputy Chief, Investigations and Hearings Division, FCC Enforcement Bureau, to Caroline Beasley, Chief Executive Officer, Beasley Media Group Licenses, LLC (Jan. 5, 2021) (on file in EB-IHD-20-00031587) (LOI).</w:t>
      </w:r>
    </w:p>
  </w:footnote>
  <w:footnote w:id="32">
    <w:p w:rsidR="00553EAB" w:rsidRPr="004C3F43" w:rsidP="004C3F43" w14:paraId="659D50C4" w14:textId="210A701F">
      <w:pPr>
        <w:pStyle w:val="FootnoteText"/>
      </w:pPr>
      <w:r w:rsidRPr="004C3F43">
        <w:rPr>
          <w:rStyle w:val="FootnoteReference"/>
        </w:rPr>
        <w:footnoteRef/>
      </w:r>
      <w:r w:rsidRPr="004C3F43">
        <w:t xml:space="preserve"> </w:t>
      </w:r>
      <w:r w:rsidRPr="004C3F43">
        <w:rPr>
          <w:i/>
        </w:rPr>
        <w:t>See id</w:t>
      </w:r>
      <w:r w:rsidRPr="004C3F43">
        <w:t xml:space="preserve">. </w:t>
      </w:r>
      <w:r>
        <w:t>at 6-7.</w:t>
      </w:r>
    </w:p>
  </w:footnote>
  <w:footnote w:id="33">
    <w:p w:rsidR="00553EAB" w:rsidRPr="004C3F43" w:rsidP="004C3F43" w14:paraId="56E09C45" w14:textId="6FCC8C85">
      <w:pPr>
        <w:pStyle w:val="FootnoteText"/>
      </w:pPr>
      <w:r w:rsidRPr="004C3F43">
        <w:rPr>
          <w:rStyle w:val="FootnoteReference"/>
        </w:rPr>
        <w:footnoteRef/>
      </w:r>
      <w:r w:rsidR="003542DA">
        <w:t>LOI Response</w:t>
      </w:r>
      <w:r>
        <w:rPr>
          <w:i/>
          <w:iCs/>
        </w:rPr>
        <w:t xml:space="preserve"> </w:t>
      </w:r>
      <w:r w:rsidRPr="004C3F43">
        <w:t xml:space="preserve">at 2, Response to </w:t>
      </w:r>
      <w:bookmarkStart w:id="13" w:name="_Hlk75886081"/>
      <w:r w:rsidRPr="004C3F43">
        <w:t xml:space="preserve">Question </w:t>
      </w:r>
      <w:bookmarkEnd w:id="13"/>
      <w:r w:rsidRPr="004C3F43">
        <w:t>3.</w:t>
      </w:r>
      <w:r>
        <w:t xml:space="preserve">  Beasley provided a recording of </w:t>
      </w:r>
      <w:r w:rsidRPr="00867A8F" w:rsidR="00867A8F">
        <w:rPr>
          <w:i/>
          <w:iCs/>
        </w:rPr>
        <w:t>T</w:t>
      </w:r>
      <w:r w:rsidRPr="00867A8F">
        <w:rPr>
          <w:i/>
          <w:iCs/>
        </w:rPr>
        <w:t>he Doug Basham Radio Show</w:t>
      </w:r>
      <w:r>
        <w:t xml:space="preserve"> episode containing the false EAS Tones that it aired on September 26, 2020 on KDWN(AM), which Beasley downloaded from Doug Basham’s website.  </w:t>
      </w:r>
      <w:r>
        <w:rPr>
          <w:i/>
          <w:iCs/>
        </w:rPr>
        <w:t>Id.</w:t>
      </w:r>
      <w:r>
        <w:t xml:space="preserve"> at 7, Response to Question 16. </w:t>
      </w:r>
    </w:p>
  </w:footnote>
  <w:footnote w:id="34">
    <w:p w:rsidR="00553EAB" w:rsidRPr="004C3F43" w:rsidP="004C3F43" w14:paraId="534D4B60" w14:textId="2EE1652A">
      <w:pPr>
        <w:pStyle w:val="FootnoteText"/>
      </w:pPr>
      <w:r w:rsidRPr="004C3F43">
        <w:rPr>
          <w:rStyle w:val="FootnoteReference"/>
        </w:rPr>
        <w:footnoteRef/>
      </w:r>
      <w:r w:rsidRPr="004C3F43">
        <w:t xml:space="preserve"> </w:t>
      </w:r>
      <w:r w:rsidRPr="004C3F43">
        <w:rPr>
          <w:i/>
        </w:rPr>
        <w:t xml:space="preserve">Id. </w:t>
      </w:r>
      <w:r w:rsidRPr="004C3F43">
        <w:t>at 3, Response to Question 4.</w:t>
      </w:r>
    </w:p>
  </w:footnote>
  <w:footnote w:id="35">
    <w:p w:rsidR="00553EAB" w:rsidRPr="004C3F43" w:rsidP="004313F5" w14:paraId="52BC0230" w14:textId="672B2FCD">
      <w:pPr>
        <w:pStyle w:val="FootnoteText"/>
      </w:pPr>
      <w:r w:rsidRPr="004C3F43">
        <w:rPr>
          <w:rStyle w:val="FootnoteReference"/>
        </w:rPr>
        <w:footnoteRef/>
      </w:r>
      <w:r w:rsidRPr="004C3F43">
        <w:t xml:space="preserve"> </w:t>
      </w:r>
      <w:r w:rsidRPr="004313F5">
        <w:rPr>
          <w:i/>
          <w:iCs/>
        </w:rPr>
        <w:t>Id</w:t>
      </w:r>
      <w:r w:rsidRPr="004C3F43">
        <w:t>. at 4, Response to Question 7.</w:t>
      </w:r>
      <w:r w:rsidR="00083879">
        <w:t xml:space="preserve">  </w:t>
      </w:r>
    </w:p>
  </w:footnote>
  <w:footnote w:id="36">
    <w:p w:rsidR="00836180" w:rsidRPr="004C3F43" w:rsidP="00836180" w14:paraId="7D2363FE" w14:textId="29D677C2">
      <w:pPr>
        <w:pStyle w:val="FootnoteText"/>
      </w:pPr>
      <w:r w:rsidRPr="004C3F43">
        <w:rPr>
          <w:rStyle w:val="FootnoteReference"/>
        </w:rPr>
        <w:footnoteRef/>
      </w:r>
      <w:r w:rsidRPr="004C3F43">
        <w:t xml:space="preserve"> </w:t>
      </w:r>
      <w:r w:rsidRPr="004313F5">
        <w:rPr>
          <w:i/>
          <w:iCs/>
        </w:rPr>
        <w:t>Id</w:t>
      </w:r>
      <w:r w:rsidRPr="004C3F43">
        <w:t>. at 2, Response to Question 2(a)</w:t>
      </w:r>
      <w:r>
        <w:t>; LOI Response Supplement at 2.</w:t>
      </w:r>
    </w:p>
  </w:footnote>
  <w:footnote w:id="37">
    <w:p w:rsidR="00553EAB" w:rsidRPr="004C3F43" w:rsidP="000F5E4E" w14:paraId="6E91A8C1" w14:textId="44534FE5">
      <w:pPr>
        <w:pStyle w:val="FootnoteText"/>
      </w:pPr>
      <w:r w:rsidRPr="004C3F43">
        <w:rPr>
          <w:rStyle w:val="FootnoteReference"/>
        </w:rPr>
        <w:footnoteRef/>
      </w:r>
      <w:r w:rsidRPr="004C3F43">
        <w:t xml:space="preserve"> </w:t>
      </w:r>
      <w:r w:rsidRPr="00A8615F" w:rsidR="00836180">
        <w:t>LOI Response</w:t>
      </w:r>
      <w:r>
        <w:t xml:space="preserve"> at 6, Response to Question 13.    </w:t>
      </w:r>
    </w:p>
  </w:footnote>
  <w:footnote w:id="38">
    <w:p w:rsidR="00553EAB" w14:paraId="26AD4383" w14:textId="2DC5DB89">
      <w:pPr>
        <w:pStyle w:val="FootnoteText"/>
      </w:pPr>
      <w:r>
        <w:rPr>
          <w:rStyle w:val="FootnoteReference"/>
        </w:rPr>
        <w:footnoteRef/>
      </w:r>
      <w:r>
        <w:t xml:space="preserve"> </w:t>
      </w:r>
      <w:r>
        <w:rPr>
          <w:i/>
          <w:iCs/>
        </w:rPr>
        <w:t>Id.</w:t>
      </w:r>
      <w:r>
        <w:t xml:space="preserve"> at 6, Response to Question 13, and </w:t>
      </w:r>
      <w:r w:rsidR="00AA45AE">
        <w:t xml:space="preserve">Attach. </w:t>
      </w:r>
      <w:r>
        <w:t>B.</w:t>
      </w:r>
    </w:p>
  </w:footnote>
  <w:footnote w:id="39">
    <w:p w:rsidR="00553EAB" w:rsidRPr="00262207" w14:paraId="6A6194D8" w14:textId="3FE4D878">
      <w:pPr>
        <w:pStyle w:val="FootnoteText"/>
      </w:pPr>
      <w:r>
        <w:rPr>
          <w:rStyle w:val="FootnoteReference"/>
        </w:rPr>
        <w:footnoteRef/>
      </w:r>
      <w:r>
        <w:t xml:space="preserve"> </w:t>
      </w:r>
      <w:r>
        <w:rPr>
          <w:i/>
          <w:iCs/>
        </w:rPr>
        <w:t xml:space="preserve">See </w:t>
      </w:r>
      <w:r>
        <w:t>LOI Response at 2, Response to Question 3.</w:t>
      </w:r>
    </w:p>
  </w:footnote>
  <w:footnote w:id="40">
    <w:p w:rsidR="00553EAB" w:rsidRPr="004C3F43" w:rsidP="004C3F43" w14:paraId="5ECE1EC9" w14:textId="0F4728F1">
      <w:pPr>
        <w:pStyle w:val="FootnoteText"/>
      </w:pPr>
      <w:r w:rsidRPr="004C3F43">
        <w:rPr>
          <w:rStyle w:val="FootnoteReference"/>
        </w:rPr>
        <w:footnoteRef/>
      </w:r>
      <w:r w:rsidRPr="004C3F43">
        <w:t xml:space="preserve"> </w:t>
      </w:r>
      <w:r w:rsidRPr="004313F5">
        <w:rPr>
          <w:i/>
          <w:iCs/>
        </w:rPr>
        <w:t>Id</w:t>
      </w:r>
      <w:r w:rsidRPr="004C3F43">
        <w:t>. at 2, Responses to Question 2, 3</w:t>
      </w:r>
      <w:r w:rsidR="00836180">
        <w:t>; LOI Response Supplement at 2</w:t>
      </w:r>
      <w:r w:rsidRPr="004C3F43">
        <w:t xml:space="preserve">.   </w:t>
      </w:r>
    </w:p>
  </w:footnote>
  <w:footnote w:id="41">
    <w:p w:rsidR="00553EAB" w:rsidRPr="004C3F43" w:rsidP="004C3F43" w14:paraId="257BD5A5" w14:textId="55D294CB">
      <w:pPr>
        <w:pStyle w:val="FootnoteText"/>
      </w:pPr>
      <w:r w:rsidRPr="004C3F43">
        <w:rPr>
          <w:rStyle w:val="FootnoteReference"/>
        </w:rPr>
        <w:footnoteRef/>
      </w:r>
      <w:r w:rsidRPr="00EC0E22">
        <w:rPr>
          <w:i/>
          <w:iCs/>
        </w:rPr>
        <w:t xml:space="preserve"> </w:t>
      </w:r>
      <w:r w:rsidRPr="004C3F43">
        <w:rPr>
          <w:i/>
          <w:iCs/>
        </w:rPr>
        <w:t>See</w:t>
      </w:r>
      <w:r w:rsidRPr="004C3F43">
        <w:t xml:space="preserve"> </w:t>
      </w:r>
      <w:r w:rsidRPr="00A8615F" w:rsidR="00836180">
        <w:t>LOI Response</w:t>
      </w:r>
      <w:r w:rsidR="00836180">
        <w:rPr>
          <w:i/>
          <w:iCs/>
        </w:rPr>
        <w:t xml:space="preserve"> </w:t>
      </w:r>
      <w:r w:rsidRPr="004C3F43">
        <w:t>at 3, Response to Question 4.</w:t>
      </w:r>
    </w:p>
  </w:footnote>
  <w:footnote w:id="42">
    <w:p w:rsidR="00553EAB" w:rsidRPr="00751CC6" w14:paraId="0690E917" w14:textId="1A83DCC1">
      <w:pPr>
        <w:pStyle w:val="FootnoteText"/>
      </w:pPr>
      <w:r>
        <w:rPr>
          <w:rStyle w:val="FootnoteReference"/>
        </w:rPr>
        <w:footnoteRef/>
      </w:r>
      <w:r>
        <w:t xml:space="preserve"> </w:t>
      </w:r>
      <w:r>
        <w:rPr>
          <w:i/>
          <w:iCs/>
        </w:rPr>
        <w:t>See id.</w:t>
      </w:r>
      <w:r>
        <w:t xml:space="preserve"> at </w:t>
      </w:r>
      <w:r w:rsidR="00AA45AE">
        <w:t xml:space="preserve">Attach. </w:t>
      </w:r>
      <w:r>
        <w:t>B.</w:t>
      </w:r>
    </w:p>
  </w:footnote>
  <w:footnote w:id="43">
    <w:p w:rsidR="00553EAB" w:rsidRPr="00262207" w:rsidP="00C9180C" w14:paraId="096B3976" w14:textId="6C2E5BBC">
      <w:pPr>
        <w:pStyle w:val="FootnoteText"/>
      </w:pPr>
      <w:r w:rsidRPr="004C3F43">
        <w:rPr>
          <w:rStyle w:val="FootnoteReference"/>
        </w:rPr>
        <w:footnoteRef/>
      </w:r>
      <w:r w:rsidRPr="004C3F43">
        <w:t xml:space="preserve"> </w:t>
      </w:r>
      <w:r>
        <w:rPr>
          <w:i/>
          <w:iCs/>
        </w:rPr>
        <w:t>Id.</w:t>
      </w:r>
    </w:p>
  </w:footnote>
  <w:footnote w:id="44">
    <w:p w:rsidR="00553EAB" w:rsidRPr="004C3F43" w14:paraId="7EA2B88E" w14:textId="7FFAA134">
      <w:pPr>
        <w:pStyle w:val="FootnoteText"/>
        <w:rPr>
          <w:b/>
          <w:i/>
          <w:color w:val="000000"/>
        </w:rPr>
      </w:pPr>
      <w:r w:rsidRPr="004C3F43">
        <w:rPr>
          <w:rStyle w:val="FootnoteReference"/>
          <w:color w:val="000000"/>
        </w:rPr>
        <w:footnoteRef/>
      </w:r>
      <w:r w:rsidRPr="004C3F43">
        <w:rPr>
          <w:color w:val="000000"/>
        </w:rPr>
        <w:t xml:space="preserve"> </w:t>
      </w:r>
      <w:r w:rsidRPr="004C3F43">
        <w:rPr>
          <w:color w:val="000000"/>
        </w:rPr>
        <w:t xml:space="preserve">47 U.S.C. § 503(b)(1)(B). </w:t>
      </w:r>
    </w:p>
  </w:footnote>
  <w:footnote w:id="45">
    <w:p w:rsidR="00553EAB" w:rsidRPr="004C3F43" w14:paraId="408D0C8D" w14:textId="08145E0E">
      <w:pPr>
        <w:pStyle w:val="FootnoteText"/>
        <w:rPr>
          <w:color w:val="000000"/>
        </w:rPr>
      </w:pPr>
      <w:r w:rsidRPr="004C3F43">
        <w:rPr>
          <w:rStyle w:val="FootnoteReference"/>
          <w:color w:val="000000"/>
        </w:rPr>
        <w:footnoteRef/>
      </w:r>
      <w:r w:rsidRPr="004C3F43">
        <w:rPr>
          <w:color w:val="000000"/>
        </w:rPr>
        <w:t xml:space="preserve"> </w:t>
      </w:r>
      <w:r w:rsidRPr="004C3F43">
        <w:rPr>
          <w:color w:val="000000"/>
        </w:rPr>
        <w:t>47 U.S.C. § 503(b)(2)(E); 47 CFR § 1.80(b)(10).</w:t>
      </w:r>
      <w:r w:rsidR="00D9178C">
        <w:rPr>
          <w:color w:val="000000"/>
        </w:rPr>
        <w:t xml:space="preserve">  </w:t>
      </w:r>
      <w:bookmarkStart w:id="19" w:name="_Hlk85033752"/>
      <w:r w:rsidR="00D9178C">
        <w:rPr>
          <w:i/>
          <w:iCs/>
          <w:snapToGrid w:val="0"/>
          <w:color w:val="000000" w:themeColor="text1"/>
        </w:rPr>
        <w:t xml:space="preserve">See </w:t>
      </w:r>
      <w:r w:rsidRPr="007B5955" w:rsidR="00D9178C">
        <w:rPr>
          <w:i/>
          <w:snapToGrid w:val="0"/>
          <w:color w:val="000000" w:themeColor="text1"/>
        </w:rPr>
        <w:t>Amendment of Section 1.80(b) of the Commission’s Rules, Adjustment of Civil Monetary Penalties to Reflect Inflation</w:t>
      </w:r>
      <w:r w:rsidRPr="007B5955" w:rsidR="00D9178C">
        <w:rPr>
          <w:snapToGrid w:val="0"/>
          <w:color w:val="000000" w:themeColor="text1"/>
        </w:rPr>
        <w:t xml:space="preserve">, Order, </w:t>
      </w:r>
      <w:r w:rsidRPr="007358CE" w:rsidR="00D9178C">
        <w:rPr>
          <w:snapToGrid w:val="0"/>
          <w:color w:val="000000" w:themeColor="text1"/>
        </w:rPr>
        <w:t>3</w:t>
      </w:r>
      <w:r w:rsidR="00D9178C">
        <w:rPr>
          <w:snapToGrid w:val="0"/>
          <w:color w:val="000000" w:themeColor="text1"/>
        </w:rPr>
        <w:t>5</w:t>
      </w:r>
      <w:r w:rsidRPr="007358CE" w:rsidR="00D9178C">
        <w:rPr>
          <w:snapToGrid w:val="0"/>
          <w:color w:val="000000" w:themeColor="text1"/>
        </w:rPr>
        <w:t xml:space="preserve"> FCC </w:t>
      </w:r>
      <w:r w:rsidRPr="007358CE" w:rsidR="00D9178C">
        <w:rPr>
          <w:snapToGrid w:val="0"/>
          <w:color w:val="000000" w:themeColor="text1"/>
        </w:rPr>
        <w:t>Rcd</w:t>
      </w:r>
      <w:r w:rsidRPr="007358CE" w:rsidR="00D9178C">
        <w:rPr>
          <w:snapToGrid w:val="0"/>
          <w:color w:val="000000" w:themeColor="text1"/>
        </w:rPr>
        <w:t xml:space="preserve"> 14</w:t>
      </w:r>
      <w:r w:rsidR="00D9178C">
        <w:rPr>
          <w:snapToGrid w:val="0"/>
          <w:color w:val="000000" w:themeColor="text1"/>
        </w:rPr>
        <w:t>879</w:t>
      </w:r>
      <w:r w:rsidRPr="007B5955" w:rsidR="00D9178C">
        <w:rPr>
          <w:snapToGrid w:val="0"/>
          <w:color w:val="000000" w:themeColor="text1"/>
        </w:rPr>
        <w:t xml:space="preserve"> (EB 20</w:t>
      </w:r>
      <w:r w:rsidR="00D9178C">
        <w:rPr>
          <w:snapToGrid w:val="0"/>
          <w:color w:val="000000" w:themeColor="text1"/>
        </w:rPr>
        <w:t>20</w:t>
      </w:r>
      <w:r w:rsidRPr="007B5955" w:rsidR="00D9178C">
        <w:rPr>
          <w:snapToGrid w:val="0"/>
          <w:color w:val="000000" w:themeColor="text1"/>
        </w:rPr>
        <w:t>)</w:t>
      </w:r>
      <w:r w:rsidR="00D9178C">
        <w:rPr>
          <w:snapToGrid w:val="0"/>
          <w:color w:val="000000" w:themeColor="text1"/>
        </w:rPr>
        <w:t xml:space="preserve">, </w:t>
      </w:r>
      <w:r w:rsidRPr="00A31616" w:rsidR="00D9178C">
        <w:rPr>
          <w:i/>
          <w:iCs/>
          <w:snapToGrid w:val="0"/>
          <w:color w:val="000000" w:themeColor="text1"/>
        </w:rPr>
        <w:t>amended by</w:t>
      </w:r>
      <w:r w:rsidR="00D9178C">
        <w:rPr>
          <w:snapToGrid w:val="0"/>
          <w:color w:val="000000" w:themeColor="text1"/>
        </w:rPr>
        <w:t xml:space="preserve"> Erratum,</w:t>
      </w:r>
      <w:r w:rsidRPr="005E26A3" w:rsidR="00D9178C">
        <w:t xml:space="preserve"> </w:t>
      </w:r>
      <w:r w:rsidRPr="00F26920" w:rsidR="00D9178C">
        <w:t xml:space="preserve">36 FCC </w:t>
      </w:r>
      <w:r w:rsidRPr="00F26920" w:rsidR="00D9178C">
        <w:t>Rcd</w:t>
      </w:r>
      <w:r w:rsidRPr="00F26920" w:rsidR="00D9178C">
        <w:t xml:space="preserve"> 1349</w:t>
      </w:r>
      <w:r w:rsidR="00D9178C">
        <w:t xml:space="preserve"> (EB 2021)</w:t>
      </w:r>
      <w:r w:rsidRPr="007C51DF" w:rsidR="00D9178C">
        <w:t>;</w:t>
      </w:r>
      <w:r w:rsidR="00D9178C">
        <w:t xml:space="preserve"> </w:t>
      </w:r>
      <w:r w:rsidRPr="007C51DF" w:rsidR="00D9178C">
        <w:rPr>
          <w:rStyle w:val="Emphasis"/>
        </w:rPr>
        <w:t>see also Annual Adjustment of Civil Monetary Penalties to Reflect Inflation</w:t>
      </w:r>
      <w:r w:rsidRPr="007C51DF" w:rsidR="00D9178C">
        <w:t xml:space="preserve">, </w:t>
      </w:r>
      <w:r w:rsidR="00D9178C">
        <w:t>86</w:t>
      </w:r>
      <w:r w:rsidRPr="007C51DF" w:rsidR="00D9178C">
        <w:t xml:space="preserve"> Fed. Reg. </w:t>
      </w:r>
      <w:r w:rsidR="00D9178C">
        <w:t>3830</w:t>
      </w:r>
      <w:r w:rsidRPr="007C51DF" w:rsidR="00D9178C">
        <w:t xml:space="preserve"> (Jan. 15, 20</w:t>
      </w:r>
      <w:r w:rsidR="00D9178C">
        <w:t>21</w:t>
      </w:r>
      <w:r w:rsidRPr="007C51DF" w:rsidR="00D9178C">
        <w:t>) (setting January 15, 20</w:t>
      </w:r>
      <w:r w:rsidR="00D9178C">
        <w:t>21</w:t>
      </w:r>
      <w:r w:rsidRPr="007C51DF" w:rsidR="00D9178C">
        <w:t>, as the effective date for the increases).</w:t>
      </w:r>
      <w:bookmarkEnd w:id="19"/>
    </w:p>
  </w:footnote>
  <w:footnote w:id="46">
    <w:p w:rsidR="00553EAB" w:rsidRPr="004C3F43" w14:paraId="4DA22AEB" w14:textId="629BF12B">
      <w:pPr>
        <w:pStyle w:val="FootnoteText"/>
        <w:rPr>
          <w:color w:val="000000"/>
        </w:rPr>
      </w:pPr>
      <w:r w:rsidRPr="004C3F43">
        <w:rPr>
          <w:rStyle w:val="FootnoteReference"/>
          <w:color w:val="000000"/>
        </w:rPr>
        <w:footnoteRef/>
      </w:r>
      <w:r w:rsidRPr="004C3F43">
        <w:rPr>
          <w:color w:val="000000"/>
        </w:rPr>
        <w:t xml:space="preserve"> </w:t>
      </w:r>
      <w:r w:rsidRPr="004C3F43">
        <w:rPr>
          <w:color w:val="000000"/>
        </w:rPr>
        <w:t>47 CFR § 1.80(b)(10)</w:t>
      </w:r>
      <w:r w:rsidRPr="004C3F43">
        <w:rPr>
          <w:color w:val="000000" w:themeColor="text1"/>
        </w:rPr>
        <w:t>.</w:t>
      </w:r>
      <w:r w:rsidRPr="004C3F43">
        <w:rPr>
          <w:color w:val="000000"/>
        </w:rPr>
        <w:t xml:space="preserve">  </w:t>
      </w:r>
    </w:p>
  </w:footnote>
  <w:footnote w:id="47">
    <w:p w:rsidR="00553EAB" w:rsidRPr="000740F1" w14:paraId="10011E1E" w14:textId="0BF78FB7">
      <w:pPr>
        <w:pStyle w:val="FootnoteText"/>
      </w:pPr>
      <w:r>
        <w:rPr>
          <w:rStyle w:val="FootnoteReference"/>
        </w:rPr>
        <w:footnoteRef/>
      </w:r>
      <w:r>
        <w:t xml:space="preserve"> </w:t>
      </w:r>
      <w:r>
        <w:rPr>
          <w:i/>
          <w:iCs/>
        </w:rPr>
        <w:t xml:space="preserve">Id. </w:t>
      </w:r>
      <w:r>
        <w:t>at Table 3.</w:t>
      </w:r>
    </w:p>
  </w:footnote>
  <w:footnote w:id="48">
    <w:p w:rsidR="00553EAB" w:rsidRPr="004C3F43" w14:paraId="615566B1" w14:textId="764EA07A">
      <w:pPr>
        <w:pStyle w:val="FootnoteText"/>
        <w:rPr>
          <w:color w:val="000000"/>
        </w:rPr>
      </w:pPr>
      <w:r w:rsidRPr="004C3F43">
        <w:rPr>
          <w:rStyle w:val="FootnoteReference"/>
          <w:color w:val="000000"/>
        </w:rPr>
        <w:footnoteRef/>
      </w:r>
      <w:r w:rsidRPr="004C3F43">
        <w:rPr>
          <w:color w:val="000000"/>
        </w:rPr>
        <w:t xml:space="preserve"> </w:t>
      </w:r>
      <w:r w:rsidRPr="004C3F43">
        <w:rPr>
          <w:i/>
          <w:color w:val="000000"/>
        </w:rPr>
        <w:t>Id</w:t>
      </w:r>
      <w:r w:rsidRPr="004C3F43">
        <w:rPr>
          <w:color w:val="000000"/>
        </w:rPr>
        <w:t xml:space="preserve">.  </w:t>
      </w:r>
    </w:p>
  </w:footnote>
  <w:footnote w:id="49">
    <w:p w:rsidR="00553EAB" w:rsidRPr="00981F23" w:rsidP="0023759D" w14:paraId="29402357" w14:textId="137FF589">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color w:val="000000" w:themeColor="text1"/>
        </w:rPr>
        <w:t xml:space="preserve">47 </w:t>
      </w:r>
      <w:r>
        <w:rPr>
          <w:color w:val="000000" w:themeColor="text1"/>
        </w:rPr>
        <w:t>CFR</w:t>
      </w:r>
      <w:r w:rsidRPr="00981F23">
        <w:rPr>
          <w:color w:val="000000" w:themeColor="text1"/>
        </w:rPr>
        <w:t xml:space="preserve"> § 1.80(b)</w:t>
      </w:r>
      <w:r>
        <w:rPr>
          <w:color w:val="000000" w:themeColor="text1"/>
        </w:rPr>
        <w:t>(10), Table 1.</w:t>
      </w:r>
    </w:p>
  </w:footnote>
  <w:footnote w:id="50">
    <w:p w:rsidR="00553EAB" w14:paraId="44CE8CDB" w14:textId="540D42EE">
      <w:pPr>
        <w:pStyle w:val="FootnoteText"/>
      </w:pPr>
      <w:r>
        <w:rPr>
          <w:rStyle w:val="FootnoteReference"/>
        </w:rPr>
        <w:footnoteRef/>
      </w:r>
      <w:r>
        <w:t xml:space="preserve"> </w:t>
      </w:r>
      <w:r w:rsidRPr="00791C1F">
        <w:rPr>
          <w:i/>
          <w:iCs/>
        </w:rPr>
        <w:t xml:space="preserve">See, e.g., CBS NAL </w:t>
      </w:r>
      <w:r w:rsidRPr="00791C1F">
        <w:t>at 8431, para. 36</w:t>
      </w:r>
      <w:r w:rsidR="00EF7E5D">
        <w:t>.</w:t>
      </w:r>
    </w:p>
  </w:footnote>
  <w:footnote w:id="51">
    <w:p w:rsidR="00553EAB" w:rsidRPr="00981F23" w:rsidP="0023759D" w14:paraId="1C988EAF"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xml:space="preserve">, Report and Order, 12 FCC </w:t>
      </w:r>
      <w:r w:rsidRPr="00981F23">
        <w:rPr>
          <w:color w:val="000000" w:themeColor="text1"/>
        </w:rPr>
        <w:t>Rcd</w:t>
      </w:r>
      <w:r w:rsidRPr="00981F23">
        <w:rPr>
          <w:color w:val="000000" w:themeColor="text1"/>
        </w:rPr>
        <w:t xml:space="preserve"> 17087, 17098–99, para. 22 (1997) (noting that “[a]</w:t>
      </w:r>
      <w:r w:rsidRPr="00981F23">
        <w:rPr>
          <w:color w:val="000000" w:themeColor="text1"/>
        </w:rPr>
        <w:t>lthough</w:t>
      </w:r>
      <w:r w:rsidRPr="00981F23">
        <w:rPr>
          <w:color w:val="000000" w:themeColor="text1"/>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81F23">
        <w:rPr>
          <w:i/>
          <w:color w:val="000000" w:themeColor="text1"/>
        </w:rPr>
        <w:t>Forfeiture Policy Statement</w:t>
      </w:r>
      <w:r w:rsidRPr="00981F23">
        <w:rPr>
          <w:color w:val="000000" w:themeColor="text1"/>
        </w:rPr>
        <w:t xml:space="preserve">), </w:t>
      </w:r>
      <w:r w:rsidRPr="00981F23">
        <w:rPr>
          <w:i/>
          <w:color w:val="000000" w:themeColor="text1"/>
        </w:rPr>
        <w:t>recons. denied</w:t>
      </w:r>
      <w:r w:rsidRPr="00981F23">
        <w:rPr>
          <w:color w:val="000000" w:themeColor="text1"/>
        </w:rPr>
        <w:t xml:space="preserve">, Memorandum Opinion and Order, 15 FCC </w:t>
      </w:r>
      <w:r w:rsidRPr="00981F23">
        <w:rPr>
          <w:color w:val="000000" w:themeColor="text1"/>
        </w:rPr>
        <w:t>Rcd</w:t>
      </w:r>
      <w:r w:rsidRPr="00981F23">
        <w:rPr>
          <w:color w:val="000000" w:themeColor="text1"/>
        </w:rPr>
        <w:t xml:space="preserve"> 303 (1999).</w:t>
      </w:r>
    </w:p>
  </w:footnote>
  <w:footnote w:id="52">
    <w:p w:rsidR="00553EAB" w:rsidRPr="004C3F43" w14:paraId="48679A28" w14:textId="416F7257">
      <w:pPr>
        <w:pStyle w:val="FootnoteText"/>
        <w:rPr>
          <w:iCs/>
        </w:rPr>
      </w:pPr>
      <w:r w:rsidRPr="004C3F43">
        <w:rPr>
          <w:rStyle w:val="FootnoteReference"/>
        </w:rPr>
        <w:footnoteRef/>
      </w:r>
      <w:r w:rsidRPr="004C3F43">
        <w:t xml:space="preserve"> </w:t>
      </w:r>
      <w:r w:rsidRPr="004C3F43">
        <w:rPr>
          <w:i/>
        </w:rPr>
        <w:t>See CBS NAL</w:t>
      </w:r>
      <w:r w:rsidRPr="004C3F43">
        <w:rPr>
          <w:iCs/>
        </w:rPr>
        <w:t xml:space="preserve">, </w:t>
      </w:r>
      <w:r w:rsidRPr="004C3F43">
        <w:t xml:space="preserve">34 FCC </w:t>
      </w:r>
      <w:r w:rsidRPr="004C3F43">
        <w:t>Rcd</w:t>
      </w:r>
      <w:r w:rsidRPr="004C3F43">
        <w:t xml:space="preserve"> </w:t>
      </w:r>
      <w:r w:rsidRPr="004C3F43">
        <w:rPr>
          <w:iCs/>
        </w:rPr>
        <w:t>at 8431, para. 37.</w:t>
      </w:r>
    </w:p>
  </w:footnote>
  <w:footnote w:id="53">
    <w:p w:rsidR="224F0C9F" w:rsidP="224F0C9F" w14:paraId="2C7DEC3C" w14:textId="2EDE2CB2">
      <w:pPr>
        <w:pStyle w:val="FootnoteText"/>
      </w:pPr>
      <w:r w:rsidRPr="224F0C9F">
        <w:rPr>
          <w:rStyle w:val="FootnoteReference"/>
        </w:rPr>
        <w:footnoteRef/>
      </w:r>
      <w:r>
        <w:t xml:space="preserve"> </w:t>
      </w:r>
      <w:r w:rsidRPr="224F0C9F">
        <w:rPr>
          <w:i/>
          <w:iCs/>
        </w:rPr>
        <w:t xml:space="preserve">See </w:t>
      </w:r>
      <w:r w:rsidR="00F90326">
        <w:rPr>
          <w:i/>
          <w:iCs/>
        </w:rPr>
        <w:t>id.</w:t>
      </w:r>
      <w:r>
        <w:t>.</w:t>
      </w:r>
    </w:p>
  </w:footnote>
  <w:footnote w:id="54">
    <w:p w:rsidR="00AD6656" w:rsidP="00AD6656" w14:paraId="4C34DBD1" w14:textId="7B7EE422">
      <w:pPr>
        <w:pStyle w:val="FootnoteText"/>
      </w:pPr>
      <w:r>
        <w:rPr>
          <w:rStyle w:val="FootnoteReference"/>
        </w:rPr>
        <w:footnoteRef/>
      </w:r>
      <w:r>
        <w:t xml:space="preserve"> </w:t>
      </w:r>
      <w:r>
        <w:rPr>
          <w:i/>
          <w:iCs/>
        </w:rPr>
        <w:t xml:space="preserve">See </w:t>
      </w:r>
      <w:r>
        <w:t>LOI Response at 2, Response to Question 3</w:t>
      </w:r>
      <w:r w:rsidR="00C2513A">
        <w:t>; LOI Response Supplement at 2</w:t>
      </w:r>
      <w:r>
        <w:t>.</w:t>
      </w:r>
    </w:p>
  </w:footnote>
  <w:footnote w:id="55">
    <w:p w:rsidR="007F5545" w:rsidRPr="00976E87" w:rsidP="007F5545" w14:paraId="53765F64" w14:textId="04B64994">
      <w:pPr>
        <w:pStyle w:val="FootnoteText"/>
        <w:rPr>
          <w:i/>
          <w:iCs/>
        </w:rPr>
      </w:pPr>
      <w:r>
        <w:rPr>
          <w:rStyle w:val="FootnoteReference"/>
        </w:rPr>
        <w:footnoteRef/>
      </w:r>
      <w:r w:rsidR="007A392D">
        <w:rPr>
          <w:i/>
        </w:rPr>
        <w:t xml:space="preserve"> </w:t>
      </w:r>
      <w:r w:rsidRPr="004C3F43">
        <w:rPr>
          <w:i/>
        </w:rPr>
        <w:t>See CBS NAL</w:t>
      </w:r>
      <w:r w:rsidRPr="004C3F43">
        <w:rPr>
          <w:iCs/>
        </w:rPr>
        <w:t xml:space="preserve">, </w:t>
      </w:r>
      <w:r w:rsidRPr="004C3F43">
        <w:t xml:space="preserve">34 FCC </w:t>
      </w:r>
      <w:r w:rsidRPr="004C3F43">
        <w:t>Rcd</w:t>
      </w:r>
      <w:r w:rsidRPr="004C3F43">
        <w:t xml:space="preserve"> </w:t>
      </w:r>
      <w:r w:rsidRPr="004C3F43">
        <w:rPr>
          <w:iCs/>
        </w:rPr>
        <w:t>at 8431, para. 3</w:t>
      </w:r>
      <w:r>
        <w:rPr>
          <w:iCs/>
        </w:rPr>
        <w:t>8.</w:t>
      </w:r>
    </w:p>
  </w:footnote>
  <w:footnote w:id="56">
    <w:p w:rsidR="007A392D" w:rsidRPr="00520B74" w:rsidP="00520B74" w14:paraId="20726C7E" w14:textId="55A551DB">
      <w:pPr>
        <w:spacing w:after="120"/>
      </w:pPr>
      <w:r>
        <w:rPr>
          <w:rStyle w:val="FootnoteReference"/>
        </w:rPr>
        <w:footnoteRef/>
      </w:r>
      <w:r>
        <w:t xml:space="preserve"> </w:t>
      </w:r>
      <w:r w:rsidRPr="008C4AD3" w:rsidR="00DF7494">
        <w:rPr>
          <w:sz w:val="20"/>
        </w:rPr>
        <w:t>Beasley initially reported that the programming aired on KDWN(AM) and FM translator K268CS</w:t>
      </w:r>
      <w:r w:rsidR="00C32037">
        <w:rPr>
          <w:sz w:val="20"/>
        </w:rPr>
        <w:t>,</w:t>
      </w:r>
      <w:r w:rsidRPr="008C4AD3" w:rsidR="00DF7494">
        <w:rPr>
          <w:sz w:val="20"/>
        </w:rPr>
        <w:t xml:space="preserve"> </w:t>
      </w:r>
      <w:r w:rsidR="00A21808">
        <w:rPr>
          <w:sz w:val="20"/>
        </w:rPr>
        <w:t xml:space="preserve">but did not notify the </w:t>
      </w:r>
      <w:r w:rsidR="00DD3796">
        <w:rPr>
          <w:sz w:val="20"/>
        </w:rPr>
        <w:t>Bureau</w:t>
      </w:r>
      <w:r w:rsidR="00A21808">
        <w:rPr>
          <w:sz w:val="20"/>
        </w:rPr>
        <w:t xml:space="preserve"> that the transmission was also carried on KKLZ-HD2</w:t>
      </w:r>
      <w:r w:rsidR="00917793">
        <w:rPr>
          <w:sz w:val="20"/>
        </w:rPr>
        <w:t>, the primary station rebroadcast by K268CS</w:t>
      </w:r>
      <w:r w:rsidR="00A21808">
        <w:rPr>
          <w:sz w:val="20"/>
        </w:rPr>
        <w:t>.</w:t>
      </w:r>
      <w:r w:rsidRPr="008C4AD3" w:rsidR="00DF7494">
        <w:rPr>
          <w:sz w:val="20"/>
        </w:rPr>
        <w:t xml:space="preserve">  LOI Response at 2, Response to Question 2(a).  Beasley did not correct its inaccurate LOI Response until November 12, 2021</w:t>
      </w:r>
      <w:r w:rsidR="00917793">
        <w:rPr>
          <w:sz w:val="20"/>
        </w:rPr>
        <w:t>, after the Bureau requested clarification</w:t>
      </w:r>
      <w:r w:rsidRPr="008C4AD3" w:rsidR="00DF7494">
        <w:rPr>
          <w:sz w:val="20"/>
        </w:rPr>
        <w:t>.  LOI Response Supplement at 2 (correcting the LOI Response to Question 2(a)).</w:t>
      </w:r>
      <w:r w:rsidR="009B4EB6">
        <w:rPr>
          <w:sz w:val="20"/>
        </w:rPr>
        <w:t xml:space="preserve">  </w:t>
      </w:r>
      <w:r w:rsidR="00A219E0">
        <w:rPr>
          <w:sz w:val="20"/>
        </w:rPr>
        <w:t xml:space="preserve">KKLZ-HD2’s </w:t>
      </w:r>
      <w:r w:rsidR="00C32037">
        <w:rPr>
          <w:sz w:val="20"/>
        </w:rPr>
        <w:t>re</w:t>
      </w:r>
      <w:r w:rsidR="00A219E0">
        <w:rPr>
          <w:sz w:val="20"/>
        </w:rPr>
        <w:t xml:space="preserve">broadcast of the false EAS Tones </w:t>
      </w:r>
      <w:r w:rsidR="00E35BE2">
        <w:rPr>
          <w:sz w:val="20"/>
        </w:rPr>
        <w:t xml:space="preserve">could be construed as </w:t>
      </w:r>
      <w:r w:rsidR="00C32037">
        <w:rPr>
          <w:sz w:val="20"/>
        </w:rPr>
        <w:t xml:space="preserve">a </w:t>
      </w:r>
      <w:r w:rsidR="00E35BE2">
        <w:rPr>
          <w:sz w:val="20"/>
        </w:rPr>
        <w:t xml:space="preserve">second </w:t>
      </w:r>
      <w:r w:rsidR="00DD3796">
        <w:rPr>
          <w:sz w:val="20"/>
        </w:rPr>
        <w:t xml:space="preserve">separate </w:t>
      </w:r>
      <w:r w:rsidR="00A219E0">
        <w:rPr>
          <w:sz w:val="20"/>
        </w:rPr>
        <w:t>violation of section 11.45(a) of the Commission’s rules</w:t>
      </w:r>
      <w:r w:rsidR="00C32037">
        <w:rPr>
          <w:sz w:val="20"/>
        </w:rPr>
        <w:t>, and the Commission could construe similar such rebroadcasts as additional violations of section 11.45(a) going forward.  Nonetheless,</w:t>
      </w:r>
      <w:r w:rsidR="00E35BE2">
        <w:rPr>
          <w:sz w:val="20"/>
        </w:rPr>
        <w:t xml:space="preserve"> we have decided instead here to consider the additional audience reach occasioned by the extension of KDWN’s transmission over K268CS and KKLZ-HD2 </w:t>
      </w:r>
      <w:r w:rsidR="00C32037">
        <w:rPr>
          <w:sz w:val="20"/>
        </w:rPr>
        <w:t>by</w:t>
      </w:r>
      <w:r w:rsidR="00E35BE2">
        <w:rPr>
          <w:sz w:val="20"/>
        </w:rPr>
        <w:t xml:space="preserve"> upwardly adjusting the forfeiture assessed against KDWN</w:t>
      </w:r>
      <w:r w:rsidRPr="00A219E0" w:rsidR="00A219E0">
        <w:rPr>
          <w:sz w:val="20"/>
        </w:rPr>
        <w:t>.</w:t>
      </w:r>
    </w:p>
  </w:footnote>
  <w:footnote w:id="57">
    <w:p w:rsidR="00DF7494" w:rsidP="00DF7494" w14:paraId="34905A8B" w14:textId="77777777">
      <w:pPr>
        <w:pStyle w:val="FootnoteText"/>
      </w:pPr>
      <w:r>
        <w:rPr>
          <w:rStyle w:val="FootnoteReference"/>
        </w:rPr>
        <w:footnoteRef/>
      </w:r>
      <w:r>
        <w:t xml:space="preserve"> </w:t>
      </w:r>
      <w:r w:rsidRPr="004C3F43">
        <w:rPr>
          <w:i/>
          <w:iCs/>
        </w:rPr>
        <w:t xml:space="preserve">See </w:t>
      </w:r>
      <w:r>
        <w:t>Spring 2020 Nielsen Rankings at 1.</w:t>
      </w:r>
    </w:p>
  </w:footnote>
  <w:footnote w:id="58">
    <w:p w:rsidR="00DF7494" w:rsidRPr="004C3F43" w:rsidP="00DF7494" w14:paraId="20EE47E9" w14:textId="77777777">
      <w:pPr>
        <w:pStyle w:val="FootnoteText"/>
      </w:pPr>
      <w:r w:rsidRPr="004C3F43">
        <w:rPr>
          <w:rStyle w:val="FootnoteReference"/>
        </w:rPr>
        <w:footnoteRef/>
      </w:r>
      <w:r w:rsidRPr="004C3F43">
        <w:t xml:space="preserve"> </w:t>
      </w:r>
      <w:r w:rsidRPr="004C3F43">
        <w:t xml:space="preserve">The Las Vegas market is ranked in the top 35 markets according to Nielsen ratings.  </w:t>
      </w:r>
      <w:r w:rsidRPr="004C3F43">
        <w:rPr>
          <w:i/>
          <w:iCs/>
        </w:rPr>
        <w:t xml:space="preserve">See </w:t>
      </w:r>
      <w:r w:rsidRPr="004313F5">
        <w:t>Radio Market Survey Population, Rankings, &amp; Information</w:t>
      </w:r>
      <w:r w:rsidRPr="004C3F43">
        <w:t xml:space="preserve"> at 1 (Spring 2020), </w:t>
      </w:r>
      <w:hyperlink r:id="rId3" w:history="1">
        <w:r w:rsidRPr="004C3F43">
          <w:rPr>
            <w:rStyle w:val="Hyperlink"/>
          </w:rPr>
          <w:t>https://www.nielsen.com/wp-content/uploads/sites/3/2020/07/radio-market-survey-population-rankings-information.pdf</w:t>
        </w:r>
      </w:hyperlink>
      <w:r w:rsidRPr="004C3F43">
        <w:t xml:space="preserve"> (listing the Las Vegas market as ranked 31 out of 262 markets)</w:t>
      </w:r>
      <w:r>
        <w:t xml:space="preserve"> (Spring 2020 Nielsen Rankings)</w:t>
      </w:r>
      <w:r w:rsidRPr="004C3F43">
        <w:t>.</w:t>
      </w:r>
    </w:p>
  </w:footnote>
  <w:footnote w:id="59">
    <w:p w:rsidR="007F5545" w:rsidP="007F5545" w14:paraId="06781E77" w14:textId="77777777">
      <w:pPr>
        <w:pStyle w:val="FootnoteText"/>
      </w:pPr>
      <w:r>
        <w:rPr>
          <w:rStyle w:val="FootnoteReference"/>
        </w:rPr>
        <w:footnoteRef/>
      </w:r>
      <w:r>
        <w:t xml:space="preserve"> </w:t>
      </w:r>
      <w:r w:rsidRPr="0005139D">
        <w:t>47 CFR § 1.80(b)(10)</w:t>
      </w:r>
      <w:r>
        <w:t>, Table 3 (downward adjustment factors include minor violations, good faith or voluntary disclosure, history of overall compliance, and inability to pay).</w:t>
      </w:r>
    </w:p>
  </w:footnote>
  <w:footnote w:id="60">
    <w:p w:rsidR="00553EAB" w:rsidRPr="004C3F43" w14:paraId="49591B41" w14:textId="292C72BB">
      <w:pPr>
        <w:pStyle w:val="FootnoteText"/>
      </w:pPr>
      <w:r w:rsidRPr="00C051E9">
        <w:rPr>
          <w:rStyle w:val="FootnoteReference"/>
        </w:rPr>
        <w:footnoteRef/>
      </w:r>
      <w:r w:rsidRPr="00C051E9">
        <w:t xml:space="preserve"> </w:t>
      </w:r>
      <w:r w:rsidRPr="00C051E9">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61">
    <w:p w:rsidR="00553EAB" w:rsidRPr="004C3F43" w14:paraId="1B14E5A4" w14:textId="1C564BD2">
      <w:pPr>
        <w:pStyle w:val="FootnoteText"/>
      </w:pPr>
      <w:r w:rsidRPr="004C3F43">
        <w:rPr>
          <w:rStyle w:val="FootnoteReference"/>
        </w:rPr>
        <w:footnoteRef/>
      </w:r>
      <w:r w:rsidRPr="004C3F43">
        <w:t xml:space="preserve"> </w:t>
      </w:r>
      <w:r w:rsidRPr="004C3F43">
        <w:t>47 U.S.C. § 503(b).</w:t>
      </w:r>
    </w:p>
  </w:footnote>
  <w:footnote w:id="62">
    <w:p w:rsidR="00553EAB" w:rsidRPr="004C3F43" w14:paraId="5BA7564D" w14:textId="77777777">
      <w:pPr>
        <w:pStyle w:val="FootnoteText"/>
      </w:pPr>
      <w:r w:rsidRPr="004C3F43">
        <w:rPr>
          <w:rStyle w:val="FootnoteReference"/>
        </w:rPr>
        <w:footnoteRef/>
      </w:r>
      <w:r w:rsidRPr="004C3F43">
        <w:t xml:space="preserve"> </w:t>
      </w:r>
      <w:r w:rsidRPr="004C3F43">
        <w:t>47 CFR § 1.80.</w:t>
      </w:r>
    </w:p>
  </w:footnote>
  <w:footnote w:id="63">
    <w:p w:rsidR="00553EAB" w:rsidRPr="004C3F43" w14:paraId="3DA6BE36" w14:textId="251F13B0">
      <w:pPr>
        <w:pStyle w:val="FootnoteText"/>
      </w:pPr>
      <w:r w:rsidRPr="004C3F43">
        <w:rPr>
          <w:rStyle w:val="FootnoteReference"/>
        </w:rPr>
        <w:footnoteRef/>
      </w:r>
      <w:r w:rsidRPr="004C3F43">
        <w:t xml:space="preserve"> </w:t>
      </w:r>
      <w:r w:rsidRPr="004C3F43">
        <w:rPr>
          <w:i/>
        </w:rPr>
        <w:t>Id.</w:t>
      </w:r>
      <w:r w:rsidRPr="004C3F43">
        <w:t xml:space="preserve"> § 11.45(a), (b).</w:t>
      </w:r>
    </w:p>
  </w:footnote>
  <w:footnote w:id="64">
    <w:p w:rsidR="00553EAB" w:rsidRPr="004C3F43" w14:paraId="1A768928" w14:textId="77777777">
      <w:pPr>
        <w:pStyle w:val="FootnoteText"/>
        <w:rPr>
          <w:color w:val="000000"/>
        </w:rPr>
      </w:pPr>
      <w:r w:rsidRPr="004C3F43">
        <w:rPr>
          <w:rStyle w:val="FootnoteReference"/>
          <w:color w:val="000000"/>
        </w:rPr>
        <w:footnoteRef/>
      </w:r>
      <w:r w:rsidRPr="004C3F43">
        <w:rPr>
          <w:color w:val="000000"/>
        </w:rPr>
        <w:t xml:space="preserve"> </w:t>
      </w:r>
      <w:r w:rsidRPr="004C3F43">
        <w:rPr>
          <w:color w:val="000000"/>
        </w:rPr>
        <w:t>47 CFR § 1.80.</w:t>
      </w:r>
    </w:p>
  </w:footnote>
  <w:footnote w:id="65">
    <w:p w:rsidR="00553EAB" w:rsidRPr="004C3F43" w14:paraId="716AC8B2" w14:textId="77777777">
      <w:pPr>
        <w:pStyle w:val="FootnoteText"/>
      </w:pPr>
      <w:r w:rsidRPr="004C3F43">
        <w:rPr>
          <w:rStyle w:val="FootnoteReference"/>
        </w:rPr>
        <w:footnoteRef/>
      </w:r>
      <w:r w:rsidRPr="004C3F43">
        <w:t xml:space="preserve"> </w:t>
      </w:r>
      <w:r w:rsidRPr="004C3F43">
        <w:t>Payments made using the Commission’s Fee Filer system do not require the submission of an FCC Form 159.</w:t>
      </w:r>
    </w:p>
  </w:footnote>
  <w:footnote w:id="66">
    <w:p w:rsidR="00553EAB" w:rsidRPr="004313F5" w14:paraId="28A237DF" w14:textId="77777777">
      <w:pPr>
        <w:pStyle w:val="FootnoteText"/>
      </w:pPr>
      <w:r w:rsidRPr="004C3F43">
        <w:rPr>
          <w:rStyle w:val="FootnoteReference"/>
        </w:rPr>
        <w:footnoteRef/>
      </w:r>
      <w:r w:rsidRPr="004C3F43">
        <w:t xml:space="preserve"> </w:t>
      </w:r>
      <w:r w:rsidRPr="004C3F43">
        <w:t xml:space="preserve">For questions regarding payment procedures, please contact the Financial Operations Group Help Desk by phone at 1-877-480-3201 (option #6), or by e-mail at </w:t>
      </w:r>
      <w:hyperlink r:id="rId4" w:history="1">
        <w:r w:rsidRPr="004C3F43">
          <w:rPr>
            <w:rStyle w:val="Hyperlink"/>
          </w:rPr>
          <w:t>ARINQUIRIES@fcc.gov</w:t>
        </w:r>
      </w:hyperlink>
      <w:r w:rsidRPr="004C3F43">
        <w:t>.</w:t>
      </w:r>
    </w:p>
  </w:footnote>
  <w:footnote w:id="67">
    <w:p w:rsidR="00553EAB" w:rsidRPr="004C3F43" w14:paraId="78690029" w14:textId="77777777">
      <w:pPr>
        <w:pStyle w:val="FootnoteText"/>
      </w:pPr>
      <w:r w:rsidRPr="004C3F43">
        <w:rPr>
          <w:rStyle w:val="FootnoteReference"/>
        </w:rPr>
        <w:footnoteRef/>
      </w:r>
      <w:r w:rsidRPr="004C3F43">
        <w:t xml:space="preserve"> </w:t>
      </w:r>
      <w:r w:rsidRPr="004C3F43">
        <w:t xml:space="preserve">Instructions for completing the form may be obtained at </w:t>
      </w:r>
      <w:hyperlink r:id="rId5" w:history="1">
        <w:r w:rsidRPr="004C3F43">
          <w:rPr>
            <w:rStyle w:val="Hyperlink"/>
          </w:rPr>
          <w:t>http://www.fcc.gov/Forms/Form159/159.pdf</w:t>
        </w:r>
      </w:hyperlink>
      <w:r w:rsidRPr="004C3F43">
        <w:t xml:space="preserve">. </w:t>
      </w:r>
    </w:p>
  </w:footnote>
  <w:footnote w:id="68">
    <w:p w:rsidR="00553EAB" w:rsidRPr="004C3F43" w14:paraId="078BDA11" w14:textId="77777777">
      <w:pPr>
        <w:pStyle w:val="FootnoteText"/>
      </w:pPr>
      <w:r w:rsidRPr="004C3F43">
        <w:rPr>
          <w:rStyle w:val="FootnoteReference"/>
        </w:rPr>
        <w:footnoteRef/>
      </w:r>
      <w:r w:rsidRPr="004C3F43">
        <w:t xml:space="preserve"> </w:t>
      </w:r>
      <w:r w:rsidRPr="004C3F43">
        <w:rPr>
          <w:i/>
        </w:rPr>
        <w:t>See</w:t>
      </w:r>
      <w:r w:rsidRPr="004C3F43">
        <w:t xml:space="preserve"> 47 CFR § 1.1914.</w:t>
      </w:r>
    </w:p>
  </w:footnote>
  <w:footnote w:id="69">
    <w:p w:rsidR="00553EAB" w:rsidRPr="004C3F43" w14:paraId="61175CED" w14:textId="2C5ADC20">
      <w:pPr>
        <w:pStyle w:val="FootnoteText"/>
      </w:pPr>
      <w:r w:rsidRPr="004C3F43">
        <w:rPr>
          <w:rStyle w:val="FootnoteReference"/>
        </w:rPr>
        <w:footnoteRef/>
      </w:r>
      <w:r w:rsidRPr="004C3F43">
        <w:t xml:space="preserve"> </w:t>
      </w:r>
      <w:r w:rsidRPr="004C3F43">
        <w:rPr>
          <w:i/>
        </w:rPr>
        <w:t>Id.</w:t>
      </w:r>
      <w:r w:rsidRPr="004C3F43">
        <w:t xml:space="preserve"> §§ 1.16, 1.80(f)(3).</w:t>
      </w:r>
    </w:p>
  </w:footnote>
  <w:footnote w:id="70">
    <w:p w:rsidR="00553EAB" w:rsidRPr="004C3F43" w14:paraId="05964597" w14:textId="77777777">
      <w:pPr>
        <w:pStyle w:val="FootnoteText"/>
      </w:pPr>
      <w:r w:rsidRPr="004C3F43">
        <w:rPr>
          <w:rStyle w:val="FootnoteReference"/>
        </w:rPr>
        <w:footnoteRef/>
      </w:r>
      <w:r w:rsidRPr="004C3F43">
        <w:t xml:space="preserve"> </w:t>
      </w:r>
      <w:r w:rsidRPr="004C3F43">
        <w:t>47 U.S.C. § 503(b)(2)(E).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EAB" w:rsidP="00810B6F" w14:paraId="75A2F486" w14:textId="66F53112">
    <w:pPr>
      <w:pStyle w:val="Header"/>
      <w:rPr>
        <w:b w:val="0"/>
      </w:rPr>
    </w:pPr>
    <w:r>
      <w:tab/>
    </w:r>
    <w:r>
      <w:t>Federal Communications Commission</w:t>
    </w:r>
    <w:r>
      <w:tab/>
      <w:t>DA 21-</w:t>
    </w:r>
    <w:r w:rsidR="00404083">
      <w:t>1353</w:t>
    </w:r>
  </w:p>
  <w:p w:rsidR="00553EAB" w14:paraId="078BBE95" w14:textId="107DD7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53EAB" w14:paraId="171AFE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EAB" w:rsidP="00810B6F" w14:paraId="3908B033" w14:textId="6F9C8BB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Pr="007D261C">
      <w:rPr>
        <w:spacing w:val="-2"/>
      </w:rPr>
      <w:t>DA 21-</w:t>
    </w:r>
    <w:r w:rsidR="00404083">
      <w:rPr>
        <w:spacing w:val="-2"/>
      </w:rPr>
      <w:t>1353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E45FC8"/>
    <w:multiLevelType w:val="hybridMultilevel"/>
    <w:tmpl w:val="9A3428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7">
    <w:nsid w:val="432817C4"/>
    <w:multiLevelType w:val="multilevel"/>
    <w:tmpl w:val="010C6432"/>
    <w:lvl w:ilvl="0">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013D88"/>
    <w:multiLevelType w:val="hybridMultilevel"/>
    <w:tmpl w:val="AD7E4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B86B54"/>
    <w:multiLevelType w:val="hybridMultilevel"/>
    <w:tmpl w:val="5ED8E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2"/>
  </w:num>
  <w:num w:numId="3">
    <w:abstractNumId w:val="11"/>
  </w:num>
  <w:num w:numId="4">
    <w:abstractNumId w:val="4"/>
  </w:num>
  <w:num w:numId="5">
    <w:abstractNumId w:val="8"/>
  </w:num>
  <w:num w:numId="6">
    <w:abstractNumId w:val="3"/>
  </w:num>
  <w:num w:numId="7">
    <w:abstractNumId w:val="0"/>
  </w:num>
  <w:num w:numId="8">
    <w:abstractNumId w:val="6"/>
  </w:num>
  <w:num w:numId="9">
    <w:abstractNumId w:val="4"/>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5F"/>
    <w:rsid w:val="000002C4"/>
    <w:rsid w:val="00000702"/>
    <w:rsid w:val="0000182F"/>
    <w:rsid w:val="00002A34"/>
    <w:rsid w:val="000069C0"/>
    <w:rsid w:val="00006B79"/>
    <w:rsid w:val="000117D9"/>
    <w:rsid w:val="00013790"/>
    <w:rsid w:val="000151E2"/>
    <w:rsid w:val="0001545B"/>
    <w:rsid w:val="00017627"/>
    <w:rsid w:val="00020789"/>
    <w:rsid w:val="00024378"/>
    <w:rsid w:val="0002752A"/>
    <w:rsid w:val="00027BB6"/>
    <w:rsid w:val="00032962"/>
    <w:rsid w:val="00033B1D"/>
    <w:rsid w:val="00035380"/>
    <w:rsid w:val="000354AC"/>
    <w:rsid w:val="00036039"/>
    <w:rsid w:val="00037F90"/>
    <w:rsid w:val="00042222"/>
    <w:rsid w:val="000424D5"/>
    <w:rsid w:val="0004296C"/>
    <w:rsid w:val="00043381"/>
    <w:rsid w:val="000438BD"/>
    <w:rsid w:val="000444E4"/>
    <w:rsid w:val="0005139D"/>
    <w:rsid w:val="00052DDE"/>
    <w:rsid w:val="00053795"/>
    <w:rsid w:val="00055C71"/>
    <w:rsid w:val="00057554"/>
    <w:rsid w:val="00060B5B"/>
    <w:rsid w:val="00063FF5"/>
    <w:rsid w:val="00065275"/>
    <w:rsid w:val="00066FEC"/>
    <w:rsid w:val="0007044C"/>
    <w:rsid w:val="0007058A"/>
    <w:rsid w:val="0007088D"/>
    <w:rsid w:val="000710DA"/>
    <w:rsid w:val="000740F1"/>
    <w:rsid w:val="0007430D"/>
    <w:rsid w:val="000743C6"/>
    <w:rsid w:val="00074965"/>
    <w:rsid w:val="00074F8A"/>
    <w:rsid w:val="00075EED"/>
    <w:rsid w:val="00077132"/>
    <w:rsid w:val="000803E2"/>
    <w:rsid w:val="000813EF"/>
    <w:rsid w:val="00081680"/>
    <w:rsid w:val="000830B8"/>
    <w:rsid w:val="000830E0"/>
    <w:rsid w:val="000837C7"/>
    <w:rsid w:val="00083879"/>
    <w:rsid w:val="00083962"/>
    <w:rsid w:val="000875BF"/>
    <w:rsid w:val="00091922"/>
    <w:rsid w:val="00091EA4"/>
    <w:rsid w:val="000947C5"/>
    <w:rsid w:val="00096C84"/>
    <w:rsid w:val="00096D8C"/>
    <w:rsid w:val="000A2169"/>
    <w:rsid w:val="000A2DA2"/>
    <w:rsid w:val="000A72DE"/>
    <w:rsid w:val="000A7B3A"/>
    <w:rsid w:val="000B156E"/>
    <w:rsid w:val="000B3083"/>
    <w:rsid w:val="000B6D3F"/>
    <w:rsid w:val="000C0B65"/>
    <w:rsid w:val="000C1C79"/>
    <w:rsid w:val="000C3DDD"/>
    <w:rsid w:val="000C420D"/>
    <w:rsid w:val="000D063F"/>
    <w:rsid w:val="000D189B"/>
    <w:rsid w:val="000D467F"/>
    <w:rsid w:val="000D7B9F"/>
    <w:rsid w:val="000E05FE"/>
    <w:rsid w:val="000E2691"/>
    <w:rsid w:val="000E2CB7"/>
    <w:rsid w:val="000E31C2"/>
    <w:rsid w:val="000E3D42"/>
    <w:rsid w:val="000E5A5E"/>
    <w:rsid w:val="000E6DEB"/>
    <w:rsid w:val="000E72C4"/>
    <w:rsid w:val="000F3B0E"/>
    <w:rsid w:val="000F4D47"/>
    <w:rsid w:val="000F5A20"/>
    <w:rsid w:val="000F5E4E"/>
    <w:rsid w:val="000F7774"/>
    <w:rsid w:val="000F7F12"/>
    <w:rsid w:val="00100DE4"/>
    <w:rsid w:val="001011BA"/>
    <w:rsid w:val="00102F85"/>
    <w:rsid w:val="00105174"/>
    <w:rsid w:val="00106A41"/>
    <w:rsid w:val="0010760B"/>
    <w:rsid w:val="001111CD"/>
    <w:rsid w:val="0011167E"/>
    <w:rsid w:val="001144FD"/>
    <w:rsid w:val="00115C18"/>
    <w:rsid w:val="001172F7"/>
    <w:rsid w:val="00121C2A"/>
    <w:rsid w:val="00122BD5"/>
    <w:rsid w:val="001259A0"/>
    <w:rsid w:val="00127E99"/>
    <w:rsid w:val="00131954"/>
    <w:rsid w:val="00133F79"/>
    <w:rsid w:val="00134225"/>
    <w:rsid w:val="0013587C"/>
    <w:rsid w:val="00136118"/>
    <w:rsid w:val="00137F12"/>
    <w:rsid w:val="00137F7C"/>
    <w:rsid w:val="00143713"/>
    <w:rsid w:val="0014673D"/>
    <w:rsid w:val="001513D0"/>
    <w:rsid w:val="00151C34"/>
    <w:rsid w:val="00152362"/>
    <w:rsid w:val="00152C90"/>
    <w:rsid w:val="0015323E"/>
    <w:rsid w:val="001533AA"/>
    <w:rsid w:val="00155741"/>
    <w:rsid w:val="00160FBF"/>
    <w:rsid w:val="00163DB0"/>
    <w:rsid w:val="0016465C"/>
    <w:rsid w:val="001672BF"/>
    <w:rsid w:val="00167F27"/>
    <w:rsid w:val="00171DCE"/>
    <w:rsid w:val="001723F8"/>
    <w:rsid w:val="00172479"/>
    <w:rsid w:val="00175B8F"/>
    <w:rsid w:val="0017734B"/>
    <w:rsid w:val="00177A51"/>
    <w:rsid w:val="001804D2"/>
    <w:rsid w:val="00181B97"/>
    <w:rsid w:val="00181C3C"/>
    <w:rsid w:val="00181E4E"/>
    <w:rsid w:val="00182ED8"/>
    <w:rsid w:val="001879BE"/>
    <w:rsid w:val="00190633"/>
    <w:rsid w:val="0019182C"/>
    <w:rsid w:val="00194A66"/>
    <w:rsid w:val="001956EC"/>
    <w:rsid w:val="0019653D"/>
    <w:rsid w:val="00197C95"/>
    <w:rsid w:val="001A151F"/>
    <w:rsid w:val="001A40A7"/>
    <w:rsid w:val="001A4BB9"/>
    <w:rsid w:val="001A4BD2"/>
    <w:rsid w:val="001A73B4"/>
    <w:rsid w:val="001A7525"/>
    <w:rsid w:val="001A7899"/>
    <w:rsid w:val="001B19E5"/>
    <w:rsid w:val="001B20EF"/>
    <w:rsid w:val="001B67A2"/>
    <w:rsid w:val="001B7291"/>
    <w:rsid w:val="001B75E8"/>
    <w:rsid w:val="001C0364"/>
    <w:rsid w:val="001C0437"/>
    <w:rsid w:val="001C0559"/>
    <w:rsid w:val="001C3D4E"/>
    <w:rsid w:val="001D24C8"/>
    <w:rsid w:val="001D3526"/>
    <w:rsid w:val="001D6635"/>
    <w:rsid w:val="001D6BCF"/>
    <w:rsid w:val="001E01CA"/>
    <w:rsid w:val="001E2677"/>
    <w:rsid w:val="001E2C47"/>
    <w:rsid w:val="001E3847"/>
    <w:rsid w:val="001E657A"/>
    <w:rsid w:val="001E685D"/>
    <w:rsid w:val="001E7319"/>
    <w:rsid w:val="001E76B9"/>
    <w:rsid w:val="001F162E"/>
    <w:rsid w:val="001F1D13"/>
    <w:rsid w:val="001F1F4D"/>
    <w:rsid w:val="001F2F83"/>
    <w:rsid w:val="001F54F0"/>
    <w:rsid w:val="001F5576"/>
    <w:rsid w:val="001F5E46"/>
    <w:rsid w:val="001F75A5"/>
    <w:rsid w:val="00201A97"/>
    <w:rsid w:val="00202F45"/>
    <w:rsid w:val="002106D4"/>
    <w:rsid w:val="002120EC"/>
    <w:rsid w:val="0021424C"/>
    <w:rsid w:val="002159D6"/>
    <w:rsid w:val="00217856"/>
    <w:rsid w:val="00217D41"/>
    <w:rsid w:val="0022321F"/>
    <w:rsid w:val="00225AE0"/>
    <w:rsid w:val="00230169"/>
    <w:rsid w:val="00231BCB"/>
    <w:rsid w:val="00232727"/>
    <w:rsid w:val="00232FF0"/>
    <w:rsid w:val="002350A3"/>
    <w:rsid w:val="00236CDF"/>
    <w:rsid w:val="00237267"/>
    <w:rsid w:val="0023759D"/>
    <w:rsid w:val="0024268C"/>
    <w:rsid w:val="00243683"/>
    <w:rsid w:val="00245090"/>
    <w:rsid w:val="0024547F"/>
    <w:rsid w:val="00253515"/>
    <w:rsid w:val="00253C4F"/>
    <w:rsid w:val="00257E67"/>
    <w:rsid w:val="0026014E"/>
    <w:rsid w:val="00261FE9"/>
    <w:rsid w:val="00262207"/>
    <w:rsid w:val="00262462"/>
    <w:rsid w:val="00264C87"/>
    <w:rsid w:val="00267728"/>
    <w:rsid w:val="00267E0B"/>
    <w:rsid w:val="002703A0"/>
    <w:rsid w:val="00270936"/>
    <w:rsid w:val="00273C15"/>
    <w:rsid w:val="00274020"/>
    <w:rsid w:val="002750DA"/>
    <w:rsid w:val="002751B4"/>
    <w:rsid w:val="00275CF5"/>
    <w:rsid w:val="00275E63"/>
    <w:rsid w:val="0027676A"/>
    <w:rsid w:val="00280AF3"/>
    <w:rsid w:val="00280B75"/>
    <w:rsid w:val="00282E09"/>
    <w:rsid w:val="00282E47"/>
    <w:rsid w:val="0028301F"/>
    <w:rsid w:val="00283347"/>
    <w:rsid w:val="00283360"/>
    <w:rsid w:val="00283D4E"/>
    <w:rsid w:val="00284794"/>
    <w:rsid w:val="00285017"/>
    <w:rsid w:val="00290A87"/>
    <w:rsid w:val="00292BEB"/>
    <w:rsid w:val="0029336B"/>
    <w:rsid w:val="00295D5D"/>
    <w:rsid w:val="00296862"/>
    <w:rsid w:val="002A2D2E"/>
    <w:rsid w:val="002A4E26"/>
    <w:rsid w:val="002A4EA4"/>
    <w:rsid w:val="002A5BE3"/>
    <w:rsid w:val="002A6756"/>
    <w:rsid w:val="002A6B27"/>
    <w:rsid w:val="002A6B28"/>
    <w:rsid w:val="002A6DA3"/>
    <w:rsid w:val="002A6EF0"/>
    <w:rsid w:val="002B2E5E"/>
    <w:rsid w:val="002B7D7A"/>
    <w:rsid w:val="002B7DEB"/>
    <w:rsid w:val="002C00E8"/>
    <w:rsid w:val="002C0628"/>
    <w:rsid w:val="002C4D39"/>
    <w:rsid w:val="002C6594"/>
    <w:rsid w:val="002C7074"/>
    <w:rsid w:val="002C7B02"/>
    <w:rsid w:val="002D0003"/>
    <w:rsid w:val="002D1958"/>
    <w:rsid w:val="002D49C6"/>
    <w:rsid w:val="002D65AF"/>
    <w:rsid w:val="002E01C2"/>
    <w:rsid w:val="002E083F"/>
    <w:rsid w:val="002E150A"/>
    <w:rsid w:val="002E33DD"/>
    <w:rsid w:val="002E5508"/>
    <w:rsid w:val="002E6BE1"/>
    <w:rsid w:val="002E7032"/>
    <w:rsid w:val="002E7537"/>
    <w:rsid w:val="002E76E0"/>
    <w:rsid w:val="002F18E4"/>
    <w:rsid w:val="002F1AFD"/>
    <w:rsid w:val="002F2E14"/>
    <w:rsid w:val="002F37DA"/>
    <w:rsid w:val="002F4F17"/>
    <w:rsid w:val="00300089"/>
    <w:rsid w:val="00301530"/>
    <w:rsid w:val="0030296B"/>
    <w:rsid w:val="00303272"/>
    <w:rsid w:val="003040E2"/>
    <w:rsid w:val="00305F3D"/>
    <w:rsid w:val="003065E0"/>
    <w:rsid w:val="0030700E"/>
    <w:rsid w:val="00314AB1"/>
    <w:rsid w:val="00315638"/>
    <w:rsid w:val="00315952"/>
    <w:rsid w:val="00315ECA"/>
    <w:rsid w:val="00321197"/>
    <w:rsid w:val="00322A74"/>
    <w:rsid w:val="0032485A"/>
    <w:rsid w:val="0032507C"/>
    <w:rsid w:val="003268B9"/>
    <w:rsid w:val="00330ACA"/>
    <w:rsid w:val="0033373B"/>
    <w:rsid w:val="00333FB0"/>
    <w:rsid w:val="003343B7"/>
    <w:rsid w:val="00335882"/>
    <w:rsid w:val="003363F3"/>
    <w:rsid w:val="00336802"/>
    <w:rsid w:val="0033737B"/>
    <w:rsid w:val="003405E5"/>
    <w:rsid w:val="00341B5A"/>
    <w:rsid w:val="00343749"/>
    <w:rsid w:val="003449CF"/>
    <w:rsid w:val="003451A7"/>
    <w:rsid w:val="00345630"/>
    <w:rsid w:val="0034598B"/>
    <w:rsid w:val="0034622A"/>
    <w:rsid w:val="003473C1"/>
    <w:rsid w:val="003501B3"/>
    <w:rsid w:val="00350B78"/>
    <w:rsid w:val="00351AB2"/>
    <w:rsid w:val="003542DA"/>
    <w:rsid w:val="003558B7"/>
    <w:rsid w:val="00355E95"/>
    <w:rsid w:val="00362462"/>
    <w:rsid w:val="00363B96"/>
    <w:rsid w:val="003660ED"/>
    <w:rsid w:val="003670B1"/>
    <w:rsid w:val="0037110C"/>
    <w:rsid w:val="0037159B"/>
    <w:rsid w:val="00375201"/>
    <w:rsid w:val="00375FB3"/>
    <w:rsid w:val="00377ADB"/>
    <w:rsid w:val="00377FAF"/>
    <w:rsid w:val="00381804"/>
    <w:rsid w:val="0038285B"/>
    <w:rsid w:val="003842F3"/>
    <w:rsid w:val="003844C8"/>
    <w:rsid w:val="00385833"/>
    <w:rsid w:val="003915E0"/>
    <w:rsid w:val="003916C7"/>
    <w:rsid w:val="003945AF"/>
    <w:rsid w:val="00395272"/>
    <w:rsid w:val="003A0C80"/>
    <w:rsid w:val="003A105D"/>
    <w:rsid w:val="003A1998"/>
    <w:rsid w:val="003A21C2"/>
    <w:rsid w:val="003A2DBF"/>
    <w:rsid w:val="003A48A5"/>
    <w:rsid w:val="003A53EB"/>
    <w:rsid w:val="003A7232"/>
    <w:rsid w:val="003A7491"/>
    <w:rsid w:val="003B0550"/>
    <w:rsid w:val="003B694F"/>
    <w:rsid w:val="003B7FF4"/>
    <w:rsid w:val="003C128E"/>
    <w:rsid w:val="003C287D"/>
    <w:rsid w:val="003C5E8A"/>
    <w:rsid w:val="003C739A"/>
    <w:rsid w:val="003C7C35"/>
    <w:rsid w:val="003D1A97"/>
    <w:rsid w:val="003D1CC6"/>
    <w:rsid w:val="003D2076"/>
    <w:rsid w:val="003D225F"/>
    <w:rsid w:val="003D2B53"/>
    <w:rsid w:val="003D4588"/>
    <w:rsid w:val="003D58F8"/>
    <w:rsid w:val="003D5F00"/>
    <w:rsid w:val="003D6FE3"/>
    <w:rsid w:val="003D7549"/>
    <w:rsid w:val="003D785C"/>
    <w:rsid w:val="003E2BD2"/>
    <w:rsid w:val="003E711C"/>
    <w:rsid w:val="003F171C"/>
    <w:rsid w:val="003F182C"/>
    <w:rsid w:val="003F4623"/>
    <w:rsid w:val="003F57E5"/>
    <w:rsid w:val="003F65F6"/>
    <w:rsid w:val="003F6896"/>
    <w:rsid w:val="003F68B0"/>
    <w:rsid w:val="003F7B6A"/>
    <w:rsid w:val="004013B4"/>
    <w:rsid w:val="00402DEC"/>
    <w:rsid w:val="00402F8B"/>
    <w:rsid w:val="00404083"/>
    <w:rsid w:val="00404B8E"/>
    <w:rsid w:val="00405F10"/>
    <w:rsid w:val="00406440"/>
    <w:rsid w:val="00412FC5"/>
    <w:rsid w:val="0041327B"/>
    <w:rsid w:val="00413719"/>
    <w:rsid w:val="004145C0"/>
    <w:rsid w:val="004145E8"/>
    <w:rsid w:val="00414D0A"/>
    <w:rsid w:val="004161C2"/>
    <w:rsid w:val="0041771A"/>
    <w:rsid w:val="00420E45"/>
    <w:rsid w:val="00422276"/>
    <w:rsid w:val="00422DEB"/>
    <w:rsid w:val="00423C27"/>
    <w:rsid w:val="00423F60"/>
    <w:rsid w:val="004242F1"/>
    <w:rsid w:val="004249F0"/>
    <w:rsid w:val="00425978"/>
    <w:rsid w:val="0042653B"/>
    <w:rsid w:val="0042659F"/>
    <w:rsid w:val="00426D81"/>
    <w:rsid w:val="0042735F"/>
    <w:rsid w:val="004313F5"/>
    <w:rsid w:val="004339D5"/>
    <w:rsid w:val="00434314"/>
    <w:rsid w:val="004345B6"/>
    <w:rsid w:val="00437F4A"/>
    <w:rsid w:val="0044201F"/>
    <w:rsid w:val="0044233D"/>
    <w:rsid w:val="00444AB7"/>
    <w:rsid w:val="00445A00"/>
    <w:rsid w:val="004467DB"/>
    <w:rsid w:val="00447B62"/>
    <w:rsid w:val="00450D35"/>
    <w:rsid w:val="00450F09"/>
    <w:rsid w:val="00451B0F"/>
    <w:rsid w:val="00452458"/>
    <w:rsid w:val="00454D5E"/>
    <w:rsid w:val="00461070"/>
    <w:rsid w:val="004615EE"/>
    <w:rsid w:val="00463013"/>
    <w:rsid w:val="0046723C"/>
    <w:rsid w:val="00470F41"/>
    <w:rsid w:val="004720D2"/>
    <w:rsid w:val="00472673"/>
    <w:rsid w:val="0047764D"/>
    <w:rsid w:val="0048149B"/>
    <w:rsid w:val="00482705"/>
    <w:rsid w:val="004844A0"/>
    <w:rsid w:val="00484E9D"/>
    <w:rsid w:val="00485161"/>
    <w:rsid w:val="00485BFA"/>
    <w:rsid w:val="00486C7D"/>
    <w:rsid w:val="0048785F"/>
    <w:rsid w:val="00490E5E"/>
    <w:rsid w:val="00493DFB"/>
    <w:rsid w:val="00494526"/>
    <w:rsid w:val="0049472C"/>
    <w:rsid w:val="004953D3"/>
    <w:rsid w:val="00495505"/>
    <w:rsid w:val="00495C6D"/>
    <w:rsid w:val="00496090"/>
    <w:rsid w:val="00497745"/>
    <w:rsid w:val="00497CDF"/>
    <w:rsid w:val="00497E5B"/>
    <w:rsid w:val="004A02BB"/>
    <w:rsid w:val="004A0D92"/>
    <w:rsid w:val="004A15D6"/>
    <w:rsid w:val="004A1A5A"/>
    <w:rsid w:val="004A1F6F"/>
    <w:rsid w:val="004A5A7A"/>
    <w:rsid w:val="004B08D7"/>
    <w:rsid w:val="004B160A"/>
    <w:rsid w:val="004B4438"/>
    <w:rsid w:val="004B5150"/>
    <w:rsid w:val="004B5DA4"/>
    <w:rsid w:val="004B7250"/>
    <w:rsid w:val="004C110F"/>
    <w:rsid w:val="004C1169"/>
    <w:rsid w:val="004C1701"/>
    <w:rsid w:val="004C2EE3"/>
    <w:rsid w:val="004C3967"/>
    <w:rsid w:val="004C3A96"/>
    <w:rsid w:val="004C3F43"/>
    <w:rsid w:val="004C7676"/>
    <w:rsid w:val="004C7967"/>
    <w:rsid w:val="004D0360"/>
    <w:rsid w:val="004D0D15"/>
    <w:rsid w:val="004D23BD"/>
    <w:rsid w:val="004D289A"/>
    <w:rsid w:val="004D33F6"/>
    <w:rsid w:val="004D3C0E"/>
    <w:rsid w:val="004D5433"/>
    <w:rsid w:val="004E0C65"/>
    <w:rsid w:val="004E20C3"/>
    <w:rsid w:val="004E29CC"/>
    <w:rsid w:val="004E3268"/>
    <w:rsid w:val="004E4A22"/>
    <w:rsid w:val="004E4A3B"/>
    <w:rsid w:val="004E543B"/>
    <w:rsid w:val="004E5526"/>
    <w:rsid w:val="004E7F9F"/>
    <w:rsid w:val="004F0FAF"/>
    <w:rsid w:val="004F44B1"/>
    <w:rsid w:val="004F475A"/>
    <w:rsid w:val="004F7081"/>
    <w:rsid w:val="004F73A0"/>
    <w:rsid w:val="00502039"/>
    <w:rsid w:val="00503D19"/>
    <w:rsid w:val="00505902"/>
    <w:rsid w:val="00506097"/>
    <w:rsid w:val="00506686"/>
    <w:rsid w:val="00511968"/>
    <w:rsid w:val="0051551D"/>
    <w:rsid w:val="00515AC8"/>
    <w:rsid w:val="00517A43"/>
    <w:rsid w:val="00517B2F"/>
    <w:rsid w:val="00517C76"/>
    <w:rsid w:val="0052052B"/>
    <w:rsid w:val="00520B74"/>
    <w:rsid w:val="00522E3C"/>
    <w:rsid w:val="00523BBC"/>
    <w:rsid w:val="00524E79"/>
    <w:rsid w:val="0052731A"/>
    <w:rsid w:val="005303E7"/>
    <w:rsid w:val="00531133"/>
    <w:rsid w:val="00532151"/>
    <w:rsid w:val="00532EC1"/>
    <w:rsid w:val="00534210"/>
    <w:rsid w:val="00534968"/>
    <w:rsid w:val="00534FF1"/>
    <w:rsid w:val="00536402"/>
    <w:rsid w:val="0054186F"/>
    <w:rsid w:val="005421E2"/>
    <w:rsid w:val="0054236B"/>
    <w:rsid w:val="005434A2"/>
    <w:rsid w:val="00543B1D"/>
    <w:rsid w:val="00544035"/>
    <w:rsid w:val="005451E8"/>
    <w:rsid w:val="00551890"/>
    <w:rsid w:val="00553E01"/>
    <w:rsid w:val="00553EAB"/>
    <w:rsid w:val="005547D3"/>
    <w:rsid w:val="00555322"/>
    <w:rsid w:val="00555324"/>
    <w:rsid w:val="0055614C"/>
    <w:rsid w:val="00560BAE"/>
    <w:rsid w:val="00561FCD"/>
    <w:rsid w:val="0056290B"/>
    <w:rsid w:val="00563189"/>
    <w:rsid w:val="00566D06"/>
    <w:rsid w:val="00571AD8"/>
    <w:rsid w:val="00571F8D"/>
    <w:rsid w:val="005726EF"/>
    <w:rsid w:val="00573E6A"/>
    <w:rsid w:val="0057625E"/>
    <w:rsid w:val="0057688A"/>
    <w:rsid w:val="005775F2"/>
    <w:rsid w:val="00580C2C"/>
    <w:rsid w:val="0058212A"/>
    <w:rsid w:val="005840E2"/>
    <w:rsid w:val="005849A5"/>
    <w:rsid w:val="00585057"/>
    <w:rsid w:val="00585C0B"/>
    <w:rsid w:val="00591E12"/>
    <w:rsid w:val="005929CF"/>
    <w:rsid w:val="00597FAA"/>
    <w:rsid w:val="005A13D0"/>
    <w:rsid w:val="005A19ED"/>
    <w:rsid w:val="005A1DEB"/>
    <w:rsid w:val="005A27BD"/>
    <w:rsid w:val="005A28A9"/>
    <w:rsid w:val="005A6937"/>
    <w:rsid w:val="005A73FD"/>
    <w:rsid w:val="005B31C1"/>
    <w:rsid w:val="005B354C"/>
    <w:rsid w:val="005B4BCF"/>
    <w:rsid w:val="005C0A46"/>
    <w:rsid w:val="005C0B2D"/>
    <w:rsid w:val="005C0FA2"/>
    <w:rsid w:val="005C72EC"/>
    <w:rsid w:val="005D1827"/>
    <w:rsid w:val="005D1E8A"/>
    <w:rsid w:val="005D2C04"/>
    <w:rsid w:val="005D455F"/>
    <w:rsid w:val="005D5A93"/>
    <w:rsid w:val="005D6B81"/>
    <w:rsid w:val="005E0A57"/>
    <w:rsid w:val="005E14C2"/>
    <w:rsid w:val="005E18B5"/>
    <w:rsid w:val="005E1D8E"/>
    <w:rsid w:val="005E26A3"/>
    <w:rsid w:val="005E70D8"/>
    <w:rsid w:val="005E7AC8"/>
    <w:rsid w:val="005E7BCD"/>
    <w:rsid w:val="005F0AC2"/>
    <w:rsid w:val="005F1C94"/>
    <w:rsid w:val="005F2693"/>
    <w:rsid w:val="005F4F5B"/>
    <w:rsid w:val="005F5F9B"/>
    <w:rsid w:val="005F708C"/>
    <w:rsid w:val="005F7098"/>
    <w:rsid w:val="005F7B7F"/>
    <w:rsid w:val="00600870"/>
    <w:rsid w:val="0060136F"/>
    <w:rsid w:val="006043FB"/>
    <w:rsid w:val="0060622A"/>
    <w:rsid w:val="0060694B"/>
    <w:rsid w:val="00607BA5"/>
    <w:rsid w:val="0061180A"/>
    <w:rsid w:val="00611EA1"/>
    <w:rsid w:val="0061235D"/>
    <w:rsid w:val="00614E19"/>
    <w:rsid w:val="00616A78"/>
    <w:rsid w:val="006216C3"/>
    <w:rsid w:val="00622BD7"/>
    <w:rsid w:val="00623E97"/>
    <w:rsid w:val="0062479D"/>
    <w:rsid w:val="0062639A"/>
    <w:rsid w:val="00626EB6"/>
    <w:rsid w:val="006302C3"/>
    <w:rsid w:val="00630403"/>
    <w:rsid w:val="00631A1C"/>
    <w:rsid w:val="00633670"/>
    <w:rsid w:val="006338B9"/>
    <w:rsid w:val="006354C5"/>
    <w:rsid w:val="0063642E"/>
    <w:rsid w:val="00637316"/>
    <w:rsid w:val="00640CC5"/>
    <w:rsid w:val="00640E5A"/>
    <w:rsid w:val="00643FC5"/>
    <w:rsid w:val="0064400A"/>
    <w:rsid w:val="00644166"/>
    <w:rsid w:val="006445EF"/>
    <w:rsid w:val="00644F9C"/>
    <w:rsid w:val="00645B03"/>
    <w:rsid w:val="00646F9D"/>
    <w:rsid w:val="00647B5C"/>
    <w:rsid w:val="00650111"/>
    <w:rsid w:val="00651204"/>
    <w:rsid w:val="0065177D"/>
    <w:rsid w:val="00653ABB"/>
    <w:rsid w:val="00653C01"/>
    <w:rsid w:val="00655D03"/>
    <w:rsid w:val="006574CE"/>
    <w:rsid w:val="00657897"/>
    <w:rsid w:val="00670C67"/>
    <w:rsid w:val="00671326"/>
    <w:rsid w:val="00672E15"/>
    <w:rsid w:val="0067316B"/>
    <w:rsid w:val="00675370"/>
    <w:rsid w:val="00677F94"/>
    <w:rsid w:val="00680C88"/>
    <w:rsid w:val="00682706"/>
    <w:rsid w:val="00683388"/>
    <w:rsid w:val="00683F84"/>
    <w:rsid w:val="0068466B"/>
    <w:rsid w:val="00684EC2"/>
    <w:rsid w:val="00686D96"/>
    <w:rsid w:val="006871C3"/>
    <w:rsid w:val="00687526"/>
    <w:rsid w:val="00687627"/>
    <w:rsid w:val="00690B49"/>
    <w:rsid w:val="00691D1D"/>
    <w:rsid w:val="00692210"/>
    <w:rsid w:val="006944ED"/>
    <w:rsid w:val="00695697"/>
    <w:rsid w:val="006A00D8"/>
    <w:rsid w:val="006A42A2"/>
    <w:rsid w:val="006A5B95"/>
    <w:rsid w:val="006A5E3F"/>
    <w:rsid w:val="006A6A81"/>
    <w:rsid w:val="006B0F11"/>
    <w:rsid w:val="006B1915"/>
    <w:rsid w:val="006B3298"/>
    <w:rsid w:val="006B415D"/>
    <w:rsid w:val="006B4706"/>
    <w:rsid w:val="006B4E56"/>
    <w:rsid w:val="006B573C"/>
    <w:rsid w:val="006B7408"/>
    <w:rsid w:val="006B765A"/>
    <w:rsid w:val="006C03E4"/>
    <w:rsid w:val="006C13AD"/>
    <w:rsid w:val="006C173F"/>
    <w:rsid w:val="006C2140"/>
    <w:rsid w:val="006C2B94"/>
    <w:rsid w:val="006C343F"/>
    <w:rsid w:val="006C6301"/>
    <w:rsid w:val="006C6DDF"/>
    <w:rsid w:val="006C7336"/>
    <w:rsid w:val="006C7FC4"/>
    <w:rsid w:val="006D0539"/>
    <w:rsid w:val="006D174F"/>
    <w:rsid w:val="006D2ADE"/>
    <w:rsid w:val="006D5AE3"/>
    <w:rsid w:val="006D7BF6"/>
    <w:rsid w:val="006E04BB"/>
    <w:rsid w:val="006E0669"/>
    <w:rsid w:val="006E0F38"/>
    <w:rsid w:val="006E1408"/>
    <w:rsid w:val="006E2A2B"/>
    <w:rsid w:val="006E4E79"/>
    <w:rsid w:val="006E67F2"/>
    <w:rsid w:val="006E7031"/>
    <w:rsid w:val="006E73EB"/>
    <w:rsid w:val="006F2773"/>
    <w:rsid w:val="006F3177"/>
    <w:rsid w:val="006F42B3"/>
    <w:rsid w:val="006F7393"/>
    <w:rsid w:val="00700717"/>
    <w:rsid w:val="00700A64"/>
    <w:rsid w:val="0070187D"/>
    <w:rsid w:val="00701BDF"/>
    <w:rsid w:val="0070224F"/>
    <w:rsid w:val="00703E4F"/>
    <w:rsid w:val="00704B85"/>
    <w:rsid w:val="00705540"/>
    <w:rsid w:val="0070589B"/>
    <w:rsid w:val="00705AB0"/>
    <w:rsid w:val="00705FC0"/>
    <w:rsid w:val="007061DE"/>
    <w:rsid w:val="00710303"/>
    <w:rsid w:val="00711090"/>
    <w:rsid w:val="007115F7"/>
    <w:rsid w:val="00713203"/>
    <w:rsid w:val="007136E0"/>
    <w:rsid w:val="007156E8"/>
    <w:rsid w:val="00716F7A"/>
    <w:rsid w:val="00720803"/>
    <w:rsid w:val="0072135C"/>
    <w:rsid w:val="0072189E"/>
    <w:rsid w:val="007227BF"/>
    <w:rsid w:val="007227D1"/>
    <w:rsid w:val="00726F83"/>
    <w:rsid w:val="00727CDD"/>
    <w:rsid w:val="0073089C"/>
    <w:rsid w:val="00730E51"/>
    <w:rsid w:val="00730F40"/>
    <w:rsid w:val="00731EEE"/>
    <w:rsid w:val="007358CE"/>
    <w:rsid w:val="007406E1"/>
    <w:rsid w:val="00743CE1"/>
    <w:rsid w:val="007440C3"/>
    <w:rsid w:val="007471D2"/>
    <w:rsid w:val="0074755A"/>
    <w:rsid w:val="00751CC6"/>
    <w:rsid w:val="00753404"/>
    <w:rsid w:val="00753617"/>
    <w:rsid w:val="00754F67"/>
    <w:rsid w:val="0075643D"/>
    <w:rsid w:val="00756666"/>
    <w:rsid w:val="007619A9"/>
    <w:rsid w:val="00763397"/>
    <w:rsid w:val="00763629"/>
    <w:rsid w:val="00764943"/>
    <w:rsid w:val="00765EF8"/>
    <w:rsid w:val="00766F07"/>
    <w:rsid w:val="00767580"/>
    <w:rsid w:val="00770597"/>
    <w:rsid w:val="00770676"/>
    <w:rsid w:val="007706AE"/>
    <w:rsid w:val="00770E13"/>
    <w:rsid w:val="007714E1"/>
    <w:rsid w:val="007725F5"/>
    <w:rsid w:val="00772904"/>
    <w:rsid w:val="00774AB6"/>
    <w:rsid w:val="00775415"/>
    <w:rsid w:val="00776B25"/>
    <w:rsid w:val="00777750"/>
    <w:rsid w:val="007802DF"/>
    <w:rsid w:val="00781D9A"/>
    <w:rsid w:val="00785689"/>
    <w:rsid w:val="00785E0C"/>
    <w:rsid w:val="007873A5"/>
    <w:rsid w:val="00791C1F"/>
    <w:rsid w:val="0079509D"/>
    <w:rsid w:val="00795678"/>
    <w:rsid w:val="0079611B"/>
    <w:rsid w:val="0079754B"/>
    <w:rsid w:val="007A1E6D"/>
    <w:rsid w:val="007A2E87"/>
    <w:rsid w:val="007A32D6"/>
    <w:rsid w:val="007A392D"/>
    <w:rsid w:val="007A3BD8"/>
    <w:rsid w:val="007A48F5"/>
    <w:rsid w:val="007A50AD"/>
    <w:rsid w:val="007A5537"/>
    <w:rsid w:val="007A5EBE"/>
    <w:rsid w:val="007B0EB2"/>
    <w:rsid w:val="007B167A"/>
    <w:rsid w:val="007B39BE"/>
    <w:rsid w:val="007B5955"/>
    <w:rsid w:val="007B7893"/>
    <w:rsid w:val="007C51DF"/>
    <w:rsid w:val="007C7A4D"/>
    <w:rsid w:val="007D261C"/>
    <w:rsid w:val="007D308E"/>
    <w:rsid w:val="007D4187"/>
    <w:rsid w:val="007D41DD"/>
    <w:rsid w:val="007D4B9E"/>
    <w:rsid w:val="007D4F64"/>
    <w:rsid w:val="007D51D6"/>
    <w:rsid w:val="007D5EC9"/>
    <w:rsid w:val="007D6A36"/>
    <w:rsid w:val="007D7C1C"/>
    <w:rsid w:val="007E3740"/>
    <w:rsid w:val="007E5B0A"/>
    <w:rsid w:val="007E6827"/>
    <w:rsid w:val="007E7065"/>
    <w:rsid w:val="007E7B32"/>
    <w:rsid w:val="007F0482"/>
    <w:rsid w:val="007F5545"/>
    <w:rsid w:val="007F5621"/>
    <w:rsid w:val="007F5BA1"/>
    <w:rsid w:val="007F664D"/>
    <w:rsid w:val="007F690E"/>
    <w:rsid w:val="00800583"/>
    <w:rsid w:val="0080351E"/>
    <w:rsid w:val="00804774"/>
    <w:rsid w:val="00804C96"/>
    <w:rsid w:val="00810957"/>
    <w:rsid w:val="00810B6F"/>
    <w:rsid w:val="008138EC"/>
    <w:rsid w:val="00813DA7"/>
    <w:rsid w:val="00814914"/>
    <w:rsid w:val="00816E58"/>
    <w:rsid w:val="00821C12"/>
    <w:rsid w:val="00822CE0"/>
    <w:rsid w:val="00826AC1"/>
    <w:rsid w:val="00826B4D"/>
    <w:rsid w:val="008300E8"/>
    <w:rsid w:val="00830D01"/>
    <w:rsid w:val="008313B6"/>
    <w:rsid w:val="00832713"/>
    <w:rsid w:val="00832F78"/>
    <w:rsid w:val="00833EEB"/>
    <w:rsid w:val="00835A5C"/>
    <w:rsid w:val="00835DB7"/>
    <w:rsid w:val="00836180"/>
    <w:rsid w:val="00836F3E"/>
    <w:rsid w:val="008408AE"/>
    <w:rsid w:val="00840C2F"/>
    <w:rsid w:val="00840C5C"/>
    <w:rsid w:val="00841AB1"/>
    <w:rsid w:val="00842690"/>
    <w:rsid w:val="0084326A"/>
    <w:rsid w:val="00843475"/>
    <w:rsid w:val="008447A3"/>
    <w:rsid w:val="00845CB9"/>
    <w:rsid w:val="008460AF"/>
    <w:rsid w:val="00847FDA"/>
    <w:rsid w:val="0085167D"/>
    <w:rsid w:val="00851D3C"/>
    <w:rsid w:val="008533E6"/>
    <w:rsid w:val="008538FA"/>
    <w:rsid w:val="00855F03"/>
    <w:rsid w:val="0085696A"/>
    <w:rsid w:val="00856A8F"/>
    <w:rsid w:val="00861124"/>
    <w:rsid w:val="008624A3"/>
    <w:rsid w:val="00867A8F"/>
    <w:rsid w:val="00867FCD"/>
    <w:rsid w:val="00871F63"/>
    <w:rsid w:val="008724AF"/>
    <w:rsid w:val="00873152"/>
    <w:rsid w:val="008749A7"/>
    <w:rsid w:val="0087512E"/>
    <w:rsid w:val="0087760F"/>
    <w:rsid w:val="008815FF"/>
    <w:rsid w:val="0088178A"/>
    <w:rsid w:val="00881D4A"/>
    <w:rsid w:val="00883AA6"/>
    <w:rsid w:val="00885418"/>
    <w:rsid w:val="00886061"/>
    <w:rsid w:val="0088743A"/>
    <w:rsid w:val="0088797D"/>
    <w:rsid w:val="00891C41"/>
    <w:rsid w:val="00892AB7"/>
    <w:rsid w:val="0089372A"/>
    <w:rsid w:val="008954B5"/>
    <w:rsid w:val="008956E7"/>
    <w:rsid w:val="008968E6"/>
    <w:rsid w:val="00897364"/>
    <w:rsid w:val="00897878"/>
    <w:rsid w:val="008978FB"/>
    <w:rsid w:val="008A30F2"/>
    <w:rsid w:val="008A408D"/>
    <w:rsid w:val="008A4612"/>
    <w:rsid w:val="008A475F"/>
    <w:rsid w:val="008A5236"/>
    <w:rsid w:val="008A6F60"/>
    <w:rsid w:val="008A7554"/>
    <w:rsid w:val="008A7ED4"/>
    <w:rsid w:val="008B060E"/>
    <w:rsid w:val="008B5EA0"/>
    <w:rsid w:val="008B71FB"/>
    <w:rsid w:val="008C027F"/>
    <w:rsid w:val="008C36E1"/>
    <w:rsid w:val="008C4AD3"/>
    <w:rsid w:val="008C58E4"/>
    <w:rsid w:val="008C68F1"/>
    <w:rsid w:val="008D0C00"/>
    <w:rsid w:val="008D2220"/>
    <w:rsid w:val="008D280B"/>
    <w:rsid w:val="008D5680"/>
    <w:rsid w:val="008D619A"/>
    <w:rsid w:val="008D7F53"/>
    <w:rsid w:val="008E16ED"/>
    <w:rsid w:val="008E1DFD"/>
    <w:rsid w:val="008E3512"/>
    <w:rsid w:val="008E3EDD"/>
    <w:rsid w:val="008E4F38"/>
    <w:rsid w:val="008E684F"/>
    <w:rsid w:val="008E71DA"/>
    <w:rsid w:val="008F13B6"/>
    <w:rsid w:val="008F231E"/>
    <w:rsid w:val="008F2FBE"/>
    <w:rsid w:val="008F5543"/>
    <w:rsid w:val="008F5739"/>
    <w:rsid w:val="008F6DA2"/>
    <w:rsid w:val="00901399"/>
    <w:rsid w:val="00902170"/>
    <w:rsid w:val="00902B60"/>
    <w:rsid w:val="009030D4"/>
    <w:rsid w:val="0090341C"/>
    <w:rsid w:val="009118AE"/>
    <w:rsid w:val="009123C0"/>
    <w:rsid w:val="00912E45"/>
    <w:rsid w:val="0091458F"/>
    <w:rsid w:val="00914865"/>
    <w:rsid w:val="009150AE"/>
    <w:rsid w:val="00916973"/>
    <w:rsid w:val="00916CE0"/>
    <w:rsid w:val="00917793"/>
    <w:rsid w:val="00921803"/>
    <w:rsid w:val="0092446D"/>
    <w:rsid w:val="00924D16"/>
    <w:rsid w:val="00926503"/>
    <w:rsid w:val="00927633"/>
    <w:rsid w:val="00930D75"/>
    <w:rsid w:val="00931BA7"/>
    <w:rsid w:val="009335F8"/>
    <w:rsid w:val="0093381C"/>
    <w:rsid w:val="00943711"/>
    <w:rsid w:val="009462FB"/>
    <w:rsid w:val="009464D1"/>
    <w:rsid w:val="00947B4D"/>
    <w:rsid w:val="00950E1C"/>
    <w:rsid w:val="00953DE6"/>
    <w:rsid w:val="00955F41"/>
    <w:rsid w:val="00956A40"/>
    <w:rsid w:val="00961E7D"/>
    <w:rsid w:val="00962E30"/>
    <w:rsid w:val="00963614"/>
    <w:rsid w:val="00965A5D"/>
    <w:rsid w:val="0096634B"/>
    <w:rsid w:val="009666C4"/>
    <w:rsid w:val="0096757E"/>
    <w:rsid w:val="00970128"/>
    <w:rsid w:val="00970B71"/>
    <w:rsid w:val="009726D8"/>
    <w:rsid w:val="00973F45"/>
    <w:rsid w:val="00973FFB"/>
    <w:rsid w:val="00974A04"/>
    <w:rsid w:val="00974EE9"/>
    <w:rsid w:val="009768EF"/>
    <w:rsid w:val="00976E87"/>
    <w:rsid w:val="0098155F"/>
    <w:rsid w:val="00981F23"/>
    <w:rsid w:val="00984804"/>
    <w:rsid w:val="00986912"/>
    <w:rsid w:val="00986E79"/>
    <w:rsid w:val="00990A30"/>
    <w:rsid w:val="00990DFC"/>
    <w:rsid w:val="00991660"/>
    <w:rsid w:val="009944CF"/>
    <w:rsid w:val="00996344"/>
    <w:rsid w:val="009A155D"/>
    <w:rsid w:val="009A1AC1"/>
    <w:rsid w:val="009B0281"/>
    <w:rsid w:val="009B048A"/>
    <w:rsid w:val="009B1E2E"/>
    <w:rsid w:val="009B3AC0"/>
    <w:rsid w:val="009B4294"/>
    <w:rsid w:val="009B46B7"/>
    <w:rsid w:val="009B4EB6"/>
    <w:rsid w:val="009B79B2"/>
    <w:rsid w:val="009C1D4B"/>
    <w:rsid w:val="009C25AC"/>
    <w:rsid w:val="009C3CF1"/>
    <w:rsid w:val="009C432E"/>
    <w:rsid w:val="009C7C2A"/>
    <w:rsid w:val="009D1C02"/>
    <w:rsid w:val="009D32EB"/>
    <w:rsid w:val="009D5194"/>
    <w:rsid w:val="009D6512"/>
    <w:rsid w:val="009D6B68"/>
    <w:rsid w:val="009D7308"/>
    <w:rsid w:val="009D737D"/>
    <w:rsid w:val="009E01CD"/>
    <w:rsid w:val="009E0BF3"/>
    <w:rsid w:val="009E259F"/>
    <w:rsid w:val="009E2950"/>
    <w:rsid w:val="009E320E"/>
    <w:rsid w:val="009E32ED"/>
    <w:rsid w:val="009E37DC"/>
    <w:rsid w:val="009E5B1B"/>
    <w:rsid w:val="009E7140"/>
    <w:rsid w:val="009E799A"/>
    <w:rsid w:val="009E7CA4"/>
    <w:rsid w:val="009F2EB4"/>
    <w:rsid w:val="009F3AC9"/>
    <w:rsid w:val="009F5994"/>
    <w:rsid w:val="009F7601"/>
    <w:rsid w:val="009F76DB"/>
    <w:rsid w:val="00A00DD7"/>
    <w:rsid w:val="00A04A38"/>
    <w:rsid w:val="00A0597B"/>
    <w:rsid w:val="00A10459"/>
    <w:rsid w:val="00A113A0"/>
    <w:rsid w:val="00A12FD9"/>
    <w:rsid w:val="00A150A0"/>
    <w:rsid w:val="00A162D9"/>
    <w:rsid w:val="00A21808"/>
    <w:rsid w:val="00A219E0"/>
    <w:rsid w:val="00A22064"/>
    <w:rsid w:val="00A229E8"/>
    <w:rsid w:val="00A23348"/>
    <w:rsid w:val="00A23C25"/>
    <w:rsid w:val="00A244D8"/>
    <w:rsid w:val="00A251F4"/>
    <w:rsid w:val="00A25A44"/>
    <w:rsid w:val="00A261B3"/>
    <w:rsid w:val="00A27815"/>
    <w:rsid w:val="00A3012C"/>
    <w:rsid w:val="00A30CA9"/>
    <w:rsid w:val="00A31412"/>
    <w:rsid w:val="00A31616"/>
    <w:rsid w:val="00A31718"/>
    <w:rsid w:val="00A32163"/>
    <w:rsid w:val="00A32C3B"/>
    <w:rsid w:val="00A33E04"/>
    <w:rsid w:val="00A33E90"/>
    <w:rsid w:val="00A35F63"/>
    <w:rsid w:val="00A37A3C"/>
    <w:rsid w:val="00A37E09"/>
    <w:rsid w:val="00A405F4"/>
    <w:rsid w:val="00A410CC"/>
    <w:rsid w:val="00A44631"/>
    <w:rsid w:val="00A45F4F"/>
    <w:rsid w:val="00A46E86"/>
    <w:rsid w:val="00A47F11"/>
    <w:rsid w:val="00A5022F"/>
    <w:rsid w:val="00A513E3"/>
    <w:rsid w:val="00A52A9A"/>
    <w:rsid w:val="00A57DD6"/>
    <w:rsid w:val="00A57E97"/>
    <w:rsid w:val="00A600A9"/>
    <w:rsid w:val="00A60D01"/>
    <w:rsid w:val="00A648F6"/>
    <w:rsid w:val="00A67816"/>
    <w:rsid w:val="00A718E8"/>
    <w:rsid w:val="00A721A7"/>
    <w:rsid w:val="00A73916"/>
    <w:rsid w:val="00A74E77"/>
    <w:rsid w:val="00A75DA5"/>
    <w:rsid w:val="00A7704E"/>
    <w:rsid w:val="00A777E6"/>
    <w:rsid w:val="00A816B2"/>
    <w:rsid w:val="00A81F47"/>
    <w:rsid w:val="00A83518"/>
    <w:rsid w:val="00A838E5"/>
    <w:rsid w:val="00A84B75"/>
    <w:rsid w:val="00A85DDF"/>
    <w:rsid w:val="00A8615F"/>
    <w:rsid w:val="00A86989"/>
    <w:rsid w:val="00A86A82"/>
    <w:rsid w:val="00A86DB6"/>
    <w:rsid w:val="00A9135B"/>
    <w:rsid w:val="00A926CD"/>
    <w:rsid w:val="00A9372B"/>
    <w:rsid w:val="00A94229"/>
    <w:rsid w:val="00A950DE"/>
    <w:rsid w:val="00A95522"/>
    <w:rsid w:val="00A962A3"/>
    <w:rsid w:val="00AA073B"/>
    <w:rsid w:val="00AA18CE"/>
    <w:rsid w:val="00AA2174"/>
    <w:rsid w:val="00AA4158"/>
    <w:rsid w:val="00AA41A4"/>
    <w:rsid w:val="00AA45AE"/>
    <w:rsid w:val="00AA55B7"/>
    <w:rsid w:val="00AA5B9E"/>
    <w:rsid w:val="00AA5E97"/>
    <w:rsid w:val="00AA626A"/>
    <w:rsid w:val="00AA69A9"/>
    <w:rsid w:val="00AA6FC4"/>
    <w:rsid w:val="00AA7D57"/>
    <w:rsid w:val="00AB1685"/>
    <w:rsid w:val="00AB2407"/>
    <w:rsid w:val="00AB53DF"/>
    <w:rsid w:val="00AB63F5"/>
    <w:rsid w:val="00AB7166"/>
    <w:rsid w:val="00AB7D21"/>
    <w:rsid w:val="00AB7E7F"/>
    <w:rsid w:val="00AC159E"/>
    <w:rsid w:val="00AC3763"/>
    <w:rsid w:val="00AC3795"/>
    <w:rsid w:val="00AC39DD"/>
    <w:rsid w:val="00AC64D6"/>
    <w:rsid w:val="00AC6614"/>
    <w:rsid w:val="00AC6A7A"/>
    <w:rsid w:val="00AC6C55"/>
    <w:rsid w:val="00AD0726"/>
    <w:rsid w:val="00AD3717"/>
    <w:rsid w:val="00AD3F23"/>
    <w:rsid w:val="00AD4A65"/>
    <w:rsid w:val="00AD63DF"/>
    <w:rsid w:val="00AD6656"/>
    <w:rsid w:val="00AD6F7D"/>
    <w:rsid w:val="00AE3441"/>
    <w:rsid w:val="00AE45BD"/>
    <w:rsid w:val="00AE4808"/>
    <w:rsid w:val="00AF17AB"/>
    <w:rsid w:val="00AF2691"/>
    <w:rsid w:val="00AF305C"/>
    <w:rsid w:val="00AF4F5B"/>
    <w:rsid w:val="00B00472"/>
    <w:rsid w:val="00B01581"/>
    <w:rsid w:val="00B04972"/>
    <w:rsid w:val="00B05AEC"/>
    <w:rsid w:val="00B0600C"/>
    <w:rsid w:val="00B06DD5"/>
    <w:rsid w:val="00B075C7"/>
    <w:rsid w:val="00B07E5C"/>
    <w:rsid w:val="00B10AC0"/>
    <w:rsid w:val="00B1384B"/>
    <w:rsid w:val="00B14169"/>
    <w:rsid w:val="00B20C8C"/>
    <w:rsid w:val="00B24FF9"/>
    <w:rsid w:val="00B260AD"/>
    <w:rsid w:val="00B30F14"/>
    <w:rsid w:val="00B362BE"/>
    <w:rsid w:val="00B42876"/>
    <w:rsid w:val="00B43EE8"/>
    <w:rsid w:val="00B44CE8"/>
    <w:rsid w:val="00B45623"/>
    <w:rsid w:val="00B47363"/>
    <w:rsid w:val="00B50FEC"/>
    <w:rsid w:val="00B51A4A"/>
    <w:rsid w:val="00B531CE"/>
    <w:rsid w:val="00B5662E"/>
    <w:rsid w:val="00B56AD7"/>
    <w:rsid w:val="00B603F0"/>
    <w:rsid w:val="00B61874"/>
    <w:rsid w:val="00B6373C"/>
    <w:rsid w:val="00B63B4A"/>
    <w:rsid w:val="00B65345"/>
    <w:rsid w:val="00B657FF"/>
    <w:rsid w:val="00B67E3A"/>
    <w:rsid w:val="00B738AC"/>
    <w:rsid w:val="00B7557C"/>
    <w:rsid w:val="00B76301"/>
    <w:rsid w:val="00B811F7"/>
    <w:rsid w:val="00B81345"/>
    <w:rsid w:val="00B8285F"/>
    <w:rsid w:val="00B83A3A"/>
    <w:rsid w:val="00B84531"/>
    <w:rsid w:val="00B87F12"/>
    <w:rsid w:val="00B92FF1"/>
    <w:rsid w:val="00B945F2"/>
    <w:rsid w:val="00B94F54"/>
    <w:rsid w:val="00B94F74"/>
    <w:rsid w:val="00B9693E"/>
    <w:rsid w:val="00BA1310"/>
    <w:rsid w:val="00BA27C4"/>
    <w:rsid w:val="00BA4618"/>
    <w:rsid w:val="00BA5DC6"/>
    <w:rsid w:val="00BA6196"/>
    <w:rsid w:val="00BA6250"/>
    <w:rsid w:val="00BA6EAE"/>
    <w:rsid w:val="00BA7289"/>
    <w:rsid w:val="00BB10EE"/>
    <w:rsid w:val="00BB2FC9"/>
    <w:rsid w:val="00BB3876"/>
    <w:rsid w:val="00BB6EA5"/>
    <w:rsid w:val="00BB75F9"/>
    <w:rsid w:val="00BB7789"/>
    <w:rsid w:val="00BC2332"/>
    <w:rsid w:val="00BC5D43"/>
    <w:rsid w:val="00BC6D8C"/>
    <w:rsid w:val="00BD074D"/>
    <w:rsid w:val="00BD2591"/>
    <w:rsid w:val="00BD3DA8"/>
    <w:rsid w:val="00BD6435"/>
    <w:rsid w:val="00BD76DC"/>
    <w:rsid w:val="00BE1326"/>
    <w:rsid w:val="00BE1366"/>
    <w:rsid w:val="00BE489A"/>
    <w:rsid w:val="00BE58A9"/>
    <w:rsid w:val="00BE7355"/>
    <w:rsid w:val="00BF0DE8"/>
    <w:rsid w:val="00BF1B09"/>
    <w:rsid w:val="00BF2107"/>
    <w:rsid w:val="00BF2CE8"/>
    <w:rsid w:val="00BF3D0E"/>
    <w:rsid w:val="00BF3EC3"/>
    <w:rsid w:val="00BF409C"/>
    <w:rsid w:val="00BF45F5"/>
    <w:rsid w:val="00BF4B01"/>
    <w:rsid w:val="00BF5236"/>
    <w:rsid w:val="00BF5D74"/>
    <w:rsid w:val="00BF6BAB"/>
    <w:rsid w:val="00BF6E8C"/>
    <w:rsid w:val="00BF75BB"/>
    <w:rsid w:val="00C00B0B"/>
    <w:rsid w:val="00C01FEB"/>
    <w:rsid w:val="00C051E9"/>
    <w:rsid w:val="00C065B7"/>
    <w:rsid w:val="00C076C5"/>
    <w:rsid w:val="00C11694"/>
    <w:rsid w:val="00C15AD5"/>
    <w:rsid w:val="00C15DCF"/>
    <w:rsid w:val="00C219F3"/>
    <w:rsid w:val="00C22678"/>
    <w:rsid w:val="00C23FEA"/>
    <w:rsid w:val="00C2448B"/>
    <w:rsid w:val="00C24DD3"/>
    <w:rsid w:val="00C2513A"/>
    <w:rsid w:val="00C25AA6"/>
    <w:rsid w:val="00C25DA5"/>
    <w:rsid w:val="00C272BB"/>
    <w:rsid w:val="00C307C7"/>
    <w:rsid w:val="00C310CB"/>
    <w:rsid w:val="00C31243"/>
    <w:rsid w:val="00C32037"/>
    <w:rsid w:val="00C33210"/>
    <w:rsid w:val="00C34006"/>
    <w:rsid w:val="00C36729"/>
    <w:rsid w:val="00C36B4C"/>
    <w:rsid w:val="00C36F61"/>
    <w:rsid w:val="00C426B1"/>
    <w:rsid w:val="00C433E6"/>
    <w:rsid w:val="00C43F0F"/>
    <w:rsid w:val="00C47937"/>
    <w:rsid w:val="00C5157C"/>
    <w:rsid w:val="00C535E4"/>
    <w:rsid w:val="00C536AC"/>
    <w:rsid w:val="00C5602A"/>
    <w:rsid w:val="00C5624E"/>
    <w:rsid w:val="00C57304"/>
    <w:rsid w:val="00C60188"/>
    <w:rsid w:val="00C6164C"/>
    <w:rsid w:val="00C652CE"/>
    <w:rsid w:val="00C66160"/>
    <w:rsid w:val="00C70E68"/>
    <w:rsid w:val="00C71C96"/>
    <w:rsid w:val="00C721AC"/>
    <w:rsid w:val="00C72A79"/>
    <w:rsid w:val="00C744EA"/>
    <w:rsid w:val="00C77618"/>
    <w:rsid w:val="00C85659"/>
    <w:rsid w:val="00C86CCE"/>
    <w:rsid w:val="00C90D6A"/>
    <w:rsid w:val="00C9180C"/>
    <w:rsid w:val="00C94660"/>
    <w:rsid w:val="00C94A5F"/>
    <w:rsid w:val="00C94B6F"/>
    <w:rsid w:val="00C95296"/>
    <w:rsid w:val="00C957B0"/>
    <w:rsid w:val="00C95B19"/>
    <w:rsid w:val="00C9643C"/>
    <w:rsid w:val="00C965EA"/>
    <w:rsid w:val="00CA006E"/>
    <w:rsid w:val="00CA0499"/>
    <w:rsid w:val="00CA0BE6"/>
    <w:rsid w:val="00CA1575"/>
    <w:rsid w:val="00CA247E"/>
    <w:rsid w:val="00CA3783"/>
    <w:rsid w:val="00CA3ACC"/>
    <w:rsid w:val="00CA4AD6"/>
    <w:rsid w:val="00CA5014"/>
    <w:rsid w:val="00CA5472"/>
    <w:rsid w:val="00CA571E"/>
    <w:rsid w:val="00CA6D21"/>
    <w:rsid w:val="00CA6EBC"/>
    <w:rsid w:val="00CB2292"/>
    <w:rsid w:val="00CB23EE"/>
    <w:rsid w:val="00CB670F"/>
    <w:rsid w:val="00CB7407"/>
    <w:rsid w:val="00CB7AFD"/>
    <w:rsid w:val="00CC19D0"/>
    <w:rsid w:val="00CC2C3E"/>
    <w:rsid w:val="00CC3201"/>
    <w:rsid w:val="00CC5B5F"/>
    <w:rsid w:val="00CC72B6"/>
    <w:rsid w:val="00CD0366"/>
    <w:rsid w:val="00CD3480"/>
    <w:rsid w:val="00CD3CD5"/>
    <w:rsid w:val="00CD3DC0"/>
    <w:rsid w:val="00CD545E"/>
    <w:rsid w:val="00CD6AD6"/>
    <w:rsid w:val="00CD6CA9"/>
    <w:rsid w:val="00CD7F15"/>
    <w:rsid w:val="00CE0417"/>
    <w:rsid w:val="00CE0968"/>
    <w:rsid w:val="00CE1422"/>
    <w:rsid w:val="00CE1B08"/>
    <w:rsid w:val="00CE4B07"/>
    <w:rsid w:val="00CE4FAD"/>
    <w:rsid w:val="00CE7EB8"/>
    <w:rsid w:val="00CF0743"/>
    <w:rsid w:val="00CF1F25"/>
    <w:rsid w:val="00CF2002"/>
    <w:rsid w:val="00CF280B"/>
    <w:rsid w:val="00CF58B4"/>
    <w:rsid w:val="00CF59A7"/>
    <w:rsid w:val="00CF6A03"/>
    <w:rsid w:val="00CF6C0D"/>
    <w:rsid w:val="00CF74F5"/>
    <w:rsid w:val="00D0002E"/>
    <w:rsid w:val="00D020C3"/>
    <w:rsid w:val="00D0218D"/>
    <w:rsid w:val="00D044A0"/>
    <w:rsid w:val="00D1067C"/>
    <w:rsid w:val="00D15C1D"/>
    <w:rsid w:val="00D16C17"/>
    <w:rsid w:val="00D21B3A"/>
    <w:rsid w:val="00D2484E"/>
    <w:rsid w:val="00D25C38"/>
    <w:rsid w:val="00D25FA8"/>
    <w:rsid w:val="00D25FB5"/>
    <w:rsid w:val="00D321D1"/>
    <w:rsid w:val="00D33B09"/>
    <w:rsid w:val="00D34BAD"/>
    <w:rsid w:val="00D418D2"/>
    <w:rsid w:val="00D419FE"/>
    <w:rsid w:val="00D43D41"/>
    <w:rsid w:val="00D43D81"/>
    <w:rsid w:val="00D44223"/>
    <w:rsid w:val="00D4568E"/>
    <w:rsid w:val="00D45BBB"/>
    <w:rsid w:val="00D47004"/>
    <w:rsid w:val="00D50393"/>
    <w:rsid w:val="00D5169A"/>
    <w:rsid w:val="00D57480"/>
    <w:rsid w:val="00D60D45"/>
    <w:rsid w:val="00D61FDE"/>
    <w:rsid w:val="00D62E52"/>
    <w:rsid w:val="00D654FF"/>
    <w:rsid w:val="00D66335"/>
    <w:rsid w:val="00D66833"/>
    <w:rsid w:val="00D66A3E"/>
    <w:rsid w:val="00D710AB"/>
    <w:rsid w:val="00D721FB"/>
    <w:rsid w:val="00D72D6F"/>
    <w:rsid w:val="00D746C3"/>
    <w:rsid w:val="00D806AF"/>
    <w:rsid w:val="00D8148E"/>
    <w:rsid w:val="00D81712"/>
    <w:rsid w:val="00D828A0"/>
    <w:rsid w:val="00D86AA9"/>
    <w:rsid w:val="00D872CA"/>
    <w:rsid w:val="00D90D3C"/>
    <w:rsid w:val="00D916AD"/>
    <w:rsid w:val="00D9178C"/>
    <w:rsid w:val="00D91BA0"/>
    <w:rsid w:val="00D936D1"/>
    <w:rsid w:val="00D93E80"/>
    <w:rsid w:val="00D94EB6"/>
    <w:rsid w:val="00D9519C"/>
    <w:rsid w:val="00D95900"/>
    <w:rsid w:val="00D96BEF"/>
    <w:rsid w:val="00D97165"/>
    <w:rsid w:val="00DA0505"/>
    <w:rsid w:val="00DA1E64"/>
    <w:rsid w:val="00DA2529"/>
    <w:rsid w:val="00DA49BF"/>
    <w:rsid w:val="00DA4AB0"/>
    <w:rsid w:val="00DA6E03"/>
    <w:rsid w:val="00DB08F9"/>
    <w:rsid w:val="00DB0CB0"/>
    <w:rsid w:val="00DB0EB6"/>
    <w:rsid w:val="00DB130A"/>
    <w:rsid w:val="00DB28C9"/>
    <w:rsid w:val="00DB2A9B"/>
    <w:rsid w:val="00DB2EBB"/>
    <w:rsid w:val="00DB4B44"/>
    <w:rsid w:val="00DB5BA9"/>
    <w:rsid w:val="00DB5BFB"/>
    <w:rsid w:val="00DC0D17"/>
    <w:rsid w:val="00DC10A1"/>
    <w:rsid w:val="00DC1BDE"/>
    <w:rsid w:val="00DC3E6E"/>
    <w:rsid w:val="00DC4CB9"/>
    <w:rsid w:val="00DC655F"/>
    <w:rsid w:val="00DC69F7"/>
    <w:rsid w:val="00DD0B59"/>
    <w:rsid w:val="00DD1E90"/>
    <w:rsid w:val="00DD3796"/>
    <w:rsid w:val="00DD40F0"/>
    <w:rsid w:val="00DD515E"/>
    <w:rsid w:val="00DD6AB6"/>
    <w:rsid w:val="00DD7786"/>
    <w:rsid w:val="00DD7EBD"/>
    <w:rsid w:val="00DE08FE"/>
    <w:rsid w:val="00DE1272"/>
    <w:rsid w:val="00DE3CFB"/>
    <w:rsid w:val="00DE70BA"/>
    <w:rsid w:val="00DE70BE"/>
    <w:rsid w:val="00DE72BC"/>
    <w:rsid w:val="00DE74C8"/>
    <w:rsid w:val="00DE7E8C"/>
    <w:rsid w:val="00DF3CD9"/>
    <w:rsid w:val="00DF4A0F"/>
    <w:rsid w:val="00DF569F"/>
    <w:rsid w:val="00DF62B6"/>
    <w:rsid w:val="00DF6F68"/>
    <w:rsid w:val="00DF703A"/>
    <w:rsid w:val="00DF7494"/>
    <w:rsid w:val="00E0109E"/>
    <w:rsid w:val="00E02C05"/>
    <w:rsid w:val="00E0497C"/>
    <w:rsid w:val="00E05445"/>
    <w:rsid w:val="00E07225"/>
    <w:rsid w:val="00E10AEA"/>
    <w:rsid w:val="00E125E4"/>
    <w:rsid w:val="00E15333"/>
    <w:rsid w:val="00E15C59"/>
    <w:rsid w:val="00E163E9"/>
    <w:rsid w:val="00E166C6"/>
    <w:rsid w:val="00E21853"/>
    <w:rsid w:val="00E21FE1"/>
    <w:rsid w:val="00E22A05"/>
    <w:rsid w:val="00E23846"/>
    <w:rsid w:val="00E2548C"/>
    <w:rsid w:val="00E27611"/>
    <w:rsid w:val="00E30FD5"/>
    <w:rsid w:val="00E32810"/>
    <w:rsid w:val="00E350A1"/>
    <w:rsid w:val="00E35A11"/>
    <w:rsid w:val="00E35BE2"/>
    <w:rsid w:val="00E41600"/>
    <w:rsid w:val="00E47CFD"/>
    <w:rsid w:val="00E516E0"/>
    <w:rsid w:val="00E5229F"/>
    <w:rsid w:val="00E534F2"/>
    <w:rsid w:val="00E5409F"/>
    <w:rsid w:val="00E55184"/>
    <w:rsid w:val="00E565E0"/>
    <w:rsid w:val="00E5670D"/>
    <w:rsid w:val="00E56CD8"/>
    <w:rsid w:val="00E57BC1"/>
    <w:rsid w:val="00E618F7"/>
    <w:rsid w:val="00E61A16"/>
    <w:rsid w:val="00E620EA"/>
    <w:rsid w:val="00E62BFE"/>
    <w:rsid w:val="00E644A0"/>
    <w:rsid w:val="00E64941"/>
    <w:rsid w:val="00E64E46"/>
    <w:rsid w:val="00E653E8"/>
    <w:rsid w:val="00E66DCD"/>
    <w:rsid w:val="00E66F36"/>
    <w:rsid w:val="00E67285"/>
    <w:rsid w:val="00E67C54"/>
    <w:rsid w:val="00E71F81"/>
    <w:rsid w:val="00E73871"/>
    <w:rsid w:val="00E76D83"/>
    <w:rsid w:val="00E76F44"/>
    <w:rsid w:val="00E8015E"/>
    <w:rsid w:val="00E806E9"/>
    <w:rsid w:val="00E824F0"/>
    <w:rsid w:val="00E836A8"/>
    <w:rsid w:val="00E858AF"/>
    <w:rsid w:val="00E96392"/>
    <w:rsid w:val="00E9698D"/>
    <w:rsid w:val="00EA03B3"/>
    <w:rsid w:val="00EA2F60"/>
    <w:rsid w:val="00EA3A3D"/>
    <w:rsid w:val="00EA4202"/>
    <w:rsid w:val="00EA44C9"/>
    <w:rsid w:val="00EA6BD3"/>
    <w:rsid w:val="00EA7E2C"/>
    <w:rsid w:val="00EB0227"/>
    <w:rsid w:val="00EB082E"/>
    <w:rsid w:val="00EB1132"/>
    <w:rsid w:val="00EB65DB"/>
    <w:rsid w:val="00EB7BC0"/>
    <w:rsid w:val="00EC0E22"/>
    <w:rsid w:val="00EC2C07"/>
    <w:rsid w:val="00EC343B"/>
    <w:rsid w:val="00EC4F25"/>
    <w:rsid w:val="00ED18C6"/>
    <w:rsid w:val="00ED4ACB"/>
    <w:rsid w:val="00ED5A5C"/>
    <w:rsid w:val="00ED7457"/>
    <w:rsid w:val="00EE0598"/>
    <w:rsid w:val="00EE41C4"/>
    <w:rsid w:val="00EE4DC9"/>
    <w:rsid w:val="00EE5814"/>
    <w:rsid w:val="00EE5936"/>
    <w:rsid w:val="00EE5B12"/>
    <w:rsid w:val="00EE5D7A"/>
    <w:rsid w:val="00EE6488"/>
    <w:rsid w:val="00EE6506"/>
    <w:rsid w:val="00EE71BA"/>
    <w:rsid w:val="00EF17D7"/>
    <w:rsid w:val="00EF232D"/>
    <w:rsid w:val="00EF26CF"/>
    <w:rsid w:val="00EF33EE"/>
    <w:rsid w:val="00EF7E5D"/>
    <w:rsid w:val="00F00409"/>
    <w:rsid w:val="00F00891"/>
    <w:rsid w:val="00F01DEE"/>
    <w:rsid w:val="00F021FA"/>
    <w:rsid w:val="00F031D4"/>
    <w:rsid w:val="00F03883"/>
    <w:rsid w:val="00F0574F"/>
    <w:rsid w:val="00F05F70"/>
    <w:rsid w:val="00F10AE1"/>
    <w:rsid w:val="00F10EBE"/>
    <w:rsid w:val="00F1518E"/>
    <w:rsid w:val="00F17A44"/>
    <w:rsid w:val="00F17EF4"/>
    <w:rsid w:val="00F2118D"/>
    <w:rsid w:val="00F2160B"/>
    <w:rsid w:val="00F2176C"/>
    <w:rsid w:val="00F21B6A"/>
    <w:rsid w:val="00F23712"/>
    <w:rsid w:val="00F24042"/>
    <w:rsid w:val="00F255A9"/>
    <w:rsid w:val="00F26920"/>
    <w:rsid w:val="00F26F19"/>
    <w:rsid w:val="00F3020D"/>
    <w:rsid w:val="00F324E0"/>
    <w:rsid w:val="00F32ABC"/>
    <w:rsid w:val="00F33BE3"/>
    <w:rsid w:val="00F33DE1"/>
    <w:rsid w:val="00F3664B"/>
    <w:rsid w:val="00F419B2"/>
    <w:rsid w:val="00F419C4"/>
    <w:rsid w:val="00F419FC"/>
    <w:rsid w:val="00F44A1D"/>
    <w:rsid w:val="00F44B9F"/>
    <w:rsid w:val="00F44F05"/>
    <w:rsid w:val="00F46045"/>
    <w:rsid w:val="00F47E8E"/>
    <w:rsid w:val="00F527BA"/>
    <w:rsid w:val="00F54178"/>
    <w:rsid w:val="00F563A3"/>
    <w:rsid w:val="00F6134F"/>
    <w:rsid w:val="00F62E97"/>
    <w:rsid w:val="00F62EBA"/>
    <w:rsid w:val="00F64209"/>
    <w:rsid w:val="00F645B6"/>
    <w:rsid w:val="00F702A2"/>
    <w:rsid w:val="00F772D7"/>
    <w:rsid w:val="00F83BEC"/>
    <w:rsid w:val="00F83E4D"/>
    <w:rsid w:val="00F84217"/>
    <w:rsid w:val="00F844BC"/>
    <w:rsid w:val="00F8550A"/>
    <w:rsid w:val="00F90326"/>
    <w:rsid w:val="00F92955"/>
    <w:rsid w:val="00F92E01"/>
    <w:rsid w:val="00F93B93"/>
    <w:rsid w:val="00F93BF5"/>
    <w:rsid w:val="00F9495C"/>
    <w:rsid w:val="00F957D0"/>
    <w:rsid w:val="00F964FE"/>
    <w:rsid w:val="00FA1BAC"/>
    <w:rsid w:val="00FA254A"/>
    <w:rsid w:val="00FA2970"/>
    <w:rsid w:val="00FA2EFE"/>
    <w:rsid w:val="00FA3732"/>
    <w:rsid w:val="00FA3A49"/>
    <w:rsid w:val="00FA4887"/>
    <w:rsid w:val="00FA560A"/>
    <w:rsid w:val="00FA56D9"/>
    <w:rsid w:val="00FA6B9F"/>
    <w:rsid w:val="00FB1AC2"/>
    <w:rsid w:val="00FB247E"/>
    <w:rsid w:val="00FB24CF"/>
    <w:rsid w:val="00FB34A5"/>
    <w:rsid w:val="00FC1583"/>
    <w:rsid w:val="00FC7852"/>
    <w:rsid w:val="00FD1276"/>
    <w:rsid w:val="00FD13AB"/>
    <w:rsid w:val="00FD3E30"/>
    <w:rsid w:val="00FD5551"/>
    <w:rsid w:val="00FD6373"/>
    <w:rsid w:val="00FD72FF"/>
    <w:rsid w:val="00FE0490"/>
    <w:rsid w:val="00FE23F5"/>
    <w:rsid w:val="00FE6213"/>
    <w:rsid w:val="00FE6D35"/>
    <w:rsid w:val="00FE6E92"/>
    <w:rsid w:val="00FE7C95"/>
    <w:rsid w:val="00FF11F1"/>
    <w:rsid w:val="00FF3D3E"/>
    <w:rsid w:val="00FF5117"/>
    <w:rsid w:val="00FF7A41"/>
    <w:rsid w:val="037D3128"/>
    <w:rsid w:val="041A2407"/>
    <w:rsid w:val="04D1B53B"/>
    <w:rsid w:val="05B5F468"/>
    <w:rsid w:val="061F0CBA"/>
    <w:rsid w:val="07B411FA"/>
    <w:rsid w:val="0C627226"/>
    <w:rsid w:val="0D0EAE74"/>
    <w:rsid w:val="0FC92494"/>
    <w:rsid w:val="132B4A07"/>
    <w:rsid w:val="17ED4D82"/>
    <w:rsid w:val="1ED7ED59"/>
    <w:rsid w:val="20470949"/>
    <w:rsid w:val="224F0C9F"/>
    <w:rsid w:val="22996063"/>
    <w:rsid w:val="2A8B49EB"/>
    <w:rsid w:val="2D2D79D7"/>
    <w:rsid w:val="2EC94A38"/>
    <w:rsid w:val="3065801B"/>
    <w:rsid w:val="311F9C66"/>
    <w:rsid w:val="3A575183"/>
    <w:rsid w:val="3B8EA4E3"/>
    <w:rsid w:val="3DC3B942"/>
    <w:rsid w:val="3DF03E96"/>
    <w:rsid w:val="47C8EA5E"/>
    <w:rsid w:val="4958340A"/>
    <w:rsid w:val="4DA8CE77"/>
    <w:rsid w:val="51130D82"/>
    <w:rsid w:val="52638BAE"/>
    <w:rsid w:val="52966330"/>
    <w:rsid w:val="55B073FF"/>
    <w:rsid w:val="5686A91A"/>
    <w:rsid w:val="56DCCC42"/>
    <w:rsid w:val="57349197"/>
    <w:rsid w:val="5D458201"/>
    <w:rsid w:val="6064FE4D"/>
    <w:rsid w:val="611A666C"/>
    <w:rsid w:val="62C16AA6"/>
    <w:rsid w:val="631341DC"/>
    <w:rsid w:val="682DD5E0"/>
    <w:rsid w:val="6FF1C4E4"/>
    <w:rsid w:val="7113C1D9"/>
    <w:rsid w:val="79D0C49E"/>
    <w:rsid w:val="7BF5851D"/>
    <w:rsid w:val="7D169AC3"/>
    <w:rsid w:val="7D91557E"/>
    <w:rsid w:val="7F33C6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4A9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2,Footnote Text Char1 Char Char Char Char Char,Footnote Text Char1 Char Char2,Footnote Text Char2,Footnote Text Char2 Char Char1 Char Char1,Footnote Text Char2 Char1,f,fn,ft,rrfootnote"/>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documentbody1">
    <w:name w:val="documentbody1"/>
    <w:rsid w:val="0042735F"/>
    <w:rPr>
      <w:rFonts w:ascii="Verdana" w:hAnsi="Verdana" w:hint="default"/>
      <w:sz w:val="19"/>
      <w:szCs w:val="19"/>
      <w:shd w:val="clear" w:color="auto" w:fill="FFFFFF"/>
    </w:rPr>
  </w:style>
  <w:style w:type="character" w:customStyle="1" w:styleId="FootnoteTextChar1">
    <w:name w:val="Footnote Text Char1"/>
    <w:aliases w:val="Footnote Text Char Char,Footnote Text Char Char Char Char2 Char,Footnote Text Char1 Char Char Char Char Char Char,Footnote Text Char1 Char Char2 Char,Footnote Text Char2 Char Char1 Char Char1 Char,Footnote Text Char2 Char1 Char"/>
    <w:link w:val="FootnoteText"/>
    <w:rsid w:val="0042735F"/>
  </w:style>
  <w:style w:type="character" w:customStyle="1" w:styleId="ParaNumChar">
    <w:name w:val="ParaNum Char"/>
    <w:link w:val="ParaNum"/>
    <w:rsid w:val="0042735F"/>
    <w:rPr>
      <w:snapToGrid w:val="0"/>
      <w:kern w:val="28"/>
      <w:sz w:val="22"/>
    </w:rPr>
  </w:style>
  <w:style w:type="character" w:styleId="CommentReference">
    <w:name w:val="annotation reference"/>
    <w:rsid w:val="0042735F"/>
    <w:rPr>
      <w:sz w:val="16"/>
      <w:szCs w:val="16"/>
    </w:rPr>
  </w:style>
  <w:style w:type="paragraph" w:styleId="CommentText">
    <w:name w:val="annotation text"/>
    <w:basedOn w:val="Normal"/>
    <w:link w:val="CommentTextChar"/>
    <w:rsid w:val="0042735F"/>
  </w:style>
  <w:style w:type="character" w:customStyle="1" w:styleId="CommentTextChar">
    <w:name w:val="Comment Text Char"/>
    <w:basedOn w:val="DefaultParagraphFont"/>
    <w:link w:val="CommentText"/>
    <w:rsid w:val="0042735F"/>
    <w:rPr>
      <w:snapToGrid w:val="0"/>
      <w:kern w:val="28"/>
      <w:sz w:val="22"/>
    </w:rPr>
  </w:style>
  <w:style w:type="character" w:customStyle="1" w:styleId="documentbody">
    <w:name w:val="documentbody"/>
    <w:rsid w:val="0042735F"/>
  </w:style>
  <w:style w:type="paragraph" w:styleId="BalloonText">
    <w:name w:val="Balloon Text"/>
    <w:basedOn w:val="Normal"/>
    <w:link w:val="BalloonTextChar"/>
    <w:rsid w:val="0042735F"/>
    <w:rPr>
      <w:rFonts w:ascii="Segoe UI" w:hAnsi="Segoe UI" w:cs="Segoe UI"/>
      <w:sz w:val="18"/>
      <w:szCs w:val="18"/>
    </w:rPr>
  </w:style>
  <w:style w:type="character" w:customStyle="1" w:styleId="BalloonTextChar">
    <w:name w:val="Balloon Text Char"/>
    <w:basedOn w:val="DefaultParagraphFont"/>
    <w:link w:val="BalloonText"/>
    <w:rsid w:val="0042735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84B75"/>
    <w:rPr>
      <w:color w:val="605E5C"/>
      <w:shd w:val="clear" w:color="auto" w:fill="E1DFDD"/>
    </w:rPr>
  </w:style>
  <w:style w:type="paragraph" w:styleId="CommentSubject">
    <w:name w:val="annotation subject"/>
    <w:basedOn w:val="CommentText"/>
    <w:next w:val="CommentText"/>
    <w:link w:val="CommentSubjectChar"/>
    <w:rsid w:val="00BF5D74"/>
    <w:rPr>
      <w:b/>
      <w:bCs/>
      <w:sz w:val="20"/>
    </w:rPr>
  </w:style>
  <w:style w:type="character" w:customStyle="1" w:styleId="CommentSubjectChar">
    <w:name w:val="Comment Subject Char"/>
    <w:basedOn w:val="CommentTextChar"/>
    <w:link w:val="CommentSubject"/>
    <w:rsid w:val="00BF5D74"/>
    <w:rPr>
      <w:b/>
      <w:bCs/>
      <w:snapToGrid w:val="0"/>
      <w:kern w:val="28"/>
      <w:sz w:val="22"/>
    </w:rPr>
  </w:style>
  <w:style w:type="paragraph" w:styleId="ListParagraph">
    <w:name w:val="List Paragraph"/>
    <w:basedOn w:val="Normal"/>
    <w:uiPriority w:val="34"/>
    <w:qFormat/>
    <w:rsid w:val="00974A04"/>
    <w:pPr>
      <w:autoSpaceDE w:val="0"/>
      <w:autoSpaceDN w:val="0"/>
      <w:adjustRightInd w:val="0"/>
      <w:ind w:left="720"/>
    </w:pPr>
    <w:rPr>
      <w:snapToGrid/>
      <w:kern w:val="0"/>
      <w:sz w:val="20"/>
    </w:rPr>
  </w:style>
  <w:style w:type="character" w:styleId="FollowedHyperlink">
    <w:name w:val="FollowedHyperlink"/>
    <w:basedOn w:val="DefaultParagraphFont"/>
    <w:rsid w:val="007A2E87"/>
    <w:rPr>
      <w:color w:val="954F72" w:themeColor="followedHyperlink"/>
      <w:u w:val="single"/>
    </w:rPr>
  </w:style>
  <w:style w:type="character" w:customStyle="1" w:styleId="searchterm">
    <w:name w:val="searchterm"/>
    <w:rsid w:val="00A7704E"/>
  </w:style>
  <w:style w:type="character" w:customStyle="1" w:styleId="acopre">
    <w:name w:val="acopre"/>
    <w:rsid w:val="003D58F8"/>
  </w:style>
  <w:style w:type="character" w:styleId="Emphasis">
    <w:name w:val="Emphasis"/>
    <w:uiPriority w:val="20"/>
    <w:qFormat/>
    <w:rsid w:val="003D58F8"/>
    <w:rPr>
      <w:i/>
      <w:iCs/>
    </w:rPr>
  </w:style>
  <w:style w:type="character" w:customStyle="1" w:styleId="article-content">
    <w:name w:val="article-content"/>
    <w:rsid w:val="00E15C59"/>
  </w:style>
  <w:style w:type="character" w:customStyle="1" w:styleId="cosearchterm">
    <w:name w:val="co_searchterm"/>
    <w:rsid w:val="00D5169A"/>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9B048A"/>
    <w:rPr>
      <w:sz w:val="20"/>
      <w:szCs w:val="20"/>
    </w:rPr>
  </w:style>
  <w:style w:type="paragraph" w:styleId="Revision">
    <w:name w:val="Revision"/>
    <w:hidden/>
    <w:uiPriority w:val="99"/>
    <w:semiHidden/>
    <w:rsid w:val="00B14169"/>
    <w:rPr>
      <w:snapToGrid w:val="0"/>
      <w:kern w:val="28"/>
      <w:sz w:val="22"/>
    </w:rPr>
  </w:style>
  <w:style w:type="character" w:customStyle="1" w:styleId="FootnoteTextChar2Char">
    <w:name w:val="Footnote Text Char2 Char"/>
    <w:aliases w:val="Footnote Text Char Char Char Char,Footnote Text Char Char Char Char Char2 Char Char,Footnote Text Char1 Char1 Char,Footnote Text Char1 Char1 Char Char Char,Footnote Text Char2 Char Char Char1 Char Char,fn Char"/>
    <w:basedOn w:val="DefaultParagraphFont"/>
    <w:uiPriority w:val="99"/>
    <w:rsid w:val="0098480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nnifer.Lewi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emergency-managers/practitioners/integrated-public-alert-warning-system/public/emergency-alert-system" TargetMode="External" /><Relationship Id="rId2" Type="http://schemas.openxmlformats.org/officeDocument/2006/relationships/hyperlink" Target="https://www.sec.gov/Archives/edgar/data/1099160/000119312521048932/d48230d10k.htm" TargetMode="External" /><Relationship Id="rId3" Type="http://schemas.openxmlformats.org/officeDocument/2006/relationships/hyperlink" Target="https://www.nielsen.com/wp-content/uploads/sites/3/2020/07/radio-market-survey-population-rankings-information.pdf" TargetMode="External" /><Relationship Id="rId4" Type="http://schemas.openxmlformats.org/officeDocument/2006/relationships/hyperlink" Target="mailto:ARINQUIRIES@fcc.gov" TargetMode="External" /><Relationship Id="rId5"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