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F2901" w:rsidRPr="00F459E1" w:rsidP="006F2901" w14:paraId="76004994" w14:textId="67ED815E">
      <w:pPr>
        <w:spacing w:after="0" w:line="240" w:lineRule="auto"/>
        <w:rPr>
          <w:rFonts w:ascii="Times New Roman" w:hAnsi="Times New Roman" w:cs="Times New Roman"/>
        </w:rPr>
      </w:pPr>
    </w:p>
    <w:p w:rsidR="000E4E16" w:rsidRPr="00F459E1" w:rsidP="00511023" w14:paraId="02752977" w14:textId="1786AC7A">
      <w:pPr>
        <w:spacing w:after="0"/>
        <w:jc w:val="right"/>
        <w:rPr>
          <w:rFonts w:ascii="Times New Roman" w:hAnsi="Times New Roman" w:cs="Times New Roman"/>
          <w:b/>
        </w:rPr>
      </w:pPr>
      <w:r w:rsidRPr="00F459E1">
        <w:rPr>
          <w:rFonts w:ascii="Times New Roman" w:hAnsi="Times New Roman" w:cs="Times New Roman"/>
        </w:rPr>
        <w:t xml:space="preserve">                                                          </w:t>
      </w:r>
      <w:r w:rsidRPr="00F459E1">
        <w:rPr>
          <w:rFonts w:ascii="Times New Roman" w:hAnsi="Times New Roman" w:cs="Times New Roman"/>
        </w:rPr>
        <w:t xml:space="preserve">                                                          </w:t>
      </w:r>
      <w:r w:rsidRPr="00F459E1" w:rsidR="00121A4A">
        <w:rPr>
          <w:rFonts w:ascii="Times New Roman" w:hAnsi="Times New Roman" w:cs="Times New Roman"/>
        </w:rPr>
        <w:tab/>
      </w:r>
      <w:r w:rsidRPr="00F459E1">
        <w:rPr>
          <w:rFonts w:ascii="Times New Roman" w:hAnsi="Times New Roman" w:cs="Times New Roman"/>
        </w:rPr>
        <w:t xml:space="preserve"> </w:t>
      </w:r>
      <w:r w:rsidRPr="00F459E1" w:rsidR="00F4281B">
        <w:rPr>
          <w:rFonts w:ascii="Times New Roman" w:hAnsi="Times New Roman" w:cs="Times New Roman"/>
        </w:rPr>
        <w:t xml:space="preserve">         </w:t>
      </w:r>
      <w:r w:rsidRPr="00F459E1" w:rsidR="00CF73D7">
        <w:rPr>
          <w:rFonts w:ascii="Times New Roman" w:hAnsi="Times New Roman" w:cs="Times New Roman"/>
          <w:b/>
        </w:rPr>
        <w:t xml:space="preserve">DA </w:t>
      </w:r>
      <w:r w:rsidR="00697C01">
        <w:rPr>
          <w:rFonts w:ascii="Times New Roman" w:hAnsi="Times New Roman" w:cs="Times New Roman"/>
          <w:b/>
        </w:rPr>
        <w:t>21</w:t>
      </w:r>
      <w:r w:rsidRPr="00F459E1" w:rsidR="00CF73D7">
        <w:rPr>
          <w:rFonts w:ascii="Times New Roman" w:hAnsi="Times New Roman" w:cs="Times New Roman"/>
          <w:b/>
        </w:rPr>
        <w:t>-</w:t>
      </w:r>
      <w:r w:rsidR="00D27207">
        <w:rPr>
          <w:rFonts w:ascii="Times New Roman" w:hAnsi="Times New Roman" w:cs="Times New Roman"/>
          <w:b/>
        </w:rPr>
        <w:t>1359</w:t>
      </w:r>
    </w:p>
    <w:p w:rsidR="006F117F" w:rsidRPr="00F459E1" w:rsidP="00511023" w14:paraId="700578AB" w14:textId="77777777">
      <w:pPr>
        <w:spacing w:after="0"/>
        <w:jc w:val="right"/>
        <w:rPr>
          <w:rFonts w:ascii="Times New Roman" w:hAnsi="Times New Roman" w:cs="Times New Roman"/>
          <w:sz w:val="24"/>
          <w:szCs w:val="24"/>
        </w:rPr>
      </w:pPr>
    </w:p>
    <w:p w:rsidR="000E4E16" w:rsidRPr="00F459E1" w:rsidP="00881DA8" w14:paraId="02B71EAA" w14:textId="5A655CC1">
      <w:pPr>
        <w:spacing w:after="0"/>
        <w:jc w:val="center"/>
        <w:rPr>
          <w:rFonts w:ascii="Times New Roman" w:hAnsi="Times New Roman" w:cs="Times New Roman"/>
          <w:b/>
          <w:sz w:val="28"/>
          <w:szCs w:val="28"/>
        </w:rPr>
      </w:pPr>
      <w:r w:rsidRPr="00F459E1">
        <w:rPr>
          <w:rFonts w:ascii="Times New Roman" w:hAnsi="Times New Roman" w:cs="Times New Roman"/>
          <w:b/>
          <w:sz w:val="28"/>
          <w:szCs w:val="28"/>
        </w:rPr>
        <w:t>SMALL ENTITY COMPLIANCE GUIDE</w:t>
      </w:r>
    </w:p>
    <w:p w:rsidR="009755BF" w:rsidRPr="00F459E1" w:rsidP="00881DA8" w14:paraId="7DA43F36" w14:textId="77777777">
      <w:pPr>
        <w:spacing w:after="0"/>
        <w:jc w:val="center"/>
        <w:rPr>
          <w:rFonts w:ascii="Times New Roman" w:hAnsi="Times New Roman" w:cs="Times New Roman"/>
          <w:b/>
        </w:rPr>
      </w:pPr>
    </w:p>
    <w:p w:rsidR="009755BF" w:rsidRPr="00F459E1" w:rsidP="00881DA8" w14:paraId="72B5473F" w14:textId="6F66B0A8">
      <w:pPr>
        <w:spacing w:after="0"/>
        <w:ind w:hanging="90"/>
        <w:jc w:val="center"/>
        <w:rPr>
          <w:rFonts w:ascii="Times New Roman" w:hAnsi="Times New Roman" w:cs="Times New Roman"/>
          <w:b/>
        </w:rPr>
      </w:pPr>
      <w:r w:rsidRPr="00F459E1">
        <w:rPr>
          <w:rFonts w:ascii="Times New Roman" w:hAnsi="Times New Roman" w:cs="Times New Roman"/>
          <w:b/>
        </w:rPr>
        <w:t xml:space="preserve">Protecting Against National Security Threats to the </w:t>
      </w:r>
      <w:r w:rsidRPr="00F459E1" w:rsidR="00881DA8">
        <w:rPr>
          <w:rFonts w:ascii="Times New Roman" w:hAnsi="Times New Roman" w:cs="Times New Roman"/>
          <w:b/>
        </w:rPr>
        <w:t>Communications</w:t>
      </w:r>
    </w:p>
    <w:p w:rsidR="006F2901" w:rsidRPr="00F459E1" w:rsidP="00881DA8" w14:paraId="567AC2E3" w14:textId="0EADE802">
      <w:pPr>
        <w:spacing w:after="0"/>
        <w:ind w:hanging="90"/>
        <w:jc w:val="center"/>
        <w:rPr>
          <w:rFonts w:ascii="Times New Roman" w:hAnsi="Times New Roman" w:cs="Times New Roman"/>
          <w:b/>
        </w:rPr>
      </w:pPr>
      <w:r w:rsidRPr="00F459E1">
        <w:rPr>
          <w:rFonts w:ascii="Times New Roman" w:hAnsi="Times New Roman" w:cs="Times New Roman"/>
          <w:b/>
        </w:rPr>
        <w:t>Supply Chain</w:t>
      </w:r>
      <w:r w:rsidRPr="00F459E1" w:rsidR="009755BF">
        <w:rPr>
          <w:rFonts w:ascii="Times New Roman" w:hAnsi="Times New Roman" w:cs="Times New Roman"/>
          <w:b/>
        </w:rPr>
        <w:t xml:space="preserve"> </w:t>
      </w:r>
      <w:r w:rsidRPr="00F459E1">
        <w:rPr>
          <w:rFonts w:ascii="Times New Roman" w:hAnsi="Times New Roman" w:cs="Times New Roman"/>
          <w:b/>
        </w:rPr>
        <w:t>Through FCC Program</w:t>
      </w:r>
    </w:p>
    <w:p w:rsidR="009755BF" w:rsidRPr="00F459E1" w:rsidP="00C145FA" w14:paraId="40AA523E" w14:textId="318257CF">
      <w:pPr>
        <w:tabs>
          <w:tab w:val="left" w:pos="8040"/>
        </w:tabs>
        <w:spacing w:after="0"/>
        <w:ind w:hanging="9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6F2901" w:rsidRPr="00F459E1" w:rsidP="00881DA8" w14:paraId="3E93547C" w14:textId="24D258D1">
      <w:pPr>
        <w:spacing w:after="0"/>
        <w:jc w:val="center"/>
        <w:rPr>
          <w:rFonts w:ascii="Times New Roman" w:hAnsi="Times New Roman" w:cs="Times New Roman"/>
          <w:b/>
          <w:sz w:val="24"/>
          <w:szCs w:val="24"/>
        </w:rPr>
      </w:pPr>
      <w:r w:rsidRPr="00F459E1">
        <w:rPr>
          <w:rFonts w:ascii="Times New Roman" w:hAnsi="Times New Roman" w:cs="Times New Roman"/>
          <w:b/>
          <w:sz w:val="24"/>
          <w:szCs w:val="24"/>
        </w:rPr>
        <w:t xml:space="preserve">FCC </w:t>
      </w:r>
      <w:r w:rsidRPr="00F459E1" w:rsidR="00BF4D4E">
        <w:rPr>
          <w:rFonts w:ascii="Times New Roman" w:hAnsi="Times New Roman" w:cs="Times New Roman"/>
          <w:b/>
          <w:sz w:val="24"/>
          <w:szCs w:val="24"/>
        </w:rPr>
        <w:t>20-176</w:t>
      </w:r>
    </w:p>
    <w:p w:rsidR="006F2901" w:rsidRPr="00F459E1" w:rsidP="00881DA8" w14:paraId="351CE09B" w14:textId="092C3BFC">
      <w:pPr>
        <w:spacing w:after="0"/>
        <w:jc w:val="center"/>
        <w:rPr>
          <w:rFonts w:ascii="Times New Roman" w:hAnsi="Times New Roman" w:cs="Times New Roman"/>
          <w:sz w:val="24"/>
          <w:szCs w:val="24"/>
        </w:rPr>
      </w:pPr>
      <w:r w:rsidRPr="00F459E1">
        <w:rPr>
          <w:rFonts w:ascii="Times New Roman" w:hAnsi="Times New Roman" w:cs="Times New Roman"/>
          <w:b/>
          <w:sz w:val="24"/>
          <w:szCs w:val="24"/>
        </w:rPr>
        <w:t>WC</w:t>
      </w:r>
      <w:r w:rsidRPr="00F459E1" w:rsidR="00C37AC8">
        <w:rPr>
          <w:rFonts w:ascii="Times New Roman" w:hAnsi="Times New Roman" w:cs="Times New Roman"/>
          <w:b/>
          <w:sz w:val="24"/>
          <w:szCs w:val="24"/>
        </w:rPr>
        <w:t xml:space="preserve"> Docket No. </w:t>
      </w:r>
      <w:r w:rsidRPr="00F459E1">
        <w:rPr>
          <w:rFonts w:ascii="Times New Roman" w:hAnsi="Times New Roman" w:cs="Times New Roman"/>
          <w:b/>
          <w:sz w:val="24"/>
          <w:szCs w:val="24"/>
        </w:rPr>
        <w:t>18-89</w:t>
      </w:r>
    </w:p>
    <w:p w:rsidR="006F2901" w:rsidRPr="00F459E1" w:rsidP="00881DA8" w14:paraId="2FE15FB2" w14:textId="0105E73A">
      <w:pPr>
        <w:spacing w:after="0"/>
        <w:jc w:val="center"/>
        <w:rPr>
          <w:rFonts w:ascii="Times New Roman" w:hAnsi="Times New Roman" w:cs="Times New Roman"/>
          <w:b/>
          <w:sz w:val="24"/>
          <w:szCs w:val="24"/>
        </w:rPr>
      </w:pPr>
      <w:r w:rsidRPr="00F459E1">
        <w:rPr>
          <w:rFonts w:ascii="Times New Roman" w:hAnsi="Times New Roman" w:cs="Times New Roman"/>
          <w:b/>
          <w:sz w:val="24"/>
          <w:szCs w:val="24"/>
        </w:rPr>
        <w:t xml:space="preserve">Released </w:t>
      </w:r>
      <w:r w:rsidRPr="00F459E1" w:rsidR="00CF73D7">
        <w:rPr>
          <w:rFonts w:ascii="Times New Roman" w:hAnsi="Times New Roman" w:cs="Times New Roman"/>
          <w:b/>
          <w:sz w:val="24"/>
          <w:szCs w:val="24"/>
        </w:rPr>
        <w:t>July 13,</w:t>
      </w:r>
      <w:r w:rsidRPr="00F459E1" w:rsidR="007F70A3">
        <w:rPr>
          <w:rFonts w:ascii="Times New Roman" w:hAnsi="Times New Roman" w:cs="Times New Roman"/>
          <w:b/>
          <w:sz w:val="24"/>
          <w:szCs w:val="24"/>
        </w:rPr>
        <w:t xml:space="preserve"> 202</w:t>
      </w:r>
      <w:r w:rsidRPr="00F459E1" w:rsidR="00CF73D7">
        <w:rPr>
          <w:rFonts w:ascii="Times New Roman" w:hAnsi="Times New Roman" w:cs="Times New Roman"/>
          <w:b/>
          <w:sz w:val="24"/>
          <w:szCs w:val="24"/>
        </w:rPr>
        <w:t>1</w:t>
      </w:r>
    </w:p>
    <w:p w:rsidR="000E4E16" w:rsidRPr="00F459E1" w:rsidP="000E4E16" w14:paraId="7420EAC8" w14:textId="77777777">
      <w:pPr>
        <w:spacing w:after="0"/>
        <w:rPr>
          <w:rFonts w:ascii="Times New Roman" w:hAnsi="Times New Roman" w:cs="Times New Roman"/>
        </w:rPr>
      </w:pPr>
    </w:p>
    <w:p w:rsidR="006F2901" w:rsidRPr="00F459E1" w:rsidP="009755BF" w14:paraId="0359BFFD" w14:textId="7A0392C2">
      <w:pPr>
        <w:spacing w:after="0"/>
        <w:rPr>
          <w:rFonts w:ascii="Times New Roman" w:hAnsi="Times New Roman" w:cs="Times New Roman"/>
          <w:b/>
        </w:rPr>
      </w:pPr>
      <w:r w:rsidRPr="00F459E1">
        <w:rPr>
          <w:rFonts w:ascii="Times New Roman" w:hAnsi="Times New Roman" w:cs="Times New Roman"/>
          <w:b/>
        </w:rPr>
        <w:t>Th</w:t>
      </w:r>
      <w:r w:rsidRPr="00F459E1">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F459E1" w:rsidR="00C47CEF">
        <w:rPr>
          <w:rFonts w:ascii="Times New Roman" w:hAnsi="Times New Roman" w:cs="Times New Roman"/>
          <w:b/>
        </w:rPr>
        <w:t xml:space="preserve">revised </w:t>
      </w:r>
      <w:r w:rsidRPr="00F459E1">
        <w:rPr>
          <w:rFonts w:ascii="Times New Roman" w:hAnsi="Times New Roman" w:cs="Times New Roman"/>
          <w:b/>
        </w:rPr>
        <w:t xml:space="preserve">rules adopted in the above-referenced </w:t>
      </w:r>
      <w:r w:rsidRPr="00F459E1" w:rsidR="00C47CEF">
        <w:rPr>
          <w:rFonts w:ascii="Times New Roman" w:hAnsi="Times New Roman" w:cs="Times New Roman"/>
          <w:b/>
        </w:rPr>
        <w:t>Federal Communications Commission (</w:t>
      </w:r>
      <w:r w:rsidRPr="00F459E1">
        <w:rPr>
          <w:rFonts w:ascii="Times New Roman" w:hAnsi="Times New Roman" w:cs="Times New Roman"/>
          <w:b/>
        </w:rPr>
        <w:t>FCC</w:t>
      </w:r>
      <w:r w:rsidRPr="00F459E1" w:rsidR="00C47CEF">
        <w:rPr>
          <w:rFonts w:ascii="Times New Roman" w:hAnsi="Times New Roman" w:cs="Times New Roman"/>
          <w:b/>
        </w:rPr>
        <w:t xml:space="preserve"> or Commission)</w:t>
      </w:r>
      <w:r w:rsidRPr="00F459E1">
        <w:rPr>
          <w:rFonts w:ascii="Times New Roman" w:hAnsi="Times New Roman" w:cs="Times New Roman"/>
          <w:b/>
        </w:rPr>
        <w:t xml:space="preserve"> rulemaking dockets.  This Guide is not intended to replace </w:t>
      </w:r>
      <w:r w:rsidRPr="00F459E1" w:rsidR="00C47CEF">
        <w:rPr>
          <w:rFonts w:ascii="Times New Roman" w:hAnsi="Times New Roman" w:cs="Times New Roman"/>
          <w:b/>
        </w:rPr>
        <w:t xml:space="preserve">or supersede </w:t>
      </w:r>
      <w:r w:rsidRPr="00F459E1">
        <w:rPr>
          <w:rFonts w:ascii="Times New Roman" w:hAnsi="Times New Roman" w:cs="Times New Roman"/>
          <w:b/>
        </w:rPr>
        <w:t>the</w:t>
      </w:r>
      <w:r w:rsidRPr="00F459E1" w:rsidR="00C47CEF">
        <w:rPr>
          <w:rFonts w:ascii="Times New Roman" w:hAnsi="Times New Roman" w:cs="Times New Roman"/>
          <w:b/>
        </w:rPr>
        <w:t>se</w:t>
      </w:r>
      <w:r w:rsidRPr="00F459E1">
        <w:rPr>
          <w:rFonts w:ascii="Times New Roman" w:hAnsi="Times New Roman" w:cs="Times New Roman"/>
          <w:b/>
        </w:rPr>
        <w:t xml:space="preserve"> rules</w:t>
      </w:r>
      <w:r w:rsidRPr="00F459E1" w:rsidR="00C47CEF">
        <w:rPr>
          <w:rFonts w:ascii="Times New Roman" w:hAnsi="Times New Roman" w:cs="Times New Roman"/>
          <w:b/>
        </w:rPr>
        <w:t xml:space="preserve">, but to facilitate compliance with the rules. </w:t>
      </w:r>
      <w:r w:rsidRPr="00F459E1">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F459E1" w:rsidR="00B629FE">
        <w:rPr>
          <w:rFonts w:ascii="Times New Roman" w:hAnsi="Times New Roman" w:cs="Times New Roman"/>
          <w:b/>
        </w:rPr>
        <w:t xml:space="preserve">cannot anticipate all situations in which the rules apply.  Furthermore, the Commission </w:t>
      </w:r>
      <w:r w:rsidRPr="00F459E1">
        <w:rPr>
          <w:rFonts w:ascii="Times New Roman" w:hAnsi="Times New Roman" w:cs="Times New Roman"/>
          <w:b/>
        </w:rPr>
        <w:t xml:space="preserve">retains the discretion to adopt </w:t>
      </w:r>
      <w:r w:rsidRPr="00F459E1" w:rsidR="00B629FE">
        <w:rPr>
          <w:rFonts w:ascii="Times New Roman" w:hAnsi="Times New Roman" w:cs="Times New Roman"/>
          <w:b/>
        </w:rPr>
        <w:t xml:space="preserve">case-by-case </w:t>
      </w:r>
      <w:r w:rsidRPr="00F459E1">
        <w:rPr>
          <w:rFonts w:ascii="Times New Roman" w:hAnsi="Times New Roman" w:cs="Times New Roman"/>
          <w:b/>
        </w:rPr>
        <w:t>approaches</w:t>
      </w:r>
      <w:r w:rsidRPr="00F459E1" w:rsidR="00B629FE">
        <w:rPr>
          <w:rFonts w:ascii="Times New Roman" w:hAnsi="Times New Roman" w:cs="Times New Roman"/>
          <w:b/>
        </w:rPr>
        <w:t>, where appropriate,</w:t>
      </w:r>
      <w:r w:rsidRPr="00F459E1">
        <w:rPr>
          <w:rFonts w:ascii="Times New Roman" w:hAnsi="Times New Roman" w:cs="Times New Roman"/>
          <w:b/>
        </w:rPr>
        <w:t xml:space="preserve"> that may differ from this Guide.  Any decision regarding a particular small entity will be based on the statute and</w:t>
      </w:r>
      <w:r w:rsidRPr="00F459E1" w:rsidR="008E2841">
        <w:rPr>
          <w:rFonts w:ascii="Times New Roman" w:hAnsi="Times New Roman" w:cs="Times New Roman"/>
          <w:b/>
        </w:rPr>
        <w:t xml:space="preserve"> any relevant rules</w:t>
      </w:r>
      <w:r w:rsidRPr="00F459E1">
        <w:rPr>
          <w:rFonts w:ascii="Times New Roman" w:hAnsi="Times New Roman" w:cs="Times New Roman"/>
          <w:b/>
        </w:rPr>
        <w:t>.</w:t>
      </w:r>
    </w:p>
    <w:p w:rsidR="009755BF" w:rsidRPr="00F459E1" w:rsidP="009755BF" w14:paraId="7622170E" w14:textId="77777777">
      <w:pPr>
        <w:spacing w:after="0"/>
        <w:rPr>
          <w:rFonts w:ascii="Times New Roman" w:hAnsi="Times New Roman" w:cs="Times New Roman"/>
          <w:b/>
        </w:rPr>
      </w:pPr>
    </w:p>
    <w:p w:rsidR="006F2901" w:rsidRPr="00F459E1" w:rsidP="009755BF" w14:paraId="65D355CA" w14:textId="13621D8C">
      <w:pPr>
        <w:spacing w:after="0"/>
        <w:rPr>
          <w:rFonts w:ascii="Times New Roman" w:hAnsi="Times New Roman" w:cs="Times New Roman"/>
          <w:b/>
        </w:rPr>
      </w:pPr>
      <w:r w:rsidRPr="00F459E1">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F459E1" w:rsidR="00B47D0B">
        <w:rPr>
          <w:rFonts w:ascii="Times New Roman" w:hAnsi="Times New Roman" w:cs="Times New Roman"/>
          <w:b/>
        </w:rPr>
        <w:t>. T</w:t>
      </w:r>
      <w:r w:rsidRPr="00F459E1">
        <w:rPr>
          <w:rFonts w:ascii="Times New Roman" w:hAnsi="Times New Roman" w:cs="Times New Roman"/>
          <w:b/>
        </w:rPr>
        <w:t xml:space="preserve">he FCC will </w:t>
      </w:r>
      <w:r w:rsidRPr="00F459E1" w:rsidR="00FE30EB">
        <w:rPr>
          <w:rFonts w:ascii="Times New Roman" w:hAnsi="Times New Roman" w:cs="Times New Roman"/>
          <w:b/>
        </w:rPr>
        <w:t xml:space="preserve">then </w:t>
      </w:r>
      <w:r w:rsidRPr="00F459E1">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F459E1" w:rsidR="00B47D0B">
        <w:rPr>
          <w:rFonts w:ascii="Times New Roman" w:hAnsi="Times New Roman" w:cs="Times New Roman"/>
          <w:b/>
        </w:rPr>
        <w:t>i</w:t>
      </w:r>
      <w:r w:rsidRPr="00F459E1">
        <w:rPr>
          <w:rFonts w:ascii="Times New Roman" w:hAnsi="Times New Roman" w:cs="Times New Roman"/>
          <w:b/>
        </w:rPr>
        <w:t>t</w:t>
      </w:r>
      <w:r w:rsidRPr="00F459E1" w:rsidR="00B47D0B">
        <w:rPr>
          <w:rFonts w:ascii="Times New Roman" w:hAnsi="Times New Roman" w:cs="Times New Roman"/>
          <w:b/>
        </w:rPr>
        <w:t xml:space="preserve"> may</w:t>
      </w:r>
      <w:r w:rsidRPr="00F459E1">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F459E1" w:rsidP="000E4E16" w14:paraId="44F9D184" w14:textId="77777777">
      <w:pPr>
        <w:pStyle w:val="ListParagraph"/>
        <w:ind w:left="1080"/>
        <w:rPr>
          <w:rFonts w:ascii="Times New Roman" w:hAnsi="Times New Roman" w:cs="Times New Roman"/>
          <w:b/>
        </w:rPr>
      </w:pPr>
    </w:p>
    <w:p w:rsidR="006F2901" w:rsidRPr="00F459E1" w:rsidP="003C0CAE" w14:paraId="3EE78D98" w14:textId="05A6654E">
      <w:pPr>
        <w:pStyle w:val="ListParagraph"/>
        <w:ind w:left="0"/>
        <w:jc w:val="center"/>
        <w:rPr>
          <w:rFonts w:ascii="Times New Roman" w:hAnsi="Times New Roman" w:cs="Times New Roman"/>
          <w:b/>
        </w:rPr>
      </w:pPr>
      <w:r w:rsidRPr="00F459E1">
        <w:rPr>
          <w:rFonts w:ascii="Times New Roman" w:hAnsi="Times New Roman" w:cs="Times New Roman"/>
          <w:b/>
        </w:rPr>
        <w:t>1-888-CALL-FCC (1-888-225-5322)</w:t>
      </w:r>
    </w:p>
    <w:p w:rsidR="00B47D0B" w:rsidRPr="00F459E1" w:rsidP="003C0CAE" w14:paraId="7189DA74" w14:textId="5B89279E">
      <w:pPr>
        <w:pStyle w:val="ListParagraph"/>
        <w:ind w:left="0"/>
        <w:jc w:val="center"/>
        <w:rPr>
          <w:rFonts w:ascii="Times New Roman" w:hAnsi="Times New Roman" w:cs="Times New Roman"/>
          <w:b/>
        </w:rPr>
      </w:pPr>
      <w:r w:rsidRPr="00F459E1">
        <w:rPr>
          <w:rFonts w:ascii="Times New Roman" w:hAnsi="Times New Roman" w:cs="Times New Roman"/>
          <w:b/>
        </w:rPr>
        <w:t>TTY: 1-888-TELL-FCC (1-888-835-5322)</w:t>
      </w:r>
    </w:p>
    <w:p w:rsidR="006F2901" w:rsidRPr="00F459E1" w:rsidP="003C0CAE" w14:paraId="542FD57C" w14:textId="71A82108">
      <w:pPr>
        <w:pStyle w:val="ListParagraph"/>
        <w:ind w:left="0"/>
        <w:jc w:val="center"/>
        <w:rPr>
          <w:rFonts w:ascii="Times New Roman" w:hAnsi="Times New Roman" w:cs="Times New Roman"/>
          <w:b/>
        </w:rPr>
      </w:pPr>
      <w:r w:rsidRPr="00F459E1">
        <w:rPr>
          <w:rFonts w:ascii="Times New Roman" w:hAnsi="Times New Roman" w:cs="Times New Roman"/>
          <w:b/>
        </w:rPr>
        <w:t>Videophone: 1-844-4-FCC-ASL (1-844-432-2275)</w:t>
      </w:r>
    </w:p>
    <w:p w:rsidR="0095132F" w:rsidRPr="00F459E1" w:rsidP="003C0CAE" w14:paraId="4A1DEB02" w14:textId="37C1C0C6">
      <w:pPr>
        <w:pStyle w:val="ListParagraph"/>
        <w:ind w:left="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F459E1">
        <w:rPr>
          <w:rFonts w:ascii="Times New Roman" w:hAnsi="Times New Roman" w:cs="Times New Roman"/>
          <w:b/>
        </w:rPr>
        <w:t>Fax: 1-866-418-0232</w:t>
      </w:r>
    </w:p>
    <w:p w:rsidR="00CD624E" w:rsidRPr="00F459E1" w:rsidP="00CD624E" w14:paraId="25301E88" w14:textId="77777777">
      <w:pPr>
        <w:jc w:val="center"/>
        <w:rPr>
          <w:rFonts w:ascii="Times New Roman" w:hAnsi="Times New Roman" w:cs="Times New Roman"/>
          <w:b/>
          <w:u w:val="single"/>
        </w:rPr>
      </w:pPr>
      <w:r w:rsidRPr="00F459E1">
        <w:rPr>
          <w:rFonts w:ascii="Times New Roman" w:hAnsi="Times New Roman" w:cs="Times New Roman"/>
          <w:b/>
          <w:u w:val="single"/>
        </w:rPr>
        <w:t>TABLE OF CONTENTS</w:t>
      </w:r>
    </w:p>
    <w:p w:rsidR="00CD624E" w:rsidRPr="00F459E1" w:rsidP="00CD624E" w14:paraId="0B3562B8" w14:textId="77777777">
      <w:pPr>
        <w:rPr>
          <w:rFonts w:ascii="Times New Roman" w:hAnsi="Times New Roman" w:cs="Times New Roman"/>
        </w:rPr>
      </w:pPr>
    </w:p>
    <w:p w:rsidR="00CD624E" w:rsidRPr="00F459E1" w:rsidP="00CD624E" w14:paraId="1A18EB69" w14:textId="32080892">
      <w:pPr>
        <w:tabs>
          <w:tab w:val="right" w:leader="dot" w:pos="8640"/>
        </w:tabs>
        <w:rPr>
          <w:rFonts w:ascii="Times New Roman" w:hAnsi="Times New Roman" w:cs="Times New Roman"/>
          <w:b/>
        </w:rPr>
      </w:pPr>
      <w:r w:rsidRPr="00F459E1">
        <w:rPr>
          <w:rFonts w:ascii="Times New Roman" w:hAnsi="Times New Roman" w:cs="Times New Roman"/>
          <w:b/>
        </w:rPr>
        <w:t xml:space="preserve">I.          OBJECTIVES OF THE PROCEEDING </w:t>
      </w:r>
      <w:r w:rsidRPr="00F459E1">
        <w:rPr>
          <w:rFonts w:ascii="Times New Roman" w:hAnsi="Times New Roman" w:cs="Times New Roman"/>
          <w:b/>
        </w:rPr>
        <w:tab/>
      </w:r>
      <w:r w:rsidRPr="00F459E1" w:rsidR="00466A42">
        <w:rPr>
          <w:rFonts w:ascii="Times New Roman" w:hAnsi="Times New Roman" w:cs="Times New Roman"/>
          <w:b/>
        </w:rPr>
        <w:t>1</w:t>
      </w:r>
    </w:p>
    <w:p w:rsidR="00CD624E" w:rsidRPr="00F459E1" w:rsidP="00CD624E" w14:paraId="490BE852" w14:textId="5F269B65">
      <w:pPr>
        <w:tabs>
          <w:tab w:val="right" w:leader="dot" w:pos="8640"/>
        </w:tabs>
        <w:rPr>
          <w:rFonts w:ascii="Times New Roman" w:hAnsi="Times New Roman" w:cs="Times New Roman"/>
          <w:b/>
        </w:rPr>
      </w:pPr>
      <w:r w:rsidRPr="00F459E1">
        <w:rPr>
          <w:rFonts w:ascii="Times New Roman" w:hAnsi="Times New Roman" w:cs="Times New Roman"/>
          <w:b/>
        </w:rPr>
        <w:t xml:space="preserve">II.         COMPLIANCE REQUIREMENTS </w:t>
      </w:r>
      <w:r w:rsidRPr="00F459E1">
        <w:rPr>
          <w:rFonts w:ascii="Times New Roman" w:hAnsi="Times New Roman" w:cs="Times New Roman"/>
          <w:b/>
        </w:rPr>
        <w:tab/>
      </w:r>
      <w:r w:rsidRPr="00F459E1" w:rsidR="003579D9">
        <w:rPr>
          <w:rFonts w:ascii="Times New Roman" w:hAnsi="Times New Roman" w:cs="Times New Roman"/>
          <w:b/>
        </w:rPr>
        <w:t>1</w:t>
      </w:r>
    </w:p>
    <w:p w:rsidR="00CD624E" w:rsidRPr="00F459E1" w:rsidP="00CD624E" w14:paraId="68DC6F13" w14:textId="49F8B756">
      <w:pPr>
        <w:tabs>
          <w:tab w:val="right" w:leader="dot" w:pos="8640"/>
        </w:tabs>
        <w:rPr>
          <w:rFonts w:ascii="Times New Roman" w:hAnsi="Times New Roman" w:cs="Times New Roman"/>
          <w:b/>
        </w:rPr>
      </w:pPr>
      <w:r w:rsidRPr="00F459E1">
        <w:rPr>
          <w:rFonts w:ascii="Times New Roman" w:hAnsi="Times New Roman" w:cs="Times New Roman"/>
          <w:b/>
        </w:rPr>
        <w:t xml:space="preserve">III.        RECORDKEEPING AND REPORTING REQUIREMENTS </w:t>
      </w:r>
      <w:r w:rsidRPr="00F459E1">
        <w:rPr>
          <w:rFonts w:ascii="Times New Roman" w:hAnsi="Times New Roman" w:cs="Times New Roman"/>
          <w:b/>
        </w:rPr>
        <w:tab/>
      </w:r>
      <w:r w:rsidRPr="00F459E1" w:rsidR="00F160B3">
        <w:rPr>
          <w:rFonts w:ascii="Times New Roman" w:hAnsi="Times New Roman" w:cs="Times New Roman"/>
          <w:b/>
        </w:rPr>
        <w:t>7</w:t>
      </w:r>
    </w:p>
    <w:p w:rsidR="00CD624E" w:rsidRPr="00F459E1" w:rsidP="00CD624E" w14:paraId="6B9E0B35" w14:textId="77FB1516">
      <w:pPr>
        <w:tabs>
          <w:tab w:val="right" w:leader="dot" w:pos="8640"/>
        </w:tabs>
        <w:rPr>
          <w:rFonts w:ascii="Times New Roman" w:hAnsi="Times New Roman" w:cs="Times New Roman"/>
          <w:b/>
        </w:rPr>
      </w:pPr>
      <w:r w:rsidRPr="00F459E1">
        <w:rPr>
          <w:rFonts w:ascii="Times New Roman" w:hAnsi="Times New Roman" w:cs="Times New Roman"/>
          <w:b/>
        </w:rPr>
        <w:t xml:space="preserve">IV.        IMPLEMENTATION DATE </w:t>
      </w:r>
      <w:r w:rsidRPr="00F459E1">
        <w:rPr>
          <w:rFonts w:ascii="Times New Roman" w:hAnsi="Times New Roman" w:cs="Times New Roman"/>
          <w:b/>
        </w:rPr>
        <w:tab/>
      </w:r>
      <w:r w:rsidR="009F346C">
        <w:rPr>
          <w:rFonts w:ascii="Times New Roman" w:hAnsi="Times New Roman" w:cs="Times New Roman"/>
          <w:b/>
        </w:rPr>
        <w:t>7</w:t>
      </w:r>
    </w:p>
    <w:p w:rsidR="00CD624E" w:rsidRPr="00F459E1" w:rsidP="00CD624E" w14:paraId="2920F242" w14:textId="659E4D82">
      <w:pPr>
        <w:tabs>
          <w:tab w:val="right" w:leader="dot" w:pos="8640"/>
        </w:tabs>
        <w:rPr>
          <w:rFonts w:ascii="Times New Roman" w:hAnsi="Times New Roman" w:cs="Times New Roman"/>
          <w:b/>
        </w:rPr>
      </w:pPr>
      <w:r w:rsidRPr="00F459E1">
        <w:rPr>
          <w:rFonts w:ascii="Times New Roman" w:hAnsi="Times New Roman" w:cs="Times New Roman"/>
          <w:b/>
        </w:rPr>
        <w:t xml:space="preserve">V.         INTERNET LINKS </w:t>
      </w:r>
      <w:r w:rsidRPr="00F459E1">
        <w:rPr>
          <w:rFonts w:ascii="Times New Roman" w:hAnsi="Times New Roman" w:cs="Times New Roman"/>
          <w:b/>
        </w:rPr>
        <w:tab/>
      </w:r>
      <w:r w:rsidRPr="00F459E1" w:rsidR="00F160B3">
        <w:rPr>
          <w:rFonts w:ascii="Times New Roman" w:hAnsi="Times New Roman" w:cs="Times New Roman"/>
          <w:b/>
        </w:rPr>
        <w:t>8</w:t>
      </w:r>
    </w:p>
    <w:p w:rsidR="00CD624E" w:rsidRPr="00F459E1" w:rsidP="00074CA4" w14:paraId="4688C0B6" w14:textId="77777777">
      <w:pPr>
        <w:pStyle w:val="ListParagraph"/>
        <w:spacing w:after="0"/>
        <w:ind w:left="0"/>
        <w:rPr>
          <w:rFonts w:ascii="Times New Roman" w:hAnsi="Times New Roman" w:cs="Times New Roman"/>
          <w:b/>
        </w:rPr>
      </w:pPr>
    </w:p>
    <w:p w:rsidR="008D4AA5" w:rsidRPr="00F459E1" w:rsidP="00074CA4" w14:paraId="2364AF40" w14:textId="77777777">
      <w:pPr>
        <w:rPr>
          <w:rFonts w:ascii="Times New Roman" w:hAnsi="Times New Roman" w:cs="Times New Roman"/>
          <w:b/>
        </w:rPr>
      </w:pPr>
    </w:p>
    <w:p w:rsidR="00463A2A" w:rsidRPr="00F459E1" w:rsidP="00E97A21" w14:paraId="2A40148F" w14:textId="77777777">
      <w:pPr>
        <w:rPr>
          <w:rFonts w:ascii="Times New Roman" w:hAnsi="Times New Roman" w:cs="Times New Roman"/>
          <w:b/>
        </w:rPr>
      </w:pPr>
    </w:p>
    <w:p w:rsidR="001743EF" w:rsidRPr="00F459E1"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6B4F31" w:rsidRPr="00F459E1" w:rsidP="00F459E1" w14:paraId="5839ED2C" w14:textId="23CED8DA">
      <w:pPr>
        <w:pStyle w:val="Heading1"/>
        <w:numPr>
          <w:ilvl w:val="0"/>
          <w:numId w:val="32"/>
        </w:numPr>
        <w:tabs>
          <w:tab w:val="left" w:pos="820"/>
        </w:tabs>
        <w:suppressAutoHyphens w:val="0"/>
        <w:ind w:left="720"/>
        <w:rPr>
          <w:rFonts w:ascii="Times New Roman" w:hAnsi="Times New Roman"/>
        </w:rPr>
      </w:pPr>
      <w:r w:rsidRPr="00F459E1">
        <w:rPr>
          <w:rFonts w:ascii="Times New Roman" w:hAnsi="Times New Roman"/>
        </w:rPr>
        <w:t>OBJECTIVES OF THE PROCEEDING</w:t>
      </w:r>
    </w:p>
    <w:p w:rsidR="003B3F46" w:rsidRPr="00F459E1" w:rsidP="00204F9B" w14:paraId="56F7E571" w14:textId="4053E308">
      <w:pPr>
        <w:pStyle w:val="paragraph"/>
        <w:spacing w:before="0" w:beforeAutospacing="0" w:after="0" w:afterAutospacing="0"/>
        <w:ind w:firstLine="720"/>
        <w:textAlignment w:val="baseline"/>
        <w:rPr>
          <w:rStyle w:val="apple-converted-space"/>
          <w:sz w:val="22"/>
          <w:szCs w:val="22"/>
        </w:rPr>
      </w:pPr>
      <w:r w:rsidRPr="00F459E1">
        <w:rPr>
          <w:sz w:val="22"/>
          <w:szCs w:val="22"/>
        </w:rPr>
        <w:t xml:space="preserve">Securing our nation’s networks from those who would harm the United States and its people is more important than ever due to the outsized impact that the Internet has on our work, education, health care, and personal connections.  </w:t>
      </w:r>
      <w:r w:rsidRPr="00F459E1" w:rsidR="00E95D9F">
        <w:rPr>
          <w:rStyle w:val="normaltextrun"/>
          <w:sz w:val="22"/>
          <w:szCs w:val="22"/>
        </w:rPr>
        <w:t>Following the enactment of the Secure and Trusted Communication</w:t>
      </w:r>
      <w:r w:rsidR="00406E1D">
        <w:rPr>
          <w:rStyle w:val="normaltextrun"/>
          <w:sz w:val="22"/>
          <w:szCs w:val="22"/>
        </w:rPr>
        <w:t>s</w:t>
      </w:r>
      <w:r w:rsidRPr="00F459E1" w:rsidR="00E95D9F">
        <w:rPr>
          <w:rStyle w:val="normaltextrun"/>
          <w:sz w:val="22"/>
          <w:szCs w:val="22"/>
        </w:rPr>
        <w:t xml:space="preserve"> Networks Act (Secure Networks Act)</w:t>
      </w:r>
      <w:r w:rsidRPr="00F459E1" w:rsidR="00712DB1">
        <w:rPr>
          <w:rStyle w:val="normaltextrun"/>
          <w:sz w:val="22"/>
          <w:szCs w:val="22"/>
        </w:rPr>
        <w:t xml:space="preserve">, </w:t>
      </w:r>
      <w:r w:rsidRPr="00F459E1" w:rsidR="00A114F6">
        <w:rPr>
          <w:rStyle w:val="normaltextrun"/>
          <w:sz w:val="22"/>
          <w:szCs w:val="22"/>
        </w:rPr>
        <w:t xml:space="preserve">the </w:t>
      </w:r>
      <w:r w:rsidR="003F4C38">
        <w:rPr>
          <w:rStyle w:val="normaltextrun"/>
          <w:sz w:val="22"/>
          <w:szCs w:val="22"/>
        </w:rPr>
        <w:t>F</w:t>
      </w:r>
      <w:r w:rsidR="00D91A75">
        <w:rPr>
          <w:rStyle w:val="normaltextrun"/>
          <w:sz w:val="22"/>
          <w:szCs w:val="22"/>
        </w:rPr>
        <w:t>ederal Communications Commission (Commission)</w:t>
      </w:r>
      <w:r w:rsidR="003F4C38">
        <w:rPr>
          <w:rStyle w:val="normaltextrun"/>
          <w:sz w:val="22"/>
          <w:szCs w:val="22"/>
        </w:rPr>
        <w:t xml:space="preserve"> </w:t>
      </w:r>
      <w:r w:rsidRPr="00F459E1" w:rsidR="00A114F6">
        <w:rPr>
          <w:rStyle w:val="normaltextrun"/>
          <w:sz w:val="22"/>
          <w:szCs w:val="22"/>
        </w:rPr>
        <w:t xml:space="preserve">adopted </w:t>
      </w:r>
      <w:r w:rsidRPr="00F459E1" w:rsidR="0062553C">
        <w:rPr>
          <w:rStyle w:val="normaltextrun"/>
          <w:sz w:val="22"/>
          <w:szCs w:val="22"/>
        </w:rPr>
        <w:t>th</w:t>
      </w:r>
      <w:r w:rsidRPr="00F459E1" w:rsidR="00307286">
        <w:rPr>
          <w:rStyle w:val="normaltextrun"/>
          <w:sz w:val="22"/>
          <w:szCs w:val="22"/>
        </w:rPr>
        <w:t>e</w:t>
      </w:r>
      <w:r w:rsidRPr="00F459E1" w:rsidR="0062553C">
        <w:rPr>
          <w:rStyle w:val="normaltextrun"/>
          <w:sz w:val="22"/>
          <w:szCs w:val="22"/>
        </w:rPr>
        <w:t xml:space="preserve"> </w:t>
      </w:r>
      <w:r w:rsidRPr="00F5041F" w:rsidR="003F4C38">
        <w:rPr>
          <w:rStyle w:val="normaltextrun"/>
          <w:i/>
          <w:iCs/>
          <w:sz w:val="22"/>
          <w:szCs w:val="22"/>
        </w:rPr>
        <w:t>Supply Chain</w:t>
      </w:r>
      <w:r w:rsidR="003F4C38">
        <w:rPr>
          <w:rStyle w:val="normaltextrun"/>
          <w:sz w:val="22"/>
          <w:szCs w:val="22"/>
        </w:rPr>
        <w:t xml:space="preserve"> </w:t>
      </w:r>
      <w:r w:rsidRPr="00F459E1" w:rsidR="00A114F6">
        <w:rPr>
          <w:rStyle w:val="normaltextrun"/>
          <w:i/>
          <w:iCs/>
          <w:sz w:val="22"/>
          <w:szCs w:val="22"/>
        </w:rPr>
        <w:t>Second</w:t>
      </w:r>
      <w:r w:rsidR="0063567C">
        <w:rPr>
          <w:rStyle w:val="apple-converted-space"/>
          <w:i/>
          <w:iCs/>
          <w:sz w:val="22"/>
          <w:szCs w:val="22"/>
        </w:rPr>
        <w:t xml:space="preserve"> </w:t>
      </w:r>
      <w:r w:rsidRPr="00F459E1" w:rsidR="00A114F6">
        <w:rPr>
          <w:rStyle w:val="normaltextrun"/>
          <w:i/>
          <w:iCs/>
          <w:sz w:val="22"/>
          <w:szCs w:val="22"/>
        </w:rPr>
        <w:t>Report and Order</w:t>
      </w:r>
      <w:r w:rsidRPr="00F459E1" w:rsidR="00A114F6">
        <w:rPr>
          <w:rStyle w:val="normaltextrun"/>
          <w:sz w:val="22"/>
          <w:szCs w:val="22"/>
        </w:rPr>
        <w:t>, WC Docket No. 18-89, FCC</w:t>
      </w:r>
      <w:r w:rsidRPr="00F459E1" w:rsidR="00A114F6">
        <w:rPr>
          <w:rStyle w:val="apple-converted-space"/>
          <w:sz w:val="22"/>
          <w:szCs w:val="22"/>
        </w:rPr>
        <w:t> </w:t>
      </w:r>
      <w:r w:rsidRPr="00F459E1" w:rsidR="00A114F6">
        <w:rPr>
          <w:rStyle w:val="normaltextrun"/>
          <w:sz w:val="22"/>
          <w:szCs w:val="22"/>
        </w:rPr>
        <w:t>20-176</w:t>
      </w:r>
      <w:r w:rsidRPr="00F459E1">
        <w:rPr>
          <w:rStyle w:val="normaltextrun"/>
          <w:sz w:val="22"/>
          <w:szCs w:val="22"/>
        </w:rPr>
        <w:t>, 35 FCC Rcd 14284,</w:t>
      </w:r>
      <w:r w:rsidRPr="00F459E1" w:rsidR="00E87414">
        <w:rPr>
          <w:rStyle w:val="normaltextrun"/>
          <w:sz w:val="22"/>
          <w:szCs w:val="22"/>
        </w:rPr>
        <w:t xml:space="preserve"> on December 10, 2020</w:t>
      </w:r>
      <w:r w:rsidRPr="00F459E1">
        <w:rPr>
          <w:rStyle w:val="normaltextrun"/>
          <w:sz w:val="22"/>
          <w:szCs w:val="22"/>
        </w:rPr>
        <w:t xml:space="preserve">.  Following Congressional adoption of the Consolidated Appropriations Act, 2021, which amended portions of the Secure Networks Act, on July 13, the Commission adopted the </w:t>
      </w:r>
      <w:r w:rsidRPr="00CF04E4" w:rsidR="003F4C38">
        <w:rPr>
          <w:rStyle w:val="normaltextrun"/>
          <w:i/>
          <w:iCs/>
          <w:sz w:val="22"/>
          <w:szCs w:val="22"/>
        </w:rPr>
        <w:t>Supply Chain</w:t>
      </w:r>
      <w:r w:rsidR="003F4C38">
        <w:rPr>
          <w:rStyle w:val="normaltextrun"/>
          <w:sz w:val="22"/>
          <w:szCs w:val="22"/>
        </w:rPr>
        <w:t xml:space="preserve"> </w:t>
      </w:r>
      <w:r w:rsidRPr="00F459E1">
        <w:rPr>
          <w:rStyle w:val="normaltextrun"/>
          <w:i/>
          <w:iCs/>
          <w:sz w:val="22"/>
          <w:szCs w:val="22"/>
        </w:rPr>
        <w:t>Third Report and Order</w:t>
      </w:r>
      <w:r w:rsidRPr="00F459E1">
        <w:rPr>
          <w:rStyle w:val="normaltextrun"/>
          <w:sz w:val="22"/>
          <w:szCs w:val="22"/>
        </w:rPr>
        <w:t>, WC Docket No. 18-89, FCC 21-86, which amended our rules consistent with the Congressional amendments to the Secure Networks Act.</w:t>
      </w:r>
    </w:p>
    <w:p w:rsidR="00E735DE" w:rsidRPr="00F459E1" w:rsidP="00E51447" w14:paraId="0BABA8AE" w14:textId="77777777">
      <w:pPr>
        <w:pStyle w:val="paragraph"/>
        <w:spacing w:before="0" w:beforeAutospacing="0" w:after="0" w:afterAutospacing="0"/>
        <w:textAlignment w:val="baseline"/>
        <w:rPr>
          <w:rStyle w:val="normaltextrun"/>
          <w:sz w:val="22"/>
          <w:szCs w:val="22"/>
        </w:rPr>
      </w:pPr>
    </w:p>
    <w:p w:rsidR="00A766AF" w:rsidRPr="00F459E1" w:rsidP="001A10EC" w14:paraId="6365B8A3" w14:textId="1DF59084">
      <w:pPr>
        <w:pStyle w:val="paragraph"/>
        <w:spacing w:before="0" w:beforeAutospacing="0" w:after="0" w:afterAutospacing="0"/>
        <w:ind w:firstLine="720"/>
        <w:textAlignment w:val="baseline"/>
        <w:rPr>
          <w:rStyle w:val="normaltextrun"/>
          <w:sz w:val="22"/>
          <w:szCs w:val="22"/>
        </w:rPr>
      </w:pPr>
      <w:r w:rsidRPr="00F459E1">
        <w:rPr>
          <w:rStyle w:val="normaltextrun"/>
          <w:sz w:val="22"/>
          <w:szCs w:val="22"/>
        </w:rPr>
        <w:t xml:space="preserve">The </w:t>
      </w:r>
      <w:r w:rsidRPr="00F459E1" w:rsidR="00E51447">
        <w:rPr>
          <w:rStyle w:val="normaltextrun"/>
          <w:sz w:val="22"/>
          <w:szCs w:val="22"/>
        </w:rPr>
        <w:t xml:space="preserve">rules and programs arising from the </w:t>
      </w:r>
      <w:r w:rsidRPr="00F459E1" w:rsidR="00CB3D38">
        <w:rPr>
          <w:rStyle w:val="normaltextrun"/>
          <w:i/>
          <w:iCs/>
          <w:sz w:val="22"/>
          <w:szCs w:val="22"/>
        </w:rPr>
        <w:t>Second Report and Order</w:t>
      </w:r>
      <w:r w:rsidRPr="00F459E1" w:rsidR="00CB3D38">
        <w:rPr>
          <w:rStyle w:val="normaltextrun"/>
          <w:sz w:val="22"/>
          <w:szCs w:val="22"/>
        </w:rPr>
        <w:t xml:space="preserve"> </w:t>
      </w:r>
      <w:r w:rsidRPr="00F459E1" w:rsidR="00E51447">
        <w:rPr>
          <w:rStyle w:val="normaltextrun"/>
          <w:sz w:val="22"/>
          <w:szCs w:val="22"/>
        </w:rPr>
        <w:t xml:space="preserve">and </w:t>
      </w:r>
      <w:r w:rsidRPr="00F459E1" w:rsidR="00E51447">
        <w:rPr>
          <w:rStyle w:val="normaltextrun"/>
          <w:i/>
          <w:iCs/>
          <w:sz w:val="22"/>
          <w:szCs w:val="22"/>
        </w:rPr>
        <w:t>Third Report and Order</w:t>
      </w:r>
      <w:r w:rsidRPr="00F459E1" w:rsidR="00E51447">
        <w:rPr>
          <w:rStyle w:val="normaltextrun"/>
          <w:sz w:val="22"/>
          <w:szCs w:val="22"/>
        </w:rPr>
        <w:t>, including</w:t>
      </w:r>
      <w:r w:rsidRPr="00F459E1" w:rsidR="00880644">
        <w:rPr>
          <w:rStyle w:val="normaltextrun"/>
          <w:sz w:val="22"/>
          <w:szCs w:val="22"/>
        </w:rPr>
        <w:t xml:space="preserve"> the creat</w:t>
      </w:r>
      <w:r w:rsidRPr="00F459E1" w:rsidR="00A26CD1">
        <w:rPr>
          <w:rStyle w:val="normaltextrun"/>
          <w:sz w:val="22"/>
          <w:szCs w:val="22"/>
        </w:rPr>
        <w:t>ion</w:t>
      </w:r>
      <w:r w:rsidRPr="00F459E1" w:rsidR="00880644">
        <w:rPr>
          <w:rStyle w:val="normaltextrun"/>
          <w:sz w:val="22"/>
          <w:szCs w:val="22"/>
        </w:rPr>
        <w:t xml:space="preserve"> of a List of Covered Communications Equipment and Service (Covered List),</w:t>
      </w:r>
      <w:r w:rsidRPr="00F459E1" w:rsidR="00E51447">
        <w:rPr>
          <w:rStyle w:val="normaltextrun"/>
          <w:sz w:val="22"/>
          <w:szCs w:val="22"/>
        </w:rPr>
        <w:t xml:space="preserve"> </w:t>
      </w:r>
      <w:r w:rsidRPr="00F459E1" w:rsidR="00880644">
        <w:rPr>
          <w:rStyle w:val="normaltextrun"/>
          <w:sz w:val="22"/>
          <w:szCs w:val="22"/>
        </w:rPr>
        <w:t>a prohibition on the use of federal subsidies from programs administered by the Commission that provide funds to be used for the capital expenditures necessary for the provision of advanced communications service, as well as the Secure and Trusted Communications Network Reimbursement Program (Reimbursement Program),</w:t>
      </w:r>
      <w:r w:rsidRPr="00F459E1" w:rsidR="00584D61">
        <w:rPr>
          <w:rStyle w:val="normaltextrun"/>
          <w:sz w:val="22"/>
          <w:szCs w:val="22"/>
        </w:rPr>
        <w:t xml:space="preserve"> and</w:t>
      </w:r>
      <w:r w:rsidRPr="00F459E1" w:rsidR="00E51447">
        <w:rPr>
          <w:rStyle w:val="normaltextrun"/>
          <w:i/>
          <w:iCs/>
          <w:sz w:val="22"/>
          <w:szCs w:val="22"/>
        </w:rPr>
        <w:t xml:space="preserve"> </w:t>
      </w:r>
      <w:r w:rsidRPr="00F459E1" w:rsidR="00584D61">
        <w:rPr>
          <w:rStyle w:val="normaltextrun"/>
          <w:sz w:val="22"/>
          <w:szCs w:val="22"/>
        </w:rPr>
        <w:t xml:space="preserve">a rule that requires all providers of advanced communications service to file an annual </w:t>
      </w:r>
      <w:r w:rsidRPr="00F459E1" w:rsidR="00A26CD1">
        <w:rPr>
          <w:rStyle w:val="normaltextrun"/>
          <w:sz w:val="22"/>
          <w:szCs w:val="22"/>
        </w:rPr>
        <w:t xml:space="preserve">report </w:t>
      </w:r>
      <w:r w:rsidRPr="00F459E1" w:rsidR="00584D61">
        <w:rPr>
          <w:rStyle w:val="normaltextrun"/>
          <w:sz w:val="22"/>
          <w:szCs w:val="22"/>
        </w:rPr>
        <w:t>certifying that they do not have equipment or services identified on the Covered List in their networks</w:t>
      </w:r>
      <w:r w:rsidR="005F5CD7">
        <w:rPr>
          <w:rStyle w:val="normaltextrun"/>
          <w:sz w:val="22"/>
          <w:szCs w:val="22"/>
        </w:rPr>
        <w:t>,</w:t>
      </w:r>
      <w:r w:rsidRPr="00F459E1" w:rsidR="00584D61">
        <w:rPr>
          <w:rStyle w:val="normaltextrun"/>
          <w:sz w:val="22"/>
          <w:szCs w:val="22"/>
        </w:rPr>
        <w:t xml:space="preserve"> </w:t>
      </w:r>
      <w:r w:rsidRPr="00F459E1" w:rsidR="00CB3D38">
        <w:rPr>
          <w:rStyle w:val="normaltextrun"/>
          <w:sz w:val="22"/>
          <w:szCs w:val="22"/>
        </w:rPr>
        <w:t xml:space="preserve">will </w:t>
      </w:r>
      <w:r w:rsidRPr="00F459E1" w:rsidR="009B3F79">
        <w:rPr>
          <w:rStyle w:val="normaltextrun"/>
          <w:sz w:val="22"/>
          <w:szCs w:val="22"/>
        </w:rPr>
        <w:t>allow the Commission to protect</w:t>
      </w:r>
      <w:r w:rsidRPr="00F459E1" w:rsidR="005F48BD">
        <w:rPr>
          <w:rStyle w:val="normaltextrun"/>
          <w:sz w:val="22"/>
          <w:szCs w:val="22"/>
        </w:rPr>
        <w:t xml:space="preserve"> and maintain the integrity of</w:t>
      </w:r>
      <w:r w:rsidRPr="00F459E1" w:rsidR="009B3F79">
        <w:rPr>
          <w:rStyle w:val="normaltextrun"/>
          <w:sz w:val="22"/>
          <w:szCs w:val="22"/>
        </w:rPr>
        <w:t xml:space="preserve"> communications networks </w:t>
      </w:r>
      <w:r w:rsidRPr="00F459E1" w:rsidR="005F48BD">
        <w:rPr>
          <w:rStyle w:val="normaltextrun"/>
          <w:sz w:val="22"/>
          <w:szCs w:val="22"/>
        </w:rPr>
        <w:t xml:space="preserve">and supply chains. </w:t>
      </w:r>
      <w:r w:rsidR="0063567C">
        <w:rPr>
          <w:rStyle w:val="normaltextrun"/>
          <w:sz w:val="22"/>
          <w:szCs w:val="22"/>
        </w:rPr>
        <w:t xml:space="preserve"> </w:t>
      </w:r>
    </w:p>
    <w:p w:rsidR="001A10EC" w:rsidRPr="00F459E1" w:rsidP="001A10EC" w14:paraId="00DD6A1D" w14:textId="77777777">
      <w:pPr>
        <w:pStyle w:val="paragraph"/>
        <w:spacing w:before="0" w:beforeAutospacing="0" w:after="0" w:afterAutospacing="0"/>
        <w:ind w:firstLine="720"/>
        <w:textAlignment w:val="baseline"/>
        <w:rPr>
          <w:bCs/>
          <w:sz w:val="22"/>
          <w:szCs w:val="22"/>
        </w:rPr>
      </w:pPr>
    </w:p>
    <w:p w:rsidR="00EF4B82" w:rsidRPr="00F459E1" w:rsidP="00F459E1" w14:paraId="2676F6DC" w14:textId="231A6C18">
      <w:pPr>
        <w:pStyle w:val="Heading1"/>
        <w:numPr>
          <w:ilvl w:val="0"/>
          <w:numId w:val="32"/>
        </w:numPr>
        <w:tabs>
          <w:tab w:val="left" w:pos="820"/>
        </w:tabs>
        <w:suppressAutoHyphens w:val="0"/>
        <w:ind w:left="720"/>
        <w:rPr>
          <w:rFonts w:ascii="Times New Roman" w:hAnsi="Times New Roman"/>
          <w:b w:val="0"/>
        </w:rPr>
      </w:pPr>
      <w:r w:rsidRPr="00F459E1">
        <w:rPr>
          <w:rFonts w:ascii="Times New Roman" w:hAnsi="Times New Roman"/>
        </w:rPr>
        <w:t>COMPLIANCE REQUIREMENTS</w:t>
      </w:r>
    </w:p>
    <w:p w:rsidR="001672C2" w:rsidP="00DA673B" w14:paraId="4D0F9E66" w14:textId="26540255">
      <w:pPr>
        <w:rPr>
          <w:rStyle w:val="normaltextrun"/>
          <w:rFonts w:ascii="Times New Roman" w:hAnsi="Times New Roman" w:cs="Times New Roman"/>
        </w:rPr>
      </w:pPr>
      <w:r w:rsidRPr="00F459E1">
        <w:rPr>
          <w:rStyle w:val="normaltextrun"/>
          <w:rFonts w:ascii="Times New Roman" w:hAnsi="Times New Roman" w:cs="Times New Roman"/>
        </w:rPr>
        <w:tab/>
      </w:r>
      <w:r w:rsidRPr="00F459E1" w:rsidR="00732909">
        <w:rPr>
          <w:rStyle w:val="normaltextrun"/>
          <w:rFonts w:ascii="Times New Roman" w:hAnsi="Times New Roman" w:cs="Times New Roman"/>
        </w:rPr>
        <w:t xml:space="preserve">The </w:t>
      </w:r>
      <w:r w:rsidRPr="00F459E1" w:rsidR="00732909">
        <w:rPr>
          <w:rStyle w:val="normaltextrun"/>
          <w:rFonts w:ascii="Times New Roman" w:hAnsi="Times New Roman" w:cs="Times New Roman"/>
          <w:i/>
          <w:iCs/>
        </w:rPr>
        <w:t>Second Report and Order</w:t>
      </w:r>
      <w:r w:rsidRPr="00F459E1" w:rsidR="00880644">
        <w:rPr>
          <w:rStyle w:val="normaltextrun"/>
          <w:rFonts w:ascii="Times New Roman" w:hAnsi="Times New Roman" w:cs="Times New Roman"/>
          <w:i/>
          <w:iCs/>
        </w:rPr>
        <w:t xml:space="preserve"> </w:t>
      </w:r>
      <w:r w:rsidRPr="00F459E1" w:rsidR="00880644">
        <w:rPr>
          <w:rStyle w:val="normaltextrun"/>
          <w:rFonts w:ascii="Times New Roman" w:hAnsi="Times New Roman" w:cs="Times New Roman"/>
        </w:rPr>
        <w:t xml:space="preserve">and </w:t>
      </w:r>
      <w:r w:rsidRPr="00F459E1" w:rsidR="00880644">
        <w:rPr>
          <w:rStyle w:val="normaltextrun"/>
          <w:rFonts w:ascii="Times New Roman" w:hAnsi="Times New Roman" w:cs="Times New Roman"/>
          <w:i/>
          <w:iCs/>
        </w:rPr>
        <w:t>Third Report and Order</w:t>
      </w:r>
      <w:r w:rsidRPr="00F459E1" w:rsidR="00880644">
        <w:rPr>
          <w:rStyle w:val="normaltextrun"/>
          <w:rFonts w:ascii="Times New Roman" w:hAnsi="Times New Roman" w:cs="Times New Roman"/>
        </w:rPr>
        <w:t xml:space="preserve"> implemented the Secure Networks Act.  This includes the creation of the Covered List</w:t>
      </w:r>
      <w:r w:rsidRPr="00F459E1" w:rsidR="00584D61">
        <w:rPr>
          <w:rStyle w:val="normaltextrun"/>
          <w:rFonts w:ascii="Times New Roman" w:hAnsi="Times New Roman" w:cs="Times New Roman"/>
        </w:rPr>
        <w:t xml:space="preserve">, </w:t>
      </w:r>
      <w:r w:rsidRPr="00F459E1" w:rsidR="00880644">
        <w:rPr>
          <w:rStyle w:val="normaltextrun"/>
          <w:rFonts w:ascii="Times New Roman" w:hAnsi="Times New Roman" w:cs="Times New Roman"/>
        </w:rPr>
        <w:t>the Reimbursement Program</w:t>
      </w:r>
      <w:r w:rsidRPr="00F459E1" w:rsidR="00584D61">
        <w:rPr>
          <w:rStyle w:val="normaltextrun"/>
          <w:rFonts w:ascii="Times New Roman" w:hAnsi="Times New Roman" w:cs="Times New Roman"/>
        </w:rPr>
        <w:t>, and the annual filing requirement</w:t>
      </w:r>
      <w:r w:rsidRPr="00F459E1" w:rsidR="00880644">
        <w:rPr>
          <w:rStyle w:val="normaltextrun"/>
          <w:rFonts w:ascii="Times New Roman" w:hAnsi="Times New Roman" w:cs="Times New Roman"/>
        </w:rPr>
        <w:t>.  These</w:t>
      </w:r>
      <w:r w:rsidRPr="00F459E1" w:rsidR="00550A77">
        <w:rPr>
          <w:rStyle w:val="normaltextrun"/>
          <w:rFonts w:ascii="Times New Roman" w:hAnsi="Times New Roman" w:cs="Times New Roman"/>
        </w:rPr>
        <w:t xml:space="preserve"> requirements are summarized below.</w:t>
      </w:r>
    </w:p>
    <w:p w:rsidR="00871387" w:rsidRPr="00F5041F" w:rsidP="00F5041F" w14:paraId="3CE96BCC" w14:textId="70D9D931">
      <w:pPr>
        <w:pStyle w:val="ListParagraph"/>
        <w:numPr>
          <w:ilvl w:val="0"/>
          <w:numId w:val="33"/>
        </w:numPr>
        <w:rPr>
          <w:rFonts w:ascii="Times New Roman" w:hAnsi="Times New Roman" w:cs="Times New Roman"/>
        </w:rPr>
      </w:pPr>
      <w:r w:rsidRPr="00F5041F">
        <w:rPr>
          <w:rFonts w:ascii="Times New Roman" w:hAnsi="Times New Roman" w:cs="Times New Roman"/>
          <w:b/>
          <w:iCs/>
        </w:rPr>
        <w:t xml:space="preserve">Requirement </w:t>
      </w:r>
      <w:r w:rsidRPr="00F5041F" w:rsidR="0007266F">
        <w:rPr>
          <w:rFonts w:ascii="Times New Roman" w:hAnsi="Times New Roman" w:cs="Times New Roman"/>
          <w:b/>
          <w:iCs/>
        </w:rPr>
        <w:t xml:space="preserve">to Remove and Replace Covered Equipment or Services </w:t>
      </w:r>
      <w:r w:rsidRPr="00F5041F">
        <w:rPr>
          <w:rFonts w:ascii="Times New Roman" w:hAnsi="Times New Roman" w:cs="Times New Roman"/>
          <w:b/>
          <w:iCs/>
        </w:rPr>
        <w:t xml:space="preserve">for ETCs </w:t>
      </w:r>
      <w:r w:rsidRPr="00F5041F" w:rsidR="00887492">
        <w:rPr>
          <w:rFonts w:ascii="Times New Roman" w:hAnsi="Times New Roman" w:cs="Times New Roman"/>
          <w:b/>
          <w:iCs/>
        </w:rPr>
        <w:t>receiving USF funds and those receiving reimbursement funds</w:t>
      </w:r>
      <w:r w:rsidRPr="00F5041F" w:rsidR="002D77B6">
        <w:rPr>
          <w:rFonts w:ascii="Times New Roman" w:hAnsi="Times New Roman" w:cs="Times New Roman"/>
          <w:b/>
          <w:iCs/>
        </w:rPr>
        <w:t xml:space="preserve"> under the Reimbursement Program </w:t>
      </w:r>
      <w:r w:rsidRPr="00F5041F" w:rsidR="00E00D19">
        <w:rPr>
          <w:rFonts w:ascii="Times New Roman" w:hAnsi="Times New Roman" w:cs="Times New Roman"/>
          <w:b/>
          <w:iCs/>
        </w:rPr>
        <w:t xml:space="preserve">and Certifications </w:t>
      </w:r>
      <w:r w:rsidRPr="00F5041F" w:rsidR="00DA673B">
        <w:rPr>
          <w:rFonts w:ascii="Times New Roman" w:hAnsi="Times New Roman" w:cs="Times New Roman"/>
          <w:b/>
          <w:iCs/>
        </w:rPr>
        <w:t>(47 CFR §</w:t>
      </w:r>
      <w:r w:rsidRPr="00F5041F" w:rsidR="00400C81">
        <w:rPr>
          <w:rFonts w:ascii="Times New Roman" w:hAnsi="Times New Roman" w:cs="Times New Roman"/>
          <w:b/>
          <w:iCs/>
        </w:rPr>
        <w:t xml:space="preserve"> </w:t>
      </w:r>
      <w:r w:rsidRPr="00F5041F" w:rsidR="002C128B">
        <w:rPr>
          <w:rFonts w:ascii="Times New Roman" w:hAnsi="Times New Roman" w:cs="Times New Roman"/>
          <w:b/>
          <w:iCs/>
        </w:rPr>
        <w:t>54.11</w:t>
      </w:r>
      <w:r w:rsidRPr="00F5041F" w:rsidR="00902DB6">
        <w:rPr>
          <w:rFonts w:ascii="Times New Roman" w:hAnsi="Times New Roman" w:cs="Times New Roman"/>
          <w:b/>
          <w:iCs/>
        </w:rPr>
        <w:t>(a)</w:t>
      </w:r>
      <w:r w:rsidRPr="00F5041F" w:rsidR="0076648E">
        <w:rPr>
          <w:rFonts w:ascii="Times New Roman" w:hAnsi="Times New Roman" w:cs="Times New Roman"/>
          <w:b/>
          <w:iCs/>
        </w:rPr>
        <w:t xml:space="preserve"> </w:t>
      </w:r>
      <w:r w:rsidRPr="00F5041F" w:rsidR="006C40D8">
        <w:rPr>
          <w:rFonts w:ascii="Times New Roman" w:hAnsi="Times New Roman" w:cs="Times New Roman"/>
          <w:b/>
          <w:iCs/>
        </w:rPr>
        <w:t>-</w:t>
      </w:r>
      <w:r w:rsidRPr="00F5041F" w:rsidR="00244B70">
        <w:rPr>
          <w:rFonts w:ascii="Times New Roman" w:hAnsi="Times New Roman" w:cs="Times New Roman"/>
          <w:b/>
          <w:iCs/>
        </w:rPr>
        <w:t xml:space="preserve"> (d)</w:t>
      </w:r>
      <w:r w:rsidRPr="00F5041F" w:rsidR="006C40D8">
        <w:rPr>
          <w:rFonts w:ascii="Times New Roman" w:hAnsi="Times New Roman" w:cs="Times New Roman"/>
          <w:b/>
          <w:iCs/>
        </w:rPr>
        <w:t>)</w:t>
      </w:r>
    </w:p>
    <w:p w:rsidR="00EB3655" w:rsidRPr="001672C2" w:rsidP="00871387" w14:paraId="4B63B76B" w14:textId="77777777">
      <w:pPr>
        <w:pStyle w:val="ListParagraph"/>
        <w:rPr>
          <w:rFonts w:ascii="Times New Roman" w:hAnsi="Times New Roman" w:cs="Times New Roman"/>
          <w:bCs/>
        </w:rPr>
      </w:pPr>
    </w:p>
    <w:p w:rsidR="00DA673B" w:rsidRPr="001672C2" w:rsidP="00871387" w14:paraId="3FCA055D" w14:textId="70B5EC18">
      <w:pPr>
        <w:pStyle w:val="ListParagraph"/>
        <w:numPr>
          <w:ilvl w:val="0"/>
          <w:numId w:val="11"/>
        </w:numPr>
        <w:rPr>
          <w:rFonts w:ascii="Times New Roman" w:hAnsi="Times New Roman" w:cs="Times New Roman"/>
          <w:bCs/>
        </w:rPr>
      </w:pPr>
      <w:r w:rsidRPr="00F459E1">
        <w:rPr>
          <w:rFonts w:ascii="Times New Roman" w:hAnsi="Times New Roman" w:cs="Times New Roman"/>
        </w:rPr>
        <w:t xml:space="preserve">Each </w:t>
      </w:r>
      <w:r w:rsidRPr="00F459E1" w:rsidR="00A97102">
        <w:rPr>
          <w:rFonts w:ascii="Times New Roman" w:hAnsi="Times New Roman" w:cs="Times New Roman"/>
        </w:rPr>
        <w:t xml:space="preserve">ETC </w:t>
      </w:r>
      <w:r w:rsidRPr="00F459E1" w:rsidR="00AB7B4C">
        <w:rPr>
          <w:rFonts w:ascii="Times New Roman" w:hAnsi="Times New Roman" w:cs="Times New Roman"/>
        </w:rPr>
        <w:t xml:space="preserve">receiving USF funds must certify </w:t>
      </w:r>
      <w:r w:rsidRPr="00F459E1" w:rsidR="00E66135">
        <w:rPr>
          <w:rFonts w:ascii="Times New Roman" w:hAnsi="Times New Roman" w:cs="Times New Roman"/>
        </w:rPr>
        <w:t xml:space="preserve">prior to receiving those funds that </w:t>
      </w:r>
      <w:r w:rsidRPr="00F459E1" w:rsidR="00891C91">
        <w:rPr>
          <w:rFonts w:ascii="Times New Roman" w:hAnsi="Times New Roman" w:cs="Times New Roman"/>
        </w:rPr>
        <w:t xml:space="preserve">it does not </w:t>
      </w:r>
      <w:r w:rsidRPr="00F459E1" w:rsidR="001611E2">
        <w:rPr>
          <w:rFonts w:ascii="Times New Roman" w:hAnsi="Times New Roman" w:cs="Times New Roman"/>
        </w:rPr>
        <w:t xml:space="preserve">have any </w:t>
      </w:r>
      <w:r w:rsidR="00406E1D">
        <w:rPr>
          <w:rFonts w:ascii="Times New Roman" w:hAnsi="Times New Roman" w:cs="Times New Roman"/>
        </w:rPr>
        <w:t>Huawei or ZTE</w:t>
      </w:r>
      <w:r w:rsidRPr="00F459E1" w:rsidR="00406E1D">
        <w:rPr>
          <w:rFonts w:ascii="Times New Roman" w:hAnsi="Times New Roman" w:cs="Times New Roman"/>
        </w:rPr>
        <w:t xml:space="preserve"> </w:t>
      </w:r>
      <w:r w:rsidRPr="00F459E1" w:rsidR="001611E2">
        <w:rPr>
          <w:rFonts w:ascii="Times New Roman" w:hAnsi="Times New Roman" w:cs="Times New Roman"/>
        </w:rPr>
        <w:t xml:space="preserve">equipment or services and will not </w:t>
      </w:r>
      <w:r w:rsidRPr="00F459E1" w:rsidR="00891C91">
        <w:rPr>
          <w:rFonts w:ascii="Times New Roman" w:hAnsi="Times New Roman" w:cs="Times New Roman"/>
        </w:rPr>
        <w:t xml:space="preserve">use </w:t>
      </w:r>
      <w:r w:rsidRPr="00F459E1" w:rsidR="001611E2">
        <w:rPr>
          <w:rFonts w:ascii="Times New Roman" w:hAnsi="Times New Roman" w:cs="Times New Roman"/>
        </w:rPr>
        <w:t xml:space="preserve">such </w:t>
      </w:r>
      <w:r w:rsidRPr="00F459E1" w:rsidR="00891C91">
        <w:rPr>
          <w:rFonts w:ascii="Times New Roman" w:hAnsi="Times New Roman" w:cs="Times New Roman"/>
        </w:rPr>
        <w:t>equipment or services</w:t>
      </w:r>
      <w:r w:rsidRPr="00F459E1" w:rsidR="001611E2">
        <w:rPr>
          <w:rFonts w:ascii="Times New Roman" w:hAnsi="Times New Roman" w:cs="Times New Roman"/>
        </w:rPr>
        <w:t>.</w:t>
      </w:r>
    </w:p>
    <w:p w:rsidR="00AE5E4D" w:rsidRPr="00F459E1" w:rsidP="00511023" w14:paraId="5180B75B" w14:textId="2A5675EB">
      <w:pPr>
        <w:pStyle w:val="ListParagraph"/>
        <w:numPr>
          <w:ilvl w:val="0"/>
          <w:numId w:val="11"/>
        </w:numPr>
        <w:rPr>
          <w:rFonts w:ascii="Times New Roman" w:hAnsi="Times New Roman" w:cs="Times New Roman"/>
        </w:rPr>
      </w:pPr>
      <w:r w:rsidRPr="00F459E1">
        <w:rPr>
          <w:rFonts w:ascii="Times New Roman" w:hAnsi="Times New Roman" w:cs="Times New Roman"/>
        </w:rPr>
        <w:t xml:space="preserve">This certification is not required until one year after the date the Commission releases a Public Notice announcing the </w:t>
      </w:r>
      <w:r w:rsidRPr="00F459E1" w:rsidR="00EC425F">
        <w:rPr>
          <w:rFonts w:ascii="Times New Roman" w:hAnsi="Times New Roman" w:cs="Times New Roman"/>
        </w:rPr>
        <w:t>acceptance of applications for filing during the initial filing window of the Reimbursement Program</w:t>
      </w:r>
      <w:r w:rsidRPr="00F459E1" w:rsidR="00584D61">
        <w:rPr>
          <w:rFonts w:ascii="Times New Roman" w:hAnsi="Times New Roman" w:cs="Times New Roman"/>
        </w:rPr>
        <w:t xml:space="preserve"> for those not participating in the Reimbursement Program</w:t>
      </w:r>
      <w:r w:rsidRPr="00F459E1" w:rsidR="00EC425F">
        <w:rPr>
          <w:rFonts w:ascii="Times New Roman" w:hAnsi="Times New Roman" w:cs="Times New Roman"/>
        </w:rPr>
        <w:t>.</w:t>
      </w:r>
    </w:p>
    <w:p w:rsidR="00E225B6" w:rsidRPr="00F459E1" w:rsidP="00511023" w14:paraId="0D9C88F5" w14:textId="0F6FF444">
      <w:pPr>
        <w:pStyle w:val="ListParagraph"/>
        <w:numPr>
          <w:ilvl w:val="0"/>
          <w:numId w:val="11"/>
        </w:numPr>
        <w:rPr>
          <w:rFonts w:ascii="Times New Roman" w:hAnsi="Times New Roman" w:cs="Times New Roman"/>
        </w:rPr>
      </w:pPr>
      <w:r w:rsidRPr="00F459E1">
        <w:rPr>
          <w:rFonts w:ascii="Times New Roman" w:hAnsi="Times New Roman" w:cs="Times New Roman"/>
        </w:rPr>
        <w:t xml:space="preserve">Those receiving funds under the </w:t>
      </w:r>
      <w:r w:rsidRPr="00F459E1" w:rsidR="00B11C7A">
        <w:rPr>
          <w:rFonts w:ascii="Times New Roman" w:hAnsi="Times New Roman" w:cs="Times New Roman"/>
        </w:rPr>
        <w:t xml:space="preserve">Reimbursement Program </w:t>
      </w:r>
      <w:r w:rsidRPr="00F459E1" w:rsidR="00477C3E">
        <w:rPr>
          <w:rFonts w:ascii="Times New Roman" w:hAnsi="Times New Roman" w:cs="Times New Roman"/>
        </w:rPr>
        <w:t>will not need to certify until after expiration of their applicable removal, replacement</w:t>
      </w:r>
      <w:r w:rsidRPr="00F459E1" w:rsidR="00D865EB">
        <w:rPr>
          <w:rFonts w:ascii="Times New Roman" w:hAnsi="Times New Roman" w:cs="Times New Roman"/>
        </w:rPr>
        <w:t xml:space="preserve">, and disposal term. </w:t>
      </w:r>
    </w:p>
    <w:p w:rsidR="003D226E" w:rsidRPr="00F459E1" w:rsidP="00511023" w14:paraId="443C912F" w14:textId="77777777">
      <w:pPr>
        <w:pStyle w:val="ListParagraph"/>
        <w:rPr>
          <w:rFonts w:ascii="Times New Roman" w:hAnsi="Times New Roman" w:cs="Times New Roman"/>
        </w:rPr>
      </w:pPr>
    </w:p>
    <w:p w:rsidR="00D40310" w:rsidRPr="00F459E1" w:rsidP="00250141" w14:paraId="6B3D1135" w14:textId="072A47FF">
      <w:pPr>
        <w:pStyle w:val="ListParagraph"/>
        <w:numPr>
          <w:ilvl w:val="0"/>
          <w:numId w:val="16"/>
        </w:numPr>
        <w:rPr>
          <w:rFonts w:ascii="Times New Roman" w:hAnsi="Times New Roman" w:cs="Times New Roman"/>
          <w:b/>
          <w:iCs/>
          <w:spacing w:val="-2"/>
        </w:rPr>
      </w:pPr>
      <w:r w:rsidRPr="00F459E1">
        <w:rPr>
          <w:rFonts w:ascii="Times New Roman" w:hAnsi="Times New Roman" w:cs="Times New Roman"/>
          <w:b/>
          <w:iCs/>
          <w:spacing w:val="-2"/>
        </w:rPr>
        <w:t>Covered List</w:t>
      </w:r>
      <w:r w:rsidRPr="00F459E1" w:rsidR="0007266F">
        <w:rPr>
          <w:rFonts w:ascii="Times New Roman" w:hAnsi="Times New Roman" w:cs="Times New Roman"/>
          <w:b/>
          <w:iCs/>
          <w:spacing w:val="-2"/>
        </w:rPr>
        <w:t xml:space="preserve"> and </w:t>
      </w:r>
      <w:r w:rsidRPr="00F459E1" w:rsidR="00000A8B">
        <w:rPr>
          <w:rFonts w:ascii="Times New Roman" w:hAnsi="Times New Roman" w:cs="Times New Roman"/>
          <w:b/>
          <w:iCs/>
          <w:spacing w:val="-2"/>
        </w:rPr>
        <w:t>Covered Equipment and Services</w:t>
      </w:r>
      <w:r w:rsidRPr="00F459E1">
        <w:rPr>
          <w:rFonts w:ascii="Times New Roman" w:hAnsi="Times New Roman" w:cs="Times New Roman"/>
          <w:b/>
          <w:iCs/>
          <w:spacing w:val="-2"/>
        </w:rPr>
        <w:t xml:space="preserve"> (47 CFR </w:t>
      </w:r>
      <w:r w:rsidRPr="00F459E1">
        <w:rPr>
          <w:rFonts w:ascii="Times New Roman" w:hAnsi="Times New Roman" w:cs="Times New Roman"/>
          <w:b/>
          <w:iCs/>
        </w:rPr>
        <w:t>§ 1.50002</w:t>
      </w:r>
      <w:r w:rsidRPr="00F459E1" w:rsidR="006C40D8">
        <w:rPr>
          <w:rFonts w:ascii="Times New Roman" w:hAnsi="Times New Roman" w:cs="Times New Roman"/>
          <w:b/>
          <w:iCs/>
        </w:rPr>
        <w:t xml:space="preserve">, </w:t>
      </w:r>
      <w:r w:rsidRPr="00F459E1">
        <w:rPr>
          <w:rFonts w:ascii="Times New Roman" w:hAnsi="Times New Roman" w:cs="Times New Roman"/>
          <w:b/>
          <w:iCs/>
        </w:rPr>
        <w:t>§ 1.50003)</w:t>
      </w:r>
    </w:p>
    <w:p w:rsidR="002D77B6" w:rsidRPr="001672C2" w:rsidP="00132F1A" w14:paraId="7C18AB12" w14:textId="77777777">
      <w:pPr>
        <w:pStyle w:val="ListParagraph"/>
        <w:spacing w:after="120" w:line="240" w:lineRule="auto"/>
        <w:rPr>
          <w:rFonts w:ascii="Times New Roman" w:hAnsi="Times New Roman" w:cs="Times New Roman"/>
          <w:bCs/>
          <w:iCs/>
          <w:spacing w:val="-2"/>
        </w:rPr>
      </w:pPr>
    </w:p>
    <w:p w:rsidR="00250141" w:rsidRPr="00F459E1" w:rsidP="00AC087A" w14:paraId="64477FA9" w14:textId="4679ACEF">
      <w:pPr>
        <w:pStyle w:val="ListParagraph"/>
        <w:numPr>
          <w:ilvl w:val="1"/>
          <w:numId w:val="16"/>
        </w:numPr>
        <w:rPr>
          <w:rFonts w:ascii="Times New Roman" w:hAnsi="Times New Roman" w:cs="Times New Roman"/>
          <w:b/>
          <w:iCs/>
          <w:spacing w:val="-2"/>
        </w:rPr>
      </w:pPr>
      <w:r w:rsidRPr="00F459E1">
        <w:rPr>
          <w:rFonts w:ascii="Times New Roman" w:hAnsi="Times New Roman" w:cs="Times New Roman"/>
          <w:b/>
          <w:iCs/>
        </w:rPr>
        <w:t>Responsibility of Covered List and Updates</w:t>
      </w:r>
    </w:p>
    <w:p w:rsidR="00AC087A" w:rsidRPr="001672C2" w:rsidP="00E57F4D" w14:paraId="44EC1A26" w14:textId="77777777">
      <w:pPr>
        <w:pStyle w:val="ListParagraph"/>
        <w:spacing w:after="0"/>
        <w:ind w:left="1440"/>
        <w:rPr>
          <w:rFonts w:ascii="Times New Roman" w:hAnsi="Times New Roman" w:cs="Times New Roman"/>
          <w:bCs/>
          <w:iCs/>
          <w:spacing w:val="-2"/>
        </w:rPr>
      </w:pPr>
    </w:p>
    <w:p w:rsidR="00871387" w:rsidRPr="00F459E1" w:rsidP="002D77B6" w14:paraId="289EB541" w14:textId="57B2851E">
      <w:pPr>
        <w:pStyle w:val="ListParagraph"/>
        <w:numPr>
          <w:ilvl w:val="0"/>
          <w:numId w:val="18"/>
        </w:numPr>
        <w:spacing w:after="0"/>
        <w:rPr>
          <w:rFonts w:ascii="Times New Roman" w:hAnsi="Times New Roman" w:cs="Times New Roman"/>
        </w:rPr>
      </w:pPr>
      <w:r w:rsidRPr="00F459E1">
        <w:rPr>
          <w:rFonts w:ascii="Times New Roman" w:hAnsi="Times New Roman" w:cs="Times New Roman"/>
          <w:spacing w:val="-2"/>
        </w:rPr>
        <w:t>The Public Safety and Homeland Security Bureau (PSHSB)</w:t>
      </w:r>
      <w:r w:rsidRPr="00F459E1" w:rsidR="000049D8">
        <w:rPr>
          <w:rFonts w:ascii="Times New Roman" w:hAnsi="Times New Roman" w:cs="Times New Roman"/>
        </w:rPr>
        <w:t xml:space="preserve"> </w:t>
      </w:r>
      <w:r w:rsidRPr="00F459E1">
        <w:rPr>
          <w:rFonts w:ascii="Times New Roman" w:hAnsi="Times New Roman" w:cs="Times New Roman"/>
        </w:rPr>
        <w:t>must</w:t>
      </w:r>
      <w:r w:rsidRPr="00F459E1" w:rsidR="000049D8">
        <w:rPr>
          <w:rFonts w:ascii="Times New Roman" w:hAnsi="Times New Roman" w:cs="Times New Roman"/>
        </w:rPr>
        <w:t xml:space="preserve"> publish a </w:t>
      </w:r>
      <w:r w:rsidRPr="00F459E1" w:rsidR="00507509">
        <w:rPr>
          <w:rFonts w:ascii="Times New Roman" w:hAnsi="Times New Roman" w:cs="Times New Roman"/>
        </w:rPr>
        <w:t xml:space="preserve">Covered List that will </w:t>
      </w:r>
      <w:r w:rsidRPr="00F459E1" w:rsidR="00357DC6">
        <w:rPr>
          <w:rFonts w:ascii="Times New Roman" w:hAnsi="Times New Roman" w:cs="Times New Roman"/>
        </w:rPr>
        <w:t xml:space="preserve">encompass the applicable covered equipment and services. </w:t>
      </w:r>
    </w:p>
    <w:p w:rsidR="00173E39" w:rsidRPr="00F459E1" w:rsidP="002D77B6" w14:paraId="21B7924A" w14:textId="7EC6C86B">
      <w:pPr>
        <w:pStyle w:val="ListParagraph"/>
        <w:numPr>
          <w:ilvl w:val="0"/>
          <w:numId w:val="18"/>
        </w:numPr>
        <w:spacing w:after="0"/>
        <w:rPr>
          <w:rFonts w:ascii="Times New Roman" w:hAnsi="Times New Roman" w:cs="Times New Roman"/>
        </w:rPr>
      </w:pPr>
      <w:r w:rsidRPr="00F459E1">
        <w:rPr>
          <w:rFonts w:ascii="Times New Roman" w:hAnsi="Times New Roman" w:cs="Times New Roman"/>
        </w:rPr>
        <w:t>PSHSB will monitor the status of the determinations made for the inclusion of covered equipment and services on the Covered List.</w:t>
      </w:r>
    </w:p>
    <w:p w:rsidR="00804CDE" w:rsidRPr="00F459E1" w:rsidP="002D77B6" w14:paraId="50329DD3" w14:textId="40CE3325">
      <w:pPr>
        <w:pStyle w:val="ListParagraph"/>
        <w:numPr>
          <w:ilvl w:val="0"/>
          <w:numId w:val="18"/>
        </w:numPr>
        <w:spacing w:after="0"/>
        <w:rPr>
          <w:rFonts w:ascii="Times New Roman" w:hAnsi="Times New Roman" w:cs="Times New Roman"/>
        </w:rPr>
      </w:pPr>
      <w:r w:rsidRPr="00F459E1">
        <w:rPr>
          <w:rFonts w:ascii="Times New Roman" w:hAnsi="Times New Roman" w:cs="Times New Roman"/>
        </w:rPr>
        <w:t>If a determination is reversed or modified</w:t>
      </w:r>
      <w:r w:rsidRPr="00F459E1" w:rsidR="006625DB">
        <w:rPr>
          <w:rFonts w:ascii="Times New Roman" w:hAnsi="Times New Roman" w:cs="Times New Roman"/>
        </w:rPr>
        <w:t>, PSHSB must remove or modify the equipment or service from the Covered List</w:t>
      </w:r>
      <w:r w:rsidRPr="00F459E1" w:rsidR="00DE4C6E">
        <w:rPr>
          <w:rFonts w:ascii="Times New Roman" w:hAnsi="Times New Roman" w:cs="Times New Roman"/>
        </w:rPr>
        <w:t xml:space="preserve">. </w:t>
      </w:r>
    </w:p>
    <w:p w:rsidR="009D15AD" w:rsidP="002D77B6" w14:paraId="418CED41" w14:textId="54FFEA53">
      <w:pPr>
        <w:pStyle w:val="ListParagraph"/>
        <w:numPr>
          <w:ilvl w:val="0"/>
          <w:numId w:val="18"/>
        </w:numPr>
        <w:spacing w:after="0"/>
        <w:rPr>
          <w:rFonts w:ascii="Times New Roman" w:hAnsi="Times New Roman" w:cs="Times New Roman"/>
        </w:rPr>
      </w:pPr>
      <w:r w:rsidRPr="00F459E1">
        <w:rPr>
          <w:rFonts w:ascii="Times New Roman" w:hAnsi="Times New Roman" w:cs="Times New Roman"/>
        </w:rPr>
        <w:t>After every 12 months that the Covered List is not updated, PSHSB must issue a Public Notice indicating that no updates were necessary.</w:t>
      </w:r>
    </w:p>
    <w:p w:rsidR="00406E1D" w:rsidRPr="00F459E1" w:rsidP="002D77B6" w14:paraId="78CD471E" w14:textId="5ECBE726">
      <w:pPr>
        <w:pStyle w:val="ListParagraph"/>
        <w:numPr>
          <w:ilvl w:val="0"/>
          <w:numId w:val="18"/>
        </w:numPr>
        <w:spacing w:after="0"/>
        <w:rPr>
          <w:rFonts w:ascii="Times New Roman" w:hAnsi="Times New Roman" w:cs="Times New Roman"/>
        </w:rPr>
      </w:pPr>
      <w:r>
        <w:rPr>
          <w:rFonts w:ascii="Times New Roman" w:hAnsi="Times New Roman" w:cs="Times New Roman"/>
        </w:rPr>
        <w:t xml:space="preserve">The Covered List is available at: </w:t>
      </w:r>
      <w:hyperlink r:id="rId7" w:history="1">
        <w:r w:rsidRPr="00CF3A7C">
          <w:rPr>
            <w:rStyle w:val="Hyperlink"/>
            <w:rFonts w:ascii="Times New Roman" w:hAnsi="Times New Roman" w:cs="Times New Roman"/>
          </w:rPr>
          <w:t>https://www.fcc.gov/supplychain/coveredlist</w:t>
        </w:r>
      </w:hyperlink>
      <w:r>
        <w:rPr>
          <w:rFonts w:ascii="Times New Roman" w:hAnsi="Times New Roman" w:cs="Times New Roman"/>
        </w:rPr>
        <w:t xml:space="preserve">. </w:t>
      </w:r>
    </w:p>
    <w:p w:rsidR="009D15AD" w:rsidRPr="00F459E1" w:rsidP="009D15AD" w14:paraId="645A3F37" w14:textId="5F7929FC">
      <w:pPr>
        <w:spacing w:after="0"/>
        <w:rPr>
          <w:rFonts w:ascii="Times New Roman" w:hAnsi="Times New Roman" w:cs="Times New Roman"/>
        </w:rPr>
      </w:pPr>
    </w:p>
    <w:p w:rsidR="009D15AD" w:rsidRPr="00F459E1" w:rsidP="009D15AD" w14:paraId="464C9292" w14:textId="57C6FB0A">
      <w:pPr>
        <w:pStyle w:val="ListParagraph"/>
        <w:numPr>
          <w:ilvl w:val="1"/>
          <w:numId w:val="16"/>
        </w:numPr>
        <w:spacing w:after="0"/>
        <w:rPr>
          <w:rFonts w:ascii="Times New Roman" w:hAnsi="Times New Roman" w:cs="Times New Roman"/>
          <w:b/>
          <w:bCs/>
        </w:rPr>
      </w:pPr>
      <w:r w:rsidRPr="00F459E1">
        <w:rPr>
          <w:rFonts w:ascii="Times New Roman" w:hAnsi="Times New Roman" w:cs="Times New Roman"/>
          <w:b/>
          <w:bCs/>
        </w:rPr>
        <w:t xml:space="preserve">List of </w:t>
      </w:r>
      <w:r w:rsidRPr="00F459E1" w:rsidR="00391311">
        <w:rPr>
          <w:rFonts w:ascii="Times New Roman" w:hAnsi="Times New Roman" w:cs="Times New Roman"/>
          <w:b/>
          <w:bCs/>
        </w:rPr>
        <w:t>Covered</w:t>
      </w:r>
      <w:r w:rsidRPr="00F459E1">
        <w:rPr>
          <w:rFonts w:ascii="Times New Roman" w:hAnsi="Times New Roman" w:cs="Times New Roman"/>
          <w:b/>
          <w:bCs/>
        </w:rPr>
        <w:t xml:space="preserve"> Communications</w:t>
      </w:r>
      <w:r w:rsidRPr="00F459E1" w:rsidR="00391311">
        <w:rPr>
          <w:rFonts w:ascii="Times New Roman" w:hAnsi="Times New Roman" w:cs="Times New Roman"/>
          <w:b/>
          <w:bCs/>
        </w:rPr>
        <w:t xml:space="preserve"> Equipment and Services </w:t>
      </w:r>
      <w:r w:rsidRPr="00F459E1" w:rsidR="000204F9">
        <w:rPr>
          <w:rFonts w:ascii="Times New Roman" w:hAnsi="Times New Roman" w:cs="Times New Roman"/>
          <w:b/>
          <w:bCs/>
        </w:rPr>
        <w:t xml:space="preserve">as dictated by Section 2 of the Secure Networks Act </w:t>
      </w:r>
    </w:p>
    <w:p w:rsidR="00391311" w:rsidRPr="001672C2" w:rsidP="00391311" w14:paraId="57528305" w14:textId="77777777">
      <w:pPr>
        <w:pStyle w:val="ListParagraph"/>
        <w:spacing w:after="0"/>
        <w:ind w:left="1440"/>
        <w:rPr>
          <w:rFonts w:ascii="Times New Roman" w:hAnsi="Times New Roman" w:cs="Times New Roman"/>
        </w:rPr>
      </w:pPr>
    </w:p>
    <w:p w:rsidR="000049D8" w:rsidP="000049D8" w14:paraId="64D22320" w14:textId="02507CE6">
      <w:pPr>
        <w:pStyle w:val="ListParagraph"/>
        <w:numPr>
          <w:ilvl w:val="0"/>
          <w:numId w:val="10"/>
        </w:numPr>
        <w:spacing w:after="0"/>
        <w:rPr>
          <w:rFonts w:ascii="Times New Roman" w:hAnsi="Times New Roman" w:cs="Times New Roman"/>
        </w:rPr>
      </w:pPr>
      <w:r>
        <w:rPr>
          <w:rFonts w:ascii="Times New Roman" w:hAnsi="Times New Roman" w:cs="Times New Roman"/>
        </w:rPr>
        <w:t>Equipment</w:t>
      </w:r>
      <w:r w:rsidRPr="00F459E1" w:rsidR="00584D61">
        <w:rPr>
          <w:rFonts w:ascii="Times New Roman" w:hAnsi="Times New Roman" w:cs="Times New Roman"/>
        </w:rPr>
        <w:t xml:space="preserve"> and </w:t>
      </w:r>
      <w:r>
        <w:rPr>
          <w:rFonts w:ascii="Times New Roman" w:hAnsi="Times New Roman" w:cs="Times New Roman"/>
        </w:rPr>
        <w:t>services</w:t>
      </w:r>
      <w:r w:rsidRPr="00F459E1">
        <w:rPr>
          <w:rFonts w:ascii="Times New Roman" w:hAnsi="Times New Roman" w:cs="Times New Roman"/>
        </w:rPr>
        <w:t xml:space="preserve"> </w:t>
      </w:r>
      <w:r w:rsidRPr="00F459E1" w:rsidR="00584D61">
        <w:rPr>
          <w:rFonts w:ascii="Times New Roman" w:hAnsi="Times New Roman" w:cs="Times New Roman"/>
        </w:rPr>
        <w:t xml:space="preserve">will be added to the Covered List </w:t>
      </w:r>
      <w:r>
        <w:rPr>
          <w:rFonts w:ascii="Times New Roman" w:hAnsi="Times New Roman" w:cs="Times New Roman"/>
        </w:rPr>
        <w:t>if</w:t>
      </w:r>
      <w:r w:rsidR="001632FD">
        <w:rPr>
          <w:rFonts w:ascii="Times New Roman" w:hAnsi="Times New Roman" w:cs="Times New Roman"/>
        </w:rPr>
        <w:t xml:space="preserve"> </w:t>
      </w:r>
      <w:r>
        <w:rPr>
          <w:rFonts w:ascii="Times New Roman" w:hAnsi="Times New Roman" w:cs="Times New Roman"/>
        </w:rPr>
        <w:t xml:space="preserve">the </w:t>
      </w:r>
      <w:r w:rsidR="001632FD">
        <w:rPr>
          <w:rFonts w:ascii="Times New Roman" w:hAnsi="Times New Roman" w:cs="Times New Roman"/>
        </w:rPr>
        <w:t xml:space="preserve">equipment or service </w:t>
      </w:r>
      <w:r w:rsidRPr="00F459E1" w:rsidR="001632FD">
        <w:rPr>
          <w:rFonts w:ascii="Times New Roman" w:hAnsi="Times New Roman" w:cs="Times New Roman"/>
        </w:rPr>
        <w:t>poses an unacceptable risk to the national security of the United States or the security and safety of U.S. persons</w:t>
      </w:r>
      <w:r w:rsidR="001632FD">
        <w:rPr>
          <w:rFonts w:ascii="Times New Roman" w:hAnsi="Times New Roman" w:cs="Times New Roman"/>
        </w:rPr>
        <w:t>, based on determinations by one or more of the following</w:t>
      </w:r>
      <w:r w:rsidRPr="00F459E1" w:rsidR="00E47D7F">
        <w:rPr>
          <w:rFonts w:ascii="Times New Roman" w:hAnsi="Times New Roman" w:cs="Times New Roman"/>
        </w:rPr>
        <w:t xml:space="preserve">: </w:t>
      </w:r>
    </w:p>
    <w:p w:rsidR="001632FD" w:rsidRPr="00F459E1" w:rsidP="00F5041F" w14:paraId="0A1849C1" w14:textId="77777777">
      <w:pPr>
        <w:pStyle w:val="ListParagraph"/>
        <w:numPr>
          <w:ilvl w:val="1"/>
          <w:numId w:val="10"/>
        </w:numPr>
        <w:spacing w:after="0"/>
        <w:rPr>
          <w:rFonts w:ascii="Times New Roman" w:hAnsi="Times New Roman" w:cs="Times New Roman"/>
        </w:rPr>
      </w:pPr>
      <w:r w:rsidRPr="00F459E1">
        <w:rPr>
          <w:rFonts w:ascii="Times New Roman" w:hAnsi="Times New Roman" w:cs="Times New Roman"/>
        </w:rPr>
        <w:t>A specific determination made by any executive branch interagency body with appropriate national security expertise, including the Federal Acquisition Security Council established under section 1322(a) of title 41, United States Code.</w:t>
      </w:r>
    </w:p>
    <w:p w:rsidR="001632FD" w:rsidRPr="00F459E1" w:rsidP="00F5041F" w14:paraId="60D2294F" w14:textId="77777777">
      <w:pPr>
        <w:pStyle w:val="ListParagraph"/>
        <w:numPr>
          <w:ilvl w:val="1"/>
          <w:numId w:val="10"/>
        </w:numPr>
        <w:spacing w:after="0"/>
        <w:rPr>
          <w:rFonts w:ascii="Times New Roman" w:hAnsi="Times New Roman" w:cs="Times New Roman"/>
        </w:rPr>
      </w:pPr>
      <w:r w:rsidRPr="00F459E1">
        <w:rPr>
          <w:rFonts w:ascii="Times New Roman" w:hAnsi="Times New Roman" w:cs="Times New Roman"/>
        </w:rPr>
        <w:t xml:space="preserve">A specific determination made by the Department of Commerce pursuant to Executive Order No. 13873 (relating to securing the information and communications technology and services supply chain). </w:t>
      </w:r>
    </w:p>
    <w:p w:rsidR="001632FD" w:rsidRPr="00F459E1" w:rsidP="00F5041F" w14:paraId="79879E60" w14:textId="77777777">
      <w:pPr>
        <w:pStyle w:val="ListParagraph"/>
        <w:numPr>
          <w:ilvl w:val="1"/>
          <w:numId w:val="10"/>
        </w:numPr>
        <w:spacing w:after="0"/>
        <w:rPr>
          <w:rFonts w:ascii="Times New Roman" w:hAnsi="Times New Roman" w:cs="Times New Roman"/>
        </w:rPr>
      </w:pPr>
      <w:r w:rsidRPr="00F459E1">
        <w:rPr>
          <w:rFonts w:ascii="Times New Roman" w:hAnsi="Times New Roman" w:cs="Times New Roman"/>
        </w:rPr>
        <w:t xml:space="preserve">The communications equipment or service being covered telecommunications equipment or service, as defined in section 889(f)(3) of the John S. McCain National Defense Authorization Act for Fiscal Year 2019 (Public Law 115-232; 132 Stat. 1918). </w:t>
      </w:r>
    </w:p>
    <w:p w:rsidR="001632FD" w:rsidRPr="00F459E1" w:rsidP="00F5041F" w14:paraId="62D3D18B" w14:textId="77777777">
      <w:pPr>
        <w:pStyle w:val="ListParagraph"/>
        <w:numPr>
          <w:ilvl w:val="1"/>
          <w:numId w:val="10"/>
        </w:numPr>
        <w:spacing w:after="0"/>
        <w:rPr>
          <w:rFonts w:ascii="Times New Roman" w:hAnsi="Times New Roman" w:cs="Times New Roman"/>
        </w:rPr>
      </w:pPr>
      <w:r w:rsidRPr="00F459E1">
        <w:rPr>
          <w:rFonts w:ascii="Times New Roman" w:hAnsi="Times New Roman" w:cs="Times New Roman"/>
        </w:rPr>
        <w:t>A specific determination made by an appropriate national security agency.</w:t>
      </w:r>
    </w:p>
    <w:p w:rsidR="00D9236B" w:rsidRPr="001632FD" w:rsidP="00F5041F" w14:paraId="14D25712" w14:textId="26746B55">
      <w:pPr>
        <w:pStyle w:val="ListParagraph"/>
        <w:numPr>
          <w:ilvl w:val="0"/>
          <w:numId w:val="10"/>
        </w:numPr>
        <w:spacing w:after="0"/>
        <w:rPr>
          <w:rFonts w:ascii="Times New Roman" w:hAnsi="Times New Roman" w:cs="Times New Roman"/>
        </w:rPr>
      </w:pPr>
      <w:r w:rsidRPr="00F5041F">
        <w:rPr>
          <w:rFonts w:ascii="Times New Roman" w:hAnsi="Times New Roman" w:cs="Times New Roman"/>
          <w:i/>
          <w:iCs/>
        </w:rPr>
        <w:t>And</w:t>
      </w:r>
      <w:r w:rsidR="00F5041F">
        <w:rPr>
          <w:rFonts w:ascii="Times New Roman" w:hAnsi="Times New Roman" w:cs="Times New Roman"/>
        </w:rPr>
        <w:t>,</w:t>
      </w:r>
      <w:r>
        <w:rPr>
          <w:rFonts w:ascii="Times New Roman" w:hAnsi="Times New Roman" w:cs="Times New Roman"/>
        </w:rPr>
        <w:t xml:space="preserve"> the </w:t>
      </w:r>
      <w:r w:rsidRPr="001632FD" w:rsidR="00914D24">
        <w:rPr>
          <w:rFonts w:ascii="Times New Roman" w:hAnsi="Times New Roman" w:cs="Times New Roman"/>
        </w:rPr>
        <w:t xml:space="preserve">equipment or service is capable of </w:t>
      </w:r>
      <w:r w:rsidRPr="001632FD">
        <w:rPr>
          <w:rFonts w:ascii="Times New Roman" w:hAnsi="Times New Roman" w:cs="Times New Roman"/>
        </w:rPr>
        <w:t xml:space="preserve">the following: </w:t>
      </w:r>
    </w:p>
    <w:p w:rsidR="00AE64BC" w:rsidRPr="00F459E1" w:rsidP="00F5041F" w14:paraId="237F5B00" w14:textId="6FB8B5E9">
      <w:pPr>
        <w:pStyle w:val="ListParagraph"/>
        <w:numPr>
          <w:ilvl w:val="1"/>
          <w:numId w:val="10"/>
        </w:numPr>
        <w:spacing w:after="0"/>
        <w:rPr>
          <w:rFonts w:ascii="Times New Roman" w:hAnsi="Times New Roman" w:cs="Times New Roman"/>
        </w:rPr>
      </w:pPr>
      <w:r w:rsidRPr="00F459E1">
        <w:rPr>
          <w:rFonts w:ascii="Times New Roman" w:hAnsi="Times New Roman" w:cs="Times New Roman"/>
        </w:rPr>
        <w:t>R</w:t>
      </w:r>
      <w:r w:rsidRPr="00F459E1" w:rsidR="00914D24">
        <w:rPr>
          <w:rFonts w:ascii="Times New Roman" w:hAnsi="Times New Roman" w:cs="Times New Roman"/>
        </w:rPr>
        <w:t>outing or redirecting user data traffic or permitting visibility into any user data or packets that such equipment or service transmi</w:t>
      </w:r>
      <w:r w:rsidRPr="00F459E1">
        <w:rPr>
          <w:rFonts w:ascii="Times New Roman" w:hAnsi="Times New Roman" w:cs="Times New Roman"/>
        </w:rPr>
        <w:t xml:space="preserve">ts or otherwise handles; </w:t>
      </w:r>
    </w:p>
    <w:p w:rsidR="00D9236B" w:rsidRPr="00F459E1" w:rsidP="00F5041F" w14:paraId="1C2795D2" w14:textId="6C6C3566">
      <w:pPr>
        <w:pStyle w:val="ListParagraph"/>
        <w:numPr>
          <w:ilvl w:val="1"/>
          <w:numId w:val="10"/>
        </w:numPr>
        <w:spacing w:after="0"/>
        <w:rPr>
          <w:rFonts w:ascii="Times New Roman" w:hAnsi="Times New Roman" w:cs="Times New Roman"/>
        </w:rPr>
      </w:pPr>
      <w:r w:rsidRPr="00F459E1">
        <w:rPr>
          <w:rFonts w:ascii="Times New Roman" w:hAnsi="Times New Roman" w:cs="Times New Roman"/>
        </w:rPr>
        <w:t xml:space="preserve">Causing the network of a provider </w:t>
      </w:r>
      <w:r w:rsidRPr="00F459E1" w:rsidR="009B2033">
        <w:rPr>
          <w:rFonts w:ascii="Times New Roman" w:hAnsi="Times New Roman" w:cs="Times New Roman"/>
        </w:rPr>
        <w:t xml:space="preserve">of advanced communications service to be disrupted remotely; or </w:t>
      </w:r>
    </w:p>
    <w:p w:rsidR="009B2033" w:rsidRPr="00F459E1" w:rsidP="00F5041F" w14:paraId="0E49737B" w14:textId="3AE39304">
      <w:pPr>
        <w:pStyle w:val="ListParagraph"/>
        <w:numPr>
          <w:ilvl w:val="1"/>
          <w:numId w:val="10"/>
        </w:numPr>
        <w:spacing w:after="0"/>
        <w:rPr>
          <w:rFonts w:ascii="Times New Roman" w:hAnsi="Times New Roman" w:cs="Times New Roman"/>
        </w:rPr>
      </w:pPr>
      <w:r w:rsidRPr="00F459E1">
        <w:rPr>
          <w:rFonts w:ascii="Times New Roman" w:hAnsi="Times New Roman" w:cs="Times New Roman"/>
        </w:rPr>
        <w:t xml:space="preserve">Otherwise posing an unacceptable risk to the national security of the U.S. or the security and safety of U.S. persons. </w:t>
      </w:r>
    </w:p>
    <w:p w:rsidR="000402EB" w:rsidRPr="00F459E1" w:rsidP="000402EB" w14:paraId="24BEA3EB" w14:textId="77777777">
      <w:pPr>
        <w:pStyle w:val="ListParagraph"/>
        <w:spacing w:after="0"/>
        <w:ind w:left="2160"/>
        <w:rPr>
          <w:rFonts w:ascii="Times New Roman" w:hAnsi="Times New Roman" w:cs="Times New Roman"/>
        </w:rPr>
      </w:pPr>
    </w:p>
    <w:p w:rsidR="002D77B6" w:rsidRPr="00F459E1" w:rsidP="002D77B6" w14:paraId="3A26E62A" w14:textId="11D27DFC">
      <w:pPr>
        <w:pStyle w:val="ListParagraph"/>
        <w:numPr>
          <w:ilvl w:val="0"/>
          <w:numId w:val="16"/>
        </w:numPr>
        <w:spacing w:after="0"/>
        <w:rPr>
          <w:rFonts w:ascii="Times New Roman" w:hAnsi="Times New Roman" w:cs="Times New Roman"/>
          <w:b/>
          <w:bCs/>
        </w:rPr>
      </w:pPr>
      <w:r w:rsidRPr="00F459E1">
        <w:rPr>
          <w:rFonts w:ascii="Times New Roman" w:hAnsi="Times New Roman" w:cs="Times New Roman"/>
          <w:b/>
          <w:bCs/>
        </w:rPr>
        <w:t>Prohibition on Use of Certain Federal Subsidies</w:t>
      </w:r>
      <w:r w:rsidRPr="00F459E1" w:rsidR="000369DF">
        <w:rPr>
          <w:rFonts w:ascii="Times New Roman" w:hAnsi="Times New Roman" w:cs="Times New Roman"/>
          <w:b/>
          <w:bCs/>
        </w:rPr>
        <w:t xml:space="preserve"> (</w:t>
      </w:r>
      <w:r w:rsidRPr="00F459E1" w:rsidR="00AF34F0">
        <w:rPr>
          <w:rFonts w:ascii="Times New Roman" w:hAnsi="Times New Roman" w:cs="Times New Roman"/>
          <w:b/>
          <w:bCs/>
        </w:rPr>
        <w:t xml:space="preserve">47 CFR </w:t>
      </w:r>
      <w:r w:rsidRPr="00F459E1" w:rsidR="00AF34F0">
        <w:rPr>
          <w:rFonts w:ascii="Times New Roman" w:hAnsi="Times New Roman" w:cs="Times New Roman"/>
          <w:b/>
          <w:iCs/>
        </w:rPr>
        <w:t>§ 1.50001</w:t>
      </w:r>
      <w:r w:rsidRPr="00F459E1" w:rsidR="00785688">
        <w:rPr>
          <w:rFonts w:ascii="Times New Roman" w:hAnsi="Times New Roman" w:cs="Times New Roman"/>
          <w:b/>
          <w:iCs/>
        </w:rPr>
        <w:t xml:space="preserve">(a); </w:t>
      </w:r>
      <w:r w:rsidRPr="00F459E1" w:rsidR="000369DF">
        <w:rPr>
          <w:rFonts w:ascii="Times New Roman" w:hAnsi="Times New Roman" w:cs="Times New Roman"/>
          <w:b/>
          <w:bCs/>
        </w:rPr>
        <w:t xml:space="preserve">47 CFR </w:t>
      </w:r>
      <w:r w:rsidRPr="00F459E1" w:rsidR="000369DF">
        <w:rPr>
          <w:rFonts w:ascii="Times New Roman" w:hAnsi="Times New Roman" w:cs="Times New Roman"/>
          <w:b/>
          <w:iCs/>
        </w:rPr>
        <w:t>§ 54.10)</w:t>
      </w:r>
    </w:p>
    <w:p w:rsidR="00825020" w:rsidRPr="00F459E1" w:rsidP="000369DF" w14:paraId="428AF17D" w14:textId="2D8C2F7B">
      <w:pPr>
        <w:spacing w:after="0"/>
        <w:rPr>
          <w:rFonts w:ascii="Times New Roman" w:hAnsi="Times New Roman" w:cs="Times New Roman"/>
          <w:b/>
          <w:bCs/>
        </w:rPr>
      </w:pPr>
    </w:p>
    <w:p w:rsidR="000369DF" w:rsidRPr="00F459E1" w:rsidP="000369DF" w14:paraId="7606585F" w14:textId="1331C27E">
      <w:pPr>
        <w:pStyle w:val="ListParagraph"/>
        <w:numPr>
          <w:ilvl w:val="0"/>
          <w:numId w:val="10"/>
        </w:numPr>
        <w:spacing w:after="0"/>
        <w:rPr>
          <w:rFonts w:ascii="Times New Roman" w:hAnsi="Times New Roman" w:cs="Times New Roman"/>
          <w:b/>
          <w:bCs/>
        </w:rPr>
      </w:pPr>
      <w:r w:rsidRPr="00F459E1">
        <w:rPr>
          <w:rFonts w:ascii="Times New Roman" w:hAnsi="Times New Roman" w:cs="Times New Roman"/>
        </w:rPr>
        <w:t>A Federal subsidy that is made available through a program administered by the Commission that provides funds to be used for capital expenditures necessary for the provision of advanced communications service may not be used to</w:t>
      </w:r>
      <w:r w:rsidRPr="00F459E1" w:rsidR="00483187">
        <w:rPr>
          <w:rFonts w:ascii="Times New Roman" w:hAnsi="Times New Roman" w:cs="Times New Roman"/>
        </w:rPr>
        <w:t>:</w:t>
      </w:r>
    </w:p>
    <w:p w:rsidR="00483187" w:rsidRPr="00F459E1" w:rsidP="00483187" w14:paraId="76FF208E" w14:textId="48B86433">
      <w:pPr>
        <w:pStyle w:val="ListParagraph"/>
        <w:numPr>
          <w:ilvl w:val="1"/>
          <w:numId w:val="10"/>
        </w:numPr>
        <w:spacing w:after="0"/>
        <w:rPr>
          <w:rFonts w:ascii="Times New Roman" w:hAnsi="Times New Roman" w:cs="Times New Roman"/>
          <w:b/>
          <w:bCs/>
        </w:rPr>
      </w:pPr>
      <w:r w:rsidRPr="00F459E1">
        <w:rPr>
          <w:rFonts w:ascii="Times New Roman" w:hAnsi="Times New Roman" w:cs="Times New Roman"/>
        </w:rPr>
        <w:t xml:space="preserve">Purchase, rent, lease, or otherwise obtain any covered communications equipment or </w:t>
      </w:r>
    </w:p>
    <w:p w:rsidR="001F448F" w:rsidRPr="00F459E1" w:rsidP="001F448F" w14:paraId="1856207A" w14:textId="77777777">
      <w:pPr>
        <w:pStyle w:val="ListParagraph"/>
        <w:numPr>
          <w:ilvl w:val="1"/>
          <w:numId w:val="10"/>
        </w:numPr>
        <w:spacing w:after="0"/>
        <w:rPr>
          <w:rFonts w:ascii="Times New Roman" w:hAnsi="Times New Roman" w:cs="Times New Roman"/>
          <w:b/>
          <w:bCs/>
        </w:rPr>
      </w:pPr>
      <w:r w:rsidRPr="00F459E1">
        <w:rPr>
          <w:rFonts w:ascii="Times New Roman" w:hAnsi="Times New Roman" w:cs="Times New Roman"/>
        </w:rPr>
        <w:t xml:space="preserve">Maintain any covered communications equipment or service previously purchased, rented, leased, or otherwise obtained. </w:t>
      </w:r>
    </w:p>
    <w:p w:rsidR="009A61EC" w:rsidRPr="00F459E1" w:rsidP="001F448F" w14:paraId="3AA3064C" w14:textId="205D3ED2">
      <w:pPr>
        <w:pStyle w:val="ListParagraph"/>
        <w:numPr>
          <w:ilvl w:val="0"/>
          <w:numId w:val="10"/>
        </w:numPr>
        <w:spacing w:after="0"/>
        <w:rPr>
          <w:rFonts w:ascii="Times New Roman" w:hAnsi="Times New Roman" w:cs="Times New Roman"/>
          <w:b/>
          <w:bCs/>
        </w:rPr>
      </w:pPr>
      <w:r w:rsidRPr="00F459E1">
        <w:rPr>
          <w:rFonts w:ascii="Times New Roman" w:hAnsi="Times New Roman" w:cs="Times New Roman"/>
        </w:rPr>
        <w:t>This prohibition appl</w:t>
      </w:r>
      <w:r w:rsidRPr="00F459E1" w:rsidR="00584D61">
        <w:rPr>
          <w:rFonts w:ascii="Times New Roman" w:hAnsi="Times New Roman" w:cs="Times New Roman"/>
        </w:rPr>
        <w:t>ies</w:t>
      </w:r>
      <w:r w:rsidRPr="00F459E1">
        <w:rPr>
          <w:rFonts w:ascii="Times New Roman" w:hAnsi="Times New Roman" w:cs="Times New Roman"/>
        </w:rPr>
        <w:t xml:space="preserve"> to covered equipment or services beginning on the date that is 60 days after </w:t>
      </w:r>
      <w:r w:rsidRPr="00F459E1" w:rsidR="00805AD9">
        <w:rPr>
          <w:rFonts w:ascii="Times New Roman" w:hAnsi="Times New Roman" w:cs="Times New Roman"/>
        </w:rPr>
        <w:t xml:space="preserve">the date on which </w:t>
      </w:r>
      <w:r w:rsidRPr="00F459E1" w:rsidR="001F448F">
        <w:rPr>
          <w:rFonts w:ascii="Times New Roman" w:hAnsi="Times New Roman" w:cs="Times New Roman"/>
        </w:rPr>
        <w:t>the equipment or service</w:t>
      </w:r>
      <w:r w:rsidRPr="00F459E1" w:rsidR="00805AD9">
        <w:rPr>
          <w:rFonts w:ascii="Times New Roman" w:hAnsi="Times New Roman" w:cs="Times New Roman"/>
        </w:rPr>
        <w:t xml:space="preserve"> is placed on the Covered List</w:t>
      </w:r>
      <w:r w:rsidRPr="00F459E1" w:rsidR="001F448F">
        <w:rPr>
          <w:rFonts w:ascii="Times New Roman" w:hAnsi="Times New Roman" w:cs="Times New Roman"/>
        </w:rPr>
        <w:t xml:space="preserve">. </w:t>
      </w:r>
    </w:p>
    <w:p w:rsidR="00AF34F0" w:rsidRPr="00F459E1" w:rsidP="001F448F" w14:paraId="0A84C3FC" w14:textId="6456DBBE">
      <w:pPr>
        <w:pStyle w:val="ListParagraph"/>
        <w:numPr>
          <w:ilvl w:val="0"/>
          <w:numId w:val="10"/>
        </w:numPr>
        <w:spacing w:after="0"/>
        <w:rPr>
          <w:rFonts w:ascii="Times New Roman" w:hAnsi="Times New Roman" w:cs="Times New Roman"/>
          <w:b/>
          <w:bCs/>
        </w:rPr>
      </w:pPr>
      <w:r w:rsidRPr="00F459E1">
        <w:rPr>
          <w:rFonts w:ascii="Times New Roman" w:hAnsi="Times New Roman" w:cs="Times New Roman"/>
        </w:rPr>
        <w:t xml:space="preserve">Advanced communications service is defined as </w:t>
      </w:r>
      <w:r w:rsidRPr="00F459E1" w:rsidR="00785688">
        <w:rPr>
          <w:rFonts w:ascii="Times New Roman" w:hAnsi="Times New Roman" w:cs="Times New Roman"/>
        </w:rPr>
        <w:t xml:space="preserve">high-speed, switched, broadband telecommunications capability </w:t>
      </w:r>
      <w:r w:rsidRPr="00F459E1" w:rsidR="00414AC9">
        <w:rPr>
          <w:rFonts w:ascii="Times New Roman" w:hAnsi="Times New Roman" w:cs="Times New Roman"/>
        </w:rPr>
        <w:t xml:space="preserve">that enables users to originate and receive high-quality voice, data, graphics, and video telecommunications using any technology with connection speeds of at least 200 kbps in either direction. </w:t>
      </w:r>
    </w:p>
    <w:p w:rsidR="004D7F24" w:rsidP="004D7F24" w14:paraId="461DC8C5" w14:textId="467941F3">
      <w:pPr>
        <w:spacing w:after="0"/>
        <w:rPr>
          <w:rFonts w:ascii="Times New Roman" w:hAnsi="Times New Roman" w:cs="Times New Roman"/>
        </w:rPr>
      </w:pPr>
    </w:p>
    <w:p w:rsidR="00F5041F" w:rsidP="004D7F24" w14:paraId="34E3E5B0" w14:textId="25EF65AF">
      <w:pPr>
        <w:spacing w:after="0"/>
        <w:rPr>
          <w:rFonts w:ascii="Times New Roman" w:hAnsi="Times New Roman" w:cs="Times New Roman"/>
        </w:rPr>
      </w:pPr>
    </w:p>
    <w:p w:rsidR="00F5041F" w:rsidP="004D7F24" w14:paraId="6C1CAEC2" w14:textId="23692D8F">
      <w:pPr>
        <w:spacing w:after="0"/>
        <w:rPr>
          <w:rFonts w:ascii="Times New Roman" w:hAnsi="Times New Roman" w:cs="Times New Roman"/>
        </w:rPr>
      </w:pPr>
    </w:p>
    <w:p w:rsidR="00F5041F" w:rsidP="004D7F24" w14:paraId="15057BC7" w14:textId="0E6A36F2">
      <w:pPr>
        <w:spacing w:after="0"/>
        <w:rPr>
          <w:rFonts w:ascii="Times New Roman" w:hAnsi="Times New Roman" w:cs="Times New Roman"/>
        </w:rPr>
      </w:pPr>
    </w:p>
    <w:p w:rsidR="00F5041F" w:rsidRPr="000D6D8C" w:rsidP="004D7F24" w14:paraId="1BCA977E" w14:textId="77777777">
      <w:pPr>
        <w:spacing w:after="0"/>
        <w:rPr>
          <w:rFonts w:ascii="Times New Roman" w:hAnsi="Times New Roman" w:cs="Times New Roman"/>
        </w:rPr>
      </w:pPr>
    </w:p>
    <w:p w:rsidR="004D7F24" w:rsidRPr="00F459E1" w:rsidP="004D7F24" w14:paraId="23F3C8DD" w14:textId="2DBDC611">
      <w:pPr>
        <w:pStyle w:val="ListParagraph"/>
        <w:numPr>
          <w:ilvl w:val="0"/>
          <w:numId w:val="16"/>
        </w:numPr>
        <w:spacing w:after="0"/>
        <w:rPr>
          <w:rFonts w:ascii="Times New Roman" w:hAnsi="Times New Roman" w:cs="Times New Roman"/>
          <w:b/>
          <w:bCs/>
        </w:rPr>
      </w:pPr>
      <w:r w:rsidRPr="00F459E1">
        <w:rPr>
          <w:rFonts w:ascii="Times New Roman" w:hAnsi="Times New Roman" w:cs="Times New Roman"/>
          <w:b/>
          <w:bCs/>
        </w:rPr>
        <w:t>Establishment of the Secure Networks Act</w:t>
      </w:r>
      <w:r w:rsidRPr="00F459E1" w:rsidR="008A7CFA">
        <w:rPr>
          <w:rFonts w:ascii="Times New Roman" w:hAnsi="Times New Roman" w:cs="Times New Roman"/>
          <w:b/>
          <w:bCs/>
        </w:rPr>
        <w:t xml:space="preserve"> Section 4</w:t>
      </w:r>
      <w:r w:rsidRPr="00F459E1">
        <w:rPr>
          <w:rFonts w:ascii="Times New Roman" w:hAnsi="Times New Roman" w:cs="Times New Roman"/>
          <w:b/>
          <w:bCs/>
        </w:rPr>
        <w:t xml:space="preserve"> Reimbursement Program </w:t>
      </w:r>
      <w:r w:rsidRPr="00F459E1" w:rsidR="008A7CFA">
        <w:rPr>
          <w:rFonts w:ascii="Times New Roman" w:hAnsi="Times New Roman" w:cs="Times New Roman"/>
          <w:b/>
          <w:bCs/>
        </w:rPr>
        <w:t>(</w:t>
      </w:r>
      <w:r w:rsidRPr="00F459E1" w:rsidR="008A7CFA">
        <w:rPr>
          <w:rFonts w:ascii="Times New Roman" w:hAnsi="Times New Roman" w:cs="Times New Roman"/>
          <w:b/>
          <w:iCs/>
          <w:spacing w:val="-2"/>
        </w:rPr>
        <w:t xml:space="preserve">47 CFR </w:t>
      </w:r>
      <w:r w:rsidRPr="00F459E1" w:rsidR="008A7CFA">
        <w:rPr>
          <w:rFonts w:ascii="Times New Roman" w:hAnsi="Times New Roman" w:cs="Times New Roman"/>
          <w:b/>
          <w:iCs/>
        </w:rPr>
        <w:t>§</w:t>
      </w:r>
      <w:r w:rsidR="000D6D8C">
        <w:rPr>
          <w:rFonts w:ascii="Times New Roman" w:hAnsi="Times New Roman" w:cs="Times New Roman"/>
          <w:b/>
          <w:iCs/>
        </w:rPr>
        <w:t> </w:t>
      </w:r>
      <w:r w:rsidRPr="00F459E1" w:rsidR="008A7CFA">
        <w:rPr>
          <w:rFonts w:ascii="Times New Roman" w:hAnsi="Times New Roman" w:cs="Times New Roman"/>
          <w:b/>
          <w:iCs/>
        </w:rPr>
        <w:t>1.50004</w:t>
      </w:r>
      <w:r w:rsidRPr="00F459E1" w:rsidR="004D3D1B">
        <w:rPr>
          <w:rFonts w:ascii="Times New Roman" w:hAnsi="Times New Roman" w:cs="Times New Roman"/>
          <w:b/>
          <w:iCs/>
        </w:rPr>
        <w:t>(a)-</w:t>
      </w:r>
      <w:r w:rsidRPr="00F459E1" w:rsidR="006E216D">
        <w:rPr>
          <w:rFonts w:ascii="Times New Roman" w:hAnsi="Times New Roman" w:cs="Times New Roman"/>
          <w:b/>
          <w:iCs/>
        </w:rPr>
        <w:t>(n)</w:t>
      </w:r>
      <w:r w:rsidRPr="00F459E1" w:rsidR="008A7CFA">
        <w:rPr>
          <w:rFonts w:ascii="Times New Roman" w:hAnsi="Times New Roman" w:cs="Times New Roman"/>
          <w:b/>
          <w:iCs/>
        </w:rPr>
        <w:t>)</w:t>
      </w:r>
    </w:p>
    <w:p w:rsidR="007B5A19" w:rsidRPr="000D6D8C" w:rsidP="007B5A19" w14:paraId="4F614898" w14:textId="482A32E9">
      <w:pPr>
        <w:spacing w:after="0"/>
        <w:rPr>
          <w:rFonts w:ascii="Times New Roman" w:hAnsi="Times New Roman" w:cs="Times New Roman"/>
        </w:rPr>
      </w:pPr>
    </w:p>
    <w:p w:rsidR="008A7CFA" w:rsidRPr="00F459E1" w:rsidP="00F5041F" w14:paraId="55409F51" w14:textId="6464385D">
      <w:pPr>
        <w:pStyle w:val="ListParagraph"/>
        <w:keepNext/>
        <w:numPr>
          <w:ilvl w:val="1"/>
          <w:numId w:val="16"/>
        </w:numPr>
        <w:spacing w:after="0"/>
        <w:rPr>
          <w:rFonts w:ascii="Times New Roman" w:hAnsi="Times New Roman" w:cs="Times New Roman"/>
          <w:b/>
          <w:bCs/>
        </w:rPr>
      </w:pPr>
      <w:r w:rsidRPr="00F459E1">
        <w:rPr>
          <w:rFonts w:ascii="Times New Roman" w:hAnsi="Times New Roman" w:cs="Times New Roman"/>
          <w:b/>
          <w:bCs/>
        </w:rPr>
        <w:t>Eligibility</w:t>
      </w:r>
    </w:p>
    <w:p w:rsidR="007B5A19" w:rsidRPr="000D6D8C" w:rsidP="008A7CFA" w14:paraId="32DE0CE5" w14:textId="77777777">
      <w:pPr>
        <w:spacing w:after="0"/>
        <w:rPr>
          <w:rFonts w:ascii="Times New Roman" w:hAnsi="Times New Roman" w:cs="Times New Roman"/>
        </w:rPr>
      </w:pPr>
    </w:p>
    <w:p w:rsidR="00080578" w:rsidRPr="00F459E1" w:rsidP="004D3D1B" w14:paraId="77AF6509" w14:textId="031649E1">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Providers of advanced communications service with </w:t>
      </w:r>
      <w:r w:rsidRPr="00F459E1" w:rsidR="00584D61">
        <w:rPr>
          <w:rFonts w:ascii="Times New Roman" w:hAnsi="Times New Roman" w:cs="Times New Roman"/>
        </w:rPr>
        <w:t>ten</w:t>
      </w:r>
      <w:r w:rsidRPr="00F459E1">
        <w:rPr>
          <w:rFonts w:ascii="Times New Roman" w:hAnsi="Times New Roman" w:cs="Times New Roman"/>
        </w:rPr>
        <w:t xml:space="preserve"> million or fewer customers </w:t>
      </w:r>
      <w:r w:rsidRPr="00F459E1" w:rsidR="00584D61">
        <w:rPr>
          <w:rFonts w:ascii="Times New Roman" w:hAnsi="Times New Roman" w:cs="Times New Roman"/>
        </w:rPr>
        <w:t>are</w:t>
      </w:r>
      <w:r w:rsidRPr="00F459E1">
        <w:rPr>
          <w:rFonts w:ascii="Times New Roman" w:hAnsi="Times New Roman" w:cs="Times New Roman"/>
        </w:rPr>
        <w:t xml:space="preserve"> eligible to participate in this </w:t>
      </w:r>
      <w:r w:rsidRPr="00F459E1" w:rsidR="00584D61">
        <w:rPr>
          <w:rFonts w:ascii="Times New Roman" w:hAnsi="Times New Roman" w:cs="Times New Roman"/>
        </w:rPr>
        <w:t xml:space="preserve">Reimbursement </w:t>
      </w:r>
      <w:r w:rsidRPr="00F459E1">
        <w:rPr>
          <w:rFonts w:ascii="Times New Roman" w:hAnsi="Times New Roman" w:cs="Times New Roman"/>
        </w:rPr>
        <w:t>Program</w:t>
      </w:r>
      <w:r w:rsidRPr="00F459E1" w:rsidR="00584D61">
        <w:rPr>
          <w:rFonts w:ascii="Times New Roman" w:hAnsi="Times New Roman" w:cs="Times New Roman"/>
        </w:rPr>
        <w:t xml:space="preserve"> and may be reimbursed</w:t>
      </w:r>
      <w:r w:rsidRPr="00F459E1">
        <w:rPr>
          <w:rFonts w:ascii="Times New Roman" w:hAnsi="Times New Roman" w:cs="Times New Roman"/>
        </w:rPr>
        <w:t xml:space="preserve"> for costs reasonably incurred for the replacement, removal, and disposal of covered</w:t>
      </w:r>
      <w:r w:rsidR="00406E1D">
        <w:rPr>
          <w:rFonts w:ascii="Times New Roman" w:hAnsi="Times New Roman" w:cs="Times New Roman"/>
        </w:rPr>
        <w:t xml:space="preserve"> (that is, Huawei or ZTE)</w:t>
      </w:r>
      <w:r w:rsidRPr="00F459E1">
        <w:rPr>
          <w:rFonts w:ascii="Times New Roman" w:hAnsi="Times New Roman" w:cs="Times New Roman"/>
        </w:rPr>
        <w:t xml:space="preserve"> communications equipment or services</w:t>
      </w:r>
      <w:r w:rsidRPr="00F459E1" w:rsidR="00165BAC">
        <w:rPr>
          <w:rFonts w:ascii="Times New Roman" w:hAnsi="Times New Roman" w:cs="Times New Roman"/>
        </w:rPr>
        <w:t xml:space="preserve"> if the following are met: </w:t>
      </w:r>
    </w:p>
    <w:p w:rsidR="00E81AF0" w:rsidRPr="00F459E1" w:rsidP="000E3AD2" w14:paraId="062F1666" w14:textId="5BC26CB0">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 xml:space="preserve">The covered equipment or service to be removed, replaced, or disposed of was purchased, rented, leased or otherwise obtained before </w:t>
      </w:r>
      <w:r w:rsidRPr="00F459E1" w:rsidR="008A4AA3">
        <w:rPr>
          <w:rFonts w:ascii="Times New Roman" w:hAnsi="Times New Roman" w:cs="Times New Roman"/>
        </w:rPr>
        <w:t>June 30, 2020</w:t>
      </w:r>
      <w:r w:rsidRPr="00F459E1">
        <w:rPr>
          <w:rFonts w:ascii="Times New Roman" w:hAnsi="Times New Roman" w:cs="Times New Roman"/>
        </w:rPr>
        <w:t xml:space="preserve">; </w:t>
      </w:r>
    </w:p>
    <w:p w:rsidR="007B5A19" w:rsidRPr="00F459E1" w:rsidP="007B5A19" w14:paraId="084A9BE5" w14:textId="6B64F682">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As of the date of submission of a reimbursement application, the provider must have developed the following:</w:t>
      </w:r>
    </w:p>
    <w:p w:rsidR="007B5A19" w:rsidRPr="00F459E1" w:rsidP="007B5A19" w14:paraId="1B51BF82" w14:textId="30ABEA6E">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A plan for permanent removal</w:t>
      </w:r>
      <w:r w:rsidRPr="00F459E1" w:rsidR="000B0ECE">
        <w:rPr>
          <w:rFonts w:ascii="Times New Roman" w:hAnsi="Times New Roman" w:cs="Times New Roman"/>
        </w:rPr>
        <w:t xml:space="preserve">, </w:t>
      </w:r>
      <w:r w:rsidRPr="00F459E1">
        <w:rPr>
          <w:rFonts w:ascii="Times New Roman" w:hAnsi="Times New Roman" w:cs="Times New Roman"/>
        </w:rPr>
        <w:t>replacement</w:t>
      </w:r>
      <w:r w:rsidRPr="00F459E1" w:rsidR="000B0ECE">
        <w:rPr>
          <w:rFonts w:ascii="Times New Roman" w:hAnsi="Times New Roman" w:cs="Times New Roman"/>
        </w:rPr>
        <w:t xml:space="preserve">, and disposal </w:t>
      </w:r>
      <w:r w:rsidRPr="00F459E1">
        <w:rPr>
          <w:rFonts w:ascii="Times New Roman" w:hAnsi="Times New Roman" w:cs="Times New Roman"/>
        </w:rPr>
        <w:t xml:space="preserve">of covered equipment </w:t>
      </w:r>
      <w:r w:rsidRPr="00F459E1" w:rsidR="00013DBA">
        <w:rPr>
          <w:rFonts w:ascii="Times New Roman" w:hAnsi="Times New Roman" w:cs="Times New Roman"/>
        </w:rPr>
        <w:t xml:space="preserve">or services; and </w:t>
      </w:r>
    </w:p>
    <w:p w:rsidR="00013DBA" w:rsidRPr="00F459E1" w:rsidP="007B5A19" w14:paraId="6DFB3A48" w14:textId="12CF872C">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A specific timeline for the permanent removal</w:t>
      </w:r>
      <w:r w:rsidRPr="00F459E1" w:rsidR="000B0ECE">
        <w:rPr>
          <w:rFonts w:ascii="Times New Roman" w:hAnsi="Times New Roman" w:cs="Times New Roman"/>
        </w:rPr>
        <w:t>, replacement, and disposal of such covered equipment or services</w:t>
      </w:r>
      <w:r w:rsidRPr="00F459E1" w:rsidR="00A01314">
        <w:rPr>
          <w:rFonts w:ascii="Times New Roman" w:hAnsi="Times New Roman" w:cs="Times New Roman"/>
        </w:rPr>
        <w:t xml:space="preserve">, which must be submitted with the application. </w:t>
      </w:r>
    </w:p>
    <w:p w:rsidR="000D6D8C" w:rsidP="00F5041F" w14:paraId="59B17E9F" w14:textId="0203E6FB">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At the beginning of the date of </w:t>
      </w:r>
      <w:r w:rsidRPr="00F459E1" w:rsidR="00946498">
        <w:rPr>
          <w:rFonts w:ascii="Times New Roman" w:hAnsi="Times New Roman" w:cs="Times New Roman"/>
        </w:rPr>
        <w:t>approval of a reimbursement application, the provider cannot purchase, rent, lease or obtain covered equipment or services</w:t>
      </w:r>
      <w:r w:rsidRPr="00F459E1" w:rsidR="0004690F">
        <w:rPr>
          <w:rFonts w:ascii="Times New Roman" w:hAnsi="Times New Roman" w:cs="Times New Roman"/>
        </w:rPr>
        <w:t xml:space="preserve"> with reimbursement or private funds and in developing risk management practices,</w:t>
      </w:r>
      <w:r w:rsidR="00F5041F">
        <w:rPr>
          <w:rFonts w:ascii="Times New Roman" w:hAnsi="Times New Roman" w:cs="Times New Roman"/>
        </w:rPr>
        <w:t xml:space="preserve"> and</w:t>
      </w:r>
      <w:r w:rsidRPr="00F459E1" w:rsidR="0004690F">
        <w:rPr>
          <w:rFonts w:ascii="Times New Roman" w:hAnsi="Times New Roman" w:cs="Times New Roman"/>
        </w:rPr>
        <w:t xml:space="preserve"> it will consult with the standards, guidelines, and best practices set forth in the cybersecurity framework developed by the National Institute of Standards and Technology (NIST). </w:t>
      </w:r>
    </w:p>
    <w:p w:rsidR="00F5041F" w:rsidRPr="00F5041F" w:rsidP="00F5041F" w14:paraId="6AC0EF11" w14:textId="77777777">
      <w:pPr>
        <w:pStyle w:val="ListParagraph"/>
        <w:spacing w:after="220" w:line="240" w:lineRule="auto"/>
        <w:rPr>
          <w:rFonts w:ascii="Times New Roman" w:hAnsi="Times New Roman" w:cs="Times New Roman"/>
        </w:rPr>
      </w:pPr>
    </w:p>
    <w:p w:rsidR="00FA343C" w:rsidRPr="00F459E1" w:rsidP="000D6D8C" w14:paraId="70BB750E" w14:textId="4E43866C">
      <w:pPr>
        <w:pStyle w:val="ListParagraph"/>
        <w:keepNext/>
        <w:keepLines/>
        <w:numPr>
          <w:ilvl w:val="1"/>
          <w:numId w:val="16"/>
        </w:numPr>
        <w:spacing w:after="220" w:line="240" w:lineRule="auto"/>
        <w:rPr>
          <w:rFonts w:ascii="Times New Roman" w:hAnsi="Times New Roman" w:cs="Times New Roman"/>
        </w:rPr>
      </w:pPr>
      <w:r w:rsidRPr="00F459E1">
        <w:rPr>
          <w:rFonts w:ascii="Times New Roman" w:hAnsi="Times New Roman" w:cs="Times New Roman"/>
          <w:b/>
          <w:bCs/>
        </w:rPr>
        <w:t>Filing Window</w:t>
      </w:r>
    </w:p>
    <w:p w:rsidR="008E6174" w:rsidRPr="00F459E1" w:rsidP="008E6174" w14:paraId="0F88AD43" w14:textId="77777777">
      <w:pPr>
        <w:pStyle w:val="ListParagraph"/>
        <w:spacing w:after="220" w:line="240" w:lineRule="auto"/>
        <w:ind w:left="1440"/>
        <w:rPr>
          <w:rFonts w:ascii="Times New Roman" w:hAnsi="Times New Roman" w:cs="Times New Roman"/>
        </w:rPr>
      </w:pPr>
    </w:p>
    <w:p w:rsidR="005A69C8" w:rsidRPr="00F459E1" w:rsidP="00D370AB" w14:paraId="4BA908AF" w14:textId="3E07589A">
      <w:pPr>
        <w:pStyle w:val="ListParagraph"/>
        <w:numPr>
          <w:ilvl w:val="0"/>
          <w:numId w:val="16"/>
        </w:numPr>
        <w:spacing w:after="220" w:line="240" w:lineRule="auto"/>
        <w:rPr>
          <w:rFonts w:ascii="Times New Roman" w:hAnsi="Times New Roman" w:cs="Times New Roman"/>
        </w:rPr>
      </w:pPr>
      <w:r w:rsidRPr="00F459E1">
        <w:rPr>
          <w:rFonts w:ascii="Times New Roman" w:hAnsi="Times New Roman" w:cs="Times New Roman"/>
        </w:rPr>
        <w:t xml:space="preserve">The Wireline Competition Bureau </w:t>
      </w:r>
      <w:r w:rsidRPr="00F459E1" w:rsidR="00313686">
        <w:rPr>
          <w:rFonts w:ascii="Times New Roman" w:hAnsi="Times New Roman" w:cs="Times New Roman"/>
        </w:rPr>
        <w:t xml:space="preserve">(WCB) </w:t>
      </w:r>
      <w:r w:rsidRPr="00F459E1" w:rsidR="000E3AD2">
        <w:rPr>
          <w:rFonts w:ascii="Times New Roman" w:hAnsi="Times New Roman" w:cs="Times New Roman"/>
        </w:rPr>
        <w:t>announced that the filing window will open at 12:00</w:t>
      </w:r>
      <w:r w:rsidR="000D6D8C">
        <w:rPr>
          <w:rFonts w:ascii="Times New Roman" w:hAnsi="Times New Roman" w:cs="Times New Roman"/>
        </w:rPr>
        <w:t> </w:t>
      </w:r>
      <w:r w:rsidRPr="00F459E1" w:rsidR="000E3AD2">
        <w:rPr>
          <w:rFonts w:ascii="Times New Roman" w:hAnsi="Times New Roman" w:cs="Times New Roman"/>
        </w:rPr>
        <w:t>AM Eastern on October 29, 2021</w:t>
      </w:r>
      <w:r w:rsidR="000D6D8C">
        <w:rPr>
          <w:rFonts w:ascii="Times New Roman" w:hAnsi="Times New Roman" w:cs="Times New Roman"/>
        </w:rPr>
        <w:t>,</w:t>
      </w:r>
      <w:r w:rsidRPr="00F459E1" w:rsidR="000E3AD2">
        <w:rPr>
          <w:rFonts w:ascii="Times New Roman" w:hAnsi="Times New Roman" w:cs="Times New Roman"/>
        </w:rPr>
        <w:t xml:space="preserve"> and will close at 11:59 PM Eastern on January 14, 2022. </w:t>
      </w:r>
      <w:r w:rsidRPr="00F459E1">
        <w:rPr>
          <w:rFonts w:ascii="Times New Roman" w:hAnsi="Times New Roman" w:cs="Times New Roman"/>
        </w:rPr>
        <w:t xml:space="preserve"> </w:t>
      </w:r>
      <w:r w:rsidRPr="00F459E1" w:rsidR="005E1790">
        <w:rPr>
          <w:rFonts w:ascii="Times New Roman" w:hAnsi="Times New Roman" w:cs="Times New Roman"/>
        </w:rPr>
        <w:t>Additional filing windows may be announced as necessary</w:t>
      </w:r>
      <w:r w:rsidRPr="00F459E1" w:rsidR="000E3AD2">
        <w:rPr>
          <w:rFonts w:ascii="Times New Roman" w:hAnsi="Times New Roman" w:cs="Times New Roman"/>
        </w:rPr>
        <w:t xml:space="preserve"> if there is funding available.</w:t>
      </w:r>
    </w:p>
    <w:p w:rsidR="00EA42AE" w:rsidRPr="00F459E1" w:rsidP="000E3AD2" w14:paraId="274D6DEA" w14:textId="77777777">
      <w:pPr>
        <w:pStyle w:val="ListParagraph"/>
        <w:spacing w:after="220" w:line="240" w:lineRule="auto"/>
        <w:rPr>
          <w:rFonts w:ascii="Times New Roman" w:hAnsi="Times New Roman" w:cs="Times New Roman"/>
        </w:rPr>
      </w:pPr>
    </w:p>
    <w:p w:rsidR="005A69C8" w:rsidRPr="00F459E1" w:rsidP="00F5041F" w14:paraId="034E9F90" w14:textId="66CC6B62">
      <w:pPr>
        <w:pStyle w:val="ListParagraph"/>
        <w:keepNext/>
        <w:numPr>
          <w:ilvl w:val="0"/>
          <w:numId w:val="27"/>
        </w:numPr>
        <w:spacing w:after="220" w:line="240" w:lineRule="auto"/>
        <w:ind w:left="1350"/>
        <w:rPr>
          <w:rFonts w:ascii="Times New Roman" w:hAnsi="Times New Roman" w:cs="Times New Roman"/>
          <w:b/>
          <w:bCs/>
        </w:rPr>
      </w:pPr>
      <w:r w:rsidRPr="00F459E1">
        <w:rPr>
          <w:rFonts w:ascii="Times New Roman" w:hAnsi="Times New Roman" w:cs="Times New Roman"/>
          <w:b/>
          <w:bCs/>
        </w:rPr>
        <w:t xml:space="preserve">Application </w:t>
      </w:r>
    </w:p>
    <w:p w:rsidR="005A69C8" w:rsidRPr="000D6D8C" w:rsidP="005A69C8" w14:paraId="4B408F7A" w14:textId="77777777">
      <w:pPr>
        <w:pStyle w:val="ListParagraph"/>
        <w:spacing w:after="220" w:line="240" w:lineRule="auto"/>
        <w:ind w:left="1800"/>
        <w:rPr>
          <w:rFonts w:ascii="Times New Roman" w:hAnsi="Times New Roman" w:cs="Times New Roman"/>
        </w:rPr>
      </w:pPr>
    </w:p>
    <w:p w:rsidR="00A8553C" w:rsidRPr="00F459E1" w:rsidP="00877FF7" w14:paraId="3F4646F9" w14:textId="5AE71489">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bCs/>
        </w:rPr>
        <w:t>Providers of advanced communications service interested in participating in the Reimbursement Program must</w:t>
      </w:r>
      <w:r w:rsidRPr="00F459E1" w:rsidR="004D3D1B">
        <w:rPr>
          <w:rFonts w:ascii="Times New Roman" w:hAnsi="Times New Roman" w:cs="Times New Roman"/>
          <w:bCs/>
        </w:rPr>
        <w:t xml:space="preserve"> submit an </w:t>
      </w:r>
      <w:r w:rsidRPr="00F459E1" w:rsidR="008A4AA3">
        <w:rPr>
          <w:rFonts w:ascii="Times New Roman" w:hAnsi="Times New Roman" w:cs="Times New Roman"/>
          <w:bCs/>
        </w:rPr>
        <w:t xml:space="preserve">Application Request for Funding (FCC Form 5640) </w:t>
      </w:r>
      <w:r w:rsidRPr="00F459E1" w:rsidR="004D3D1B">
        <w:rPr>
          <w:rFonts w:ascii="Times New Roman" w:hAnsi="Times New Roman" w:cs="Times New Roman"/>
        </w:rPr>
        <w:t xml:space="preserve">detailing the covered equipment and services being replaced; information on the replacement equipment and services; and the estimated costs of replacement. </w:t>
      </w:r>
      <w:r w:rsidR="000D6D8C">
        <w:rPr>
          <w:rFonts w:ascii="Times New Roman" w:hAnsi="Times New Roman" w:cs="Times New Roman"/>
        </w:rPr>
        <w:t xml:space="preserve"> </w:t>
      </w:r>
      <w:r w:rsidRPr="00F459E1">
        <w:rPr>
          <w:rFonts w:ascii="Times New Roman" w:hAnsi="Times New Roman" w:cs="Times New Roman"/>
        </w:rPr>
        <w:t xml:space="preserve">The application is available at </w:t>
      </w:r>
      <w:hyperlink r:id="rId8" w:history="1">
        <w:r w:rsidRPr="00F459E1">
          <w:rPr>
            <w:rStyle w:val="Hyperlink"/>
            <w:rFonts w:ascii="Times New Roman" w:hAnsi="Times New Roman" w:cs="Times New Roman"/>
          </w:rPr>
          <w:t>https://www.fcc.gov/supplychain</w:t>
        </w:r>
      </w:hyperlink>
      <w:r w:rsidRPr="00F459E1">
        <w:rPr>
          <w:rFonts w:ascii="Times New Roman" w:hAnsi="Times New Roman" w:cs="Times New Roman"/>
        </w:rPr>
        <w:t>.</w:t>
      </w:r>
    </w:p>
    <w:p w:rsidR="004D3D1B" w:rsidRPr="00F459E1" w:rsidP="004D3D1B" w14:paraId="2B2B5D5D" w14:textId="2EBF8066">
      <w:pPr>
        <w:pStyle w:val="ListParagraph"/>
        <w:spacing w:after="220"/>
        <w:rPr>
          <w:rFonts w:ascii="Times New Roman" w:hAnsi="Times New Roman" w:cs="Times New Roman"/>
        </w:rPr>
      </w:pPr>
    </w:p>
    <w:p w:rsidR="000D707F" w:rsidRPr="00F459E1" w:rsidP="00F5041F" w14:paraId="03AD8B25" w14:textId="148F5CC8">
      <w:pPr>
        <w:pStyle w:val="ListParagraph"/>
        <w:numPr>
          <w:ilvl w:val="0"/>
          <w:numId w:val="27"/>
        </w:numPr>
        <w:spacing w:after="220"/>
        <w:ind w:left="1350"/>
        <w:rPr>
          <w:rFonts w:ascii="Times New Roman" w:hAnsi="Times New Roman" w:cs="Times New Roman"/>
          <w:b/>
          <w:bCs/>
        </w:rPr>
      </w:pPr>
      <w:r w:rsidRPr="00F459E1">
        <w:rPr>
          <w:rFonts w:ascii="Times New Roman" w:hAnsi="Times New Roman" w:cs="Times New Roman"/>
          <w:b/>
          <w:bCs/>
        </w:rPr>
        <w:t>Application Review Process</w:t>
      </w:r>
    </w:p>
    <w:p w:rsidR="00313686" w:rsidRPr="000D6D8C" w:rsidP="00313686" w14:paraId="1F17188D" w14:textId="77777777">
      <w:pPr>
        <w:pStyle w:val="ListParagraph"/>
        <w:spacing w:after="220"/>
        <w:ind w:left="1800"/>
        <w:rPr>
          <w:rFonts w:ascii="Times New Roman" w:hAnsi="Times New Roman" w:cs="Times New Roman"/>
        </w:rPr>
      </w:pPr>
    </w:p>
    <w:p w:rsidR="00313686" w:rsidRPr="00F459E1" w:rsidP="004D3D1B" w14:paraId="30E27910" w14:textId="42659FEE">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After the filing window closes, the Supply Chain Reimbursement Program Administrator (Program Administrator) and </w:t>
      </w:r>
      <w:r w:rsidRPr="00F459E1" w:rsidR="008A4AA3">
        <w:rPr>
          <w:rFonts w:ascii="Times New Roman" w:hAnsi="Times New Roman" w:cs="Times New Roman"/>
        </w:rPr>
        <w:t>WCB</w:t>
      </w:r>
      <w:r w:rsidRPr="00F459E1">
        <w:rPr>
          <w:rFonts w:ascii="Times New Roman" w:hAnsi="Times New Roman" w:cs="Times New Roman"/>
        </w:rPr>
        <w:t xml:space="preserve"> will review the applications. During the review process applicants will have 15 days to </w:t>
      </w:r>
      <w:r w:rsidRPr="00F459E1" w:rsidR="004D3D1B">
        <w:rPr>
          <w:rFonts w:ascii="Times New Roman" w:hAnsi="Times New Roman" w:cs="Times New Roman"/>
        </w:rPr>
        <w:t>cure deficiencies</w:t>
      </w:r>
      <w:r w:rsidRPr="00F459E1">
        <w:rPr>
          <w:rFonts w:ascii="Times New Roman" w:hAnsi="Times New Roman" w:cs="Times New Roman"/>
        </w:rPr>
        <w:t xml:space="preserve"> identified by the Program Administrator </w:t>
      </w:r>
      <w:r w:rsidRPr="00F459E1" w:rsidR="004D3D1B">
        <w:rPr>
          <w:rFonts w:ascii="Times New Roman" w:hAnsi="Times New Roman" w:cs="Times New Roman"/>
        </w:rPr>
        <w:t>in their application</w:t>
      </w:r>
      <w:r w:rsidRPr="00F459E1" w:rsidR="004D3D1B">
        <w:rPr>
          <w:rFonts w:ascii="Times New Roman" w:hAnsi="Times New Roman" w:cs="Times New Roman"/>
          <w:b/>
          <w:bCs/>
        </w:rPr>
        <w:t xml:space="preserve"> </w:t>
      </w:r>
      <w:r w:rsidRPr="00F459E1">
        <w:rPr>
          <w:rFonts w:ascii="Times New Roman" w:hAnsi="Times New Roman" w:cs="Times New Roman"/>
        </w:rPr>
        <w:t>b</w:t>
      </w:r>
      <w:r w:rsidRPr="00F459E1" w:rsidR="004D3D1B">
        <w:rPr>
          <w:rFonts w:ascii="Times New Roman" w:hAnsi="Times New Roman" w:cs="Times New Roman"/>
        </w:rPr>
        <w:t>efore an application</w:t>
      </w:r>
      <w:r w:rsidRPr="00F459E1">
        <w:rPr>
          <w:rFonts w:ascii="Times New Roman" w:hAnsi="Times New Roman" w:cs="Times New Roman"/>
        </w:rPr>
        <w:t xml:space="preserve"> is denied as deficient.</w:t>
      </w:r>
    </w:p>
    <w:p w:rsidR="000E3AD2" w:rsidRPr="00F459E1" w:rsidP="004D3D1B" w14:paraId="419023B0" w14:textId="4FB54F77">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This review period is for 90 days, with </w:t>
      </w:r>
      <w:r w:rsidRPr="00F459E1" w:rsidR="008A4AA3">
        <w:rPr>
          <w:rFonts w:ascii="Times New Roman" w:hAnsi="Times New Roman" w:cs="Times New Roman"/>
        </w:rPr>
        <w:t>WCB</w:t>
      </w:r>
      <w:r w:rsidRPr="00F459E1">
        <w:rPr>
          <w:rFonts w:ascii="Times New Roman" w:hAnsi="Times New Roman" w:cs="Times New Roman"/>
        </w:rPr>
        <w:t xml:space="preserve"> able to extend the period by an additional 45 days, if necessary.</w:t>
      </w:r>
    </w:p>
    <w:p w:rsidR="006A679F" w:rsidRPr="00F459E1" w:rsidP="00C40612" w14:paraId="75FBB2C7" w14:textId="0520C057">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An applicant </w:t>
      </w:r>
      <w:r w:rsidRPr="00F459E1" w:rsidR="000E3AD2">
        <w:rPr>
          <w:rFonts w:ascii="Times New Roman" w:hAnsi="Times New Roman" w:cs="Times New Roman"/>
        </w:rPr>
        <w:t xml:space="preserve">whose application is denied may not participate in the Reimbursement Program unless an additional filing window is opened. </w:t>
      </w:r>
    </w:p>
    <w:p w:rsidR="00C40612" w:rsidP="00C40612" w14:paraId="3F74404D" w14:textId="11CB1CCC">
      <w:pPr>
        <w:pStyle w:val="ListParagraph"/>
        <w:spacing w:after="220" w:line="240" w:lineRule="auto"/>
        <w:rPr>
          <w:rFonts w:ascii="Times New Roman" w:hAnsi="Times New Roman" w:cs="Times New Roman"/>
        </w:rPr>
      </w:pPr>
    </w:p>
    <w:p w:rsidR="00F5041F" w:rsidP="00C40612" w14:paraId="381C80DF" w14:textId="3888BEC8">
      <w:pPr>
        <w:pStyle w:val="ListParagraph"/>
        <w:spacing w:after="220" w:line="240" w:lineRule="auto"/>
        <w:rPr>
          <w:rFonts w:ascii="Times New Roman" w:hAnsi="Times New Roman" w:cs="Times New Roman"/>
        </w:rPr>
      </w:pPr>
    </w:p>
    <w:p w:rsidR="00F5041F" w:rsidRPr="00F459E1" w:rsidP="00C40612" w14:paraId="710BDB57" w14:textId="77777777">
      <w:pPr>
        <w:pStyle w:val="ListParagraph"/>
        <w:spacing w:after="220" w:line="240" w:lineRule="auto"/>
        <w:rPr>
          <w:rFonts w:ascii="Times New Roman" w:hAnsi="Times New Roman" w:cs="Times New Roman"/>
        </w:rPr>
      </w:pPr>
    </w:p>
    <w:p w:rsidR="00C40612" w:rsidRPr="00F459E1" w:rsidP="00F5041F" w14:paraId="192DCB1E" w14:textId="6509AB8E">
      <w:pPr>
        <w:pStyle w:val="ListParagraph"/>
        <w:keepNext/>
        <w:numPr>
          <w:ilvl w:val="0"/>
          <w:numId w:val="27"/>
        </w:numPr>
        <w:spacing w:after="220" w:line="240" w:lineRule="auto"/>
        <w:ind w:left="1354"/>
        <w:rPr>
          <w:rFonts w:ascii="Times New Roman" w:hAnsi="Times New Roman" w:cs="Times New Roman"/>
          <w:b/>
          <w:bCs/>
        </w:rPr>
      </w:pPr>
      <w:r w:rsidRPr="00F459E1">
        <w:rPr>
          <w:rFonts w:ascii="Times New Roman" w:hAnsi="Times New Roman" w:cs="Times New Roman"/>
          <w:b/>
          <w:bCs/>
        </w:rPr>
        <w:t xml:space="preserve">Funding Allocation </w:t>
      </w:r>
    </w:p>
    <w:p w:rsidR="003941C5" w:rsidRPr="000D6D8C" w:rsidP="003941C5" w14:paraId="3F075003" w14:textId="77777777">
      <w:pPr>
        <w:pStyle w:val="ListParagraph"/>
        <w:spacing w:after="220" w:line="240" w:lineRule="auto"/>
        <w:ind w:left="1800"/>
        <w:rPr>
          <w:rFonts w:ascii="Times New Roman" w:hAnsi="Times New Roman" w:cs="Times New Roman"/>
        </w:rPr>
      </w:pPr>
    </w:p>
    <w:p w:rsidR="00A4390A" w:rsidRPr="00F459E1" w:rsidP="00583F3E" w14:paraId="377AED43" w14:textId="5041BED1">
      <w:pPr>
        <w:pStyle w:val="ListParagraph"/>
        <w:numPr>
          <w:ilvl w:val="0"/>
          <w:numId w:val="28"/>
        </w:numPr>
        <w:spacing w:after="220" w:line="240" w:lineRule="auto"/>
        <w:rPr>
          <w:rFonts w:ascii="Times New Roman" w:hAnsi="Times New Roman" w:cs="Times New Roman"/>
          <w:b/>
          <w:bCs/>
        </w:rPr>
      </w:pPr>
      <w:r w:rsidRPr="00F459E1">
        <w:rPr>
          <w:rFonts w:ascii="Times New Roman" w:hAnsi="Times New Roman" w:cs="Times New Roman"/>
        </w:rPr>
        <w:t xml:space="preserve">Once an application is approved, </w:t>
      </w:r>
      <w:r w:rsidRPr="00F459E1" w:rsidR="006A679F">
        <w:rPr>
          <w:rFonts w:ascii="Times New Roman" w:hAnsi="Times New Roman" w:cs="Times New Roman"/>
        </w:rPr>
        <w:t xml:space="preserve">WCB will </w:t>
      </w:r>
      <w:r w:rsidRPr="00F459E1" w:rsidR="000E3AD2">
        <w:rPr>
          <w:rFonts w:ascii="Times New Roman" w:hAnsi="Times New Roman" w:cs="Times New Roman"/>
        </w:rPr>
        <w:t>announce each applicant’s funding allocation of the initial $1.9 billion appropriation.  This will be announced via a Public Notice and through an email to the contact person on the application.</w:t>
      </w:r>
    </w:p>
    <w:p w:rsidR="000E3AD2" w:rsidRPr="000D6D8C" w:rsidP="000E3AD2" w14:paraId="336FEE52" w14:textId="77777777">
      <w:pPr>
        <w:pStyle w:val="ListParagraph"/>
        <w:spacing w:after="220" w:line="240" w:lineRule="auto"/>
        <w:rPr>
          <w:rFonts w:ascii="Times New Roman" w:hAnsi="Times New Roman" w:cs="Times New Roman"/>
        </w:rPr>
      </w:pPr>
    </w:p>
    <w:p w:rsidR="00A4390A" w:rsidRPr="00F459E1" w:rsidP="00F5041F" w14:paraId="4BAAE5DD" w14:textId="62FFD90F">
      <w:pPr>
        <w:pStyle w:val="ListParagraph"/>
        <w:numPr>
          <w:ilvl w:val="0"/>
          <w:numId w:val="27"/>
        </w:numPr>
        <w:spacing w:after="220" w:line="240" w:lineRule="auto"/>
        <w:ind w:left="1440"/>
        <w:rPr>
          <w:rFonts w:ascii="Times New Roman" w:hAnsi="Times New Roman" w:cs="Times New Roman"/>
          <w:b/>
          <w:bCs/>
        </w:rPr>
      </w:pPr>
      <w:r w:rsidRPr="00F459E1">
        <w:rPr>
          <w:rFonts w:ascii="Times New Roman" w:hAnsi="Times New Roman" w:cs="Times New Roman"/>
          <w:b/>
          <w:bCs/>
        </w:rPr>
        <w:t xml:space="preserve">Priority Allocation </w:t>
      </w:r>
    </w:p>
    <w:p w:rsidR="00575ABE" w:rsidRPr="000D6D8C" w:rsidP="00575ABE" w14:paraId="0C36FCE7" w14:textId="77777777">
      <w:pPr>
        <w:pStyle w:val="ListParagraph"/>
        <w:spacing w:after="220" w:line="240" w:lineRule="auto"/>
        <w:ind w:left="1800"/>
        <w:rPr>
          <w:rFonts w:ascii="Times New Roman" w:hAnsi="Times New Roman" w:cs="Times New Roman"/>
        </w:rPr>
      </w:pPr>
    </w:p>
    <w:p w:rsidR="00E72105" w:rsidRPr="00F459E1" w:rsidP="00E75CFF" w14:paraId="672DA09B" w14:textId="46CD43A9">
      <w:pPr>
        <w:pStyle w:val="ListParagraph"/>
        <w:numPr>
          <w:ilvl w:val="0"/>
          <w:numId w:val="28"/>
        </w:numPr>
        <w:spacing w:after="220" w:line="240" w:lineRule="auto"/>
        <w:rPr>
          <w:rFonts w:ascii="Times New Roman" w:hAnsi="Times New Roman" w:cs="Times New Roman"/>
        </w:rPr>
      </w:pPr>
      <w:r w:rsidRPr="00F459E1">
        <w:rPr>
          <w:rFonts w:ascii="Times New Roman" w:hAnsi="Times New Roman" w:cs="Times New Roman"/>
        </w:rPr>
        <w:t xml:space="preserve">If the total demand </w:t>
      </w:r>
      <w:r w:rsidRPr="00F459E1" w:rsidR="00E75CFF">
        <w:rPr>
          <w:rFonts w:ascii="Times New Roman" w:hAnsi="Times New Roman" w:cs="Times New Roman"/>
        </w:rPr>
        <w:t xml:space="preserve">submitted by all eligible applicants </w:t>
      </w:r>
      <w:r w:rsidRPr="00F459E1">
        <w:rPr>
          <w:rFonts w:ascii="Times New Roman" w:hAnsi="Times New Roman" w:cs="Times New Roman"/>
        </w:rPr>
        <w:t>exceeds the total funds available</w:t>
      </w:r>
      <w:r w:rsidRPr="00F459E1" w:rsidR="00E75CFF">
        <w:rPr>
          <w:rFonts w:ascii="Times New Roman" w:hAnsi="Times New Roman" w:cs="Times New Roman"/>
        </w:rPr>
        <w:t>, then WCB must issue funding based on the following prioritization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tblGrid>
      <w:tr w14:paraId="6CF65ACE" w14:textId="77777777" w:rsidTr="008E24B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3"/>
          <w:jc w:val="center"/>
        </w:trPr>
        <w:tc>
          <w:tcPr>
            <w:tcW w:w="3055" w:type="dxa"/>
            <w:tcBorders>
              <w:top w:val="double" w:sz="4" w:space="0" w:color="auto"/>
            </w:tcBorders>
            <w:shd w:val="clear" w:color="auto" w:fill="auto"/>
          </w:tcPr>
          <w:p w:rsidR="00DC2379" w:rsidRPr="00F459E1" w:rsidP="008E24B2" w14:paraId="14FDF03F" w14:textId="77777777">
            <w:pPr>
              <w:spacing w:after="120"/>
              <w:rPr>
                <w:rFonts w:ascii="Times New Roman" w:eastAsia="Calibri" w:hAnsi="Times New Roman" w:cs="Times New Roman"/>
                <w:b/>
                <w:bCs/>
              </w:rPr>
            </w:pPr>
            <w:r w:rsidRPr="00F459E1">
              <w:rPr>
                <w:rFonts w:ascii="Times New Roman" w:eastAsia="Calibri" w:hAnsi="Times New Roman" w:cs="Times New Roman"/>
                <w:b/>
                <w:bCs/>
              </w:rPr>
              <w:t>Prioritization Schedule</w:t>
            </w:r>
          </w:p>
        </w:tc>
      </w:tr>
      <w:tr w14:paraId="692F7ADA" w14:textId="77777777" w:rsidTr="008E24B2">
        <w:tblPrEx>
          <w:tblW w:w="0" w:type="auto"/>
          <w:jc w:val="center"/>
          <w:tblLook w:val="04A0"/>
        </w:tblPrEx>
        <w:trPr>
          <w:trHeight w:val="410"/>
          <w:jc w:val="center"/>
        </w:trPr>
        <w:tc>
          <w:tcPr>
            <w:tcW w:w="3055" w:type="dxa"/>
            <w:vMerge w:val="restart"/>
            <w:tcBorders>
              <w:top w:val="double" w:sz="4" w:space="0" w:color="auto"/>
            </w:tcBorders>
            <w:shd w:val="clear" w:color="auto" w:fill="auto"/>
          </w:tcPr>
          <w:p w:rsidR="00DC2379" w:rsidRPr="000D6D8C" w:rsidP="008E24B2" w14:paraId="42067A56" w14:textId="58CF2E9D">
            <w:pPr>
              <w:spacing w:after="120"/>
              <w:rPr>
                <w:rFonts w:ascii="Times New Roman" w:eastAsia="Calibri" w:hAnsi="Times New Roman" w:cs="Times New Roman"/>
              </w:rPr>
            </w:pPr>
            <w:r w:rsidRPr="00F459E1">
              <w:rPr>
                <w:rFonts w:ascii="Times New Roman" w:eastAsia="Calibri" w:hAnsi="Times New Roman" w:cs="Times New Roman"/>
                <w:b/>
                <w:bCs/>
              </w:rPr>
              <w:t>Priority 1</w:t>
            </w:r>
          </w:p>
          <w:p w:rsidR="00DC2379" w:rsidRPr="00F459E1" w:rsidP="008E24B2" w14:paraId="0D90057E" w14:textId="77777777">
            <w:pPr>
              <w:spacing w:after="120"/>
              <w:rPr>
                <w:rFonts w:ascii="Times New Roman" w:eastAsia="Calibri" w:hAnsi="Times New Roman" w:cs="Times New Roman"/>
              </w:rPr>
            </w:pPr>
            <w:r w:rsidRPr="00F459E1">
              <w:rPr>
                <w:rFonts w:ascii="Times New Roman" w:eastAsia="Calibri" w:hAnsi="Times New Roman" w:cs="Times New Roman"/>
              </w:rPr>
              <w:t>Advanced communication service providers with 2 million or fewer customers.</w:t>
            </w:r>
          </w:p>
        </w:tc>
      </w:tr>
      <w:tr w14:paraId="69ECD50E" w14:textId="77777777" w:rsidTr="008E24B2">
        <w:tblPrEx>
          <w:tblW w:w="0" w:type="auto"/>
          <w:jc w:val="center"/>
          <w:tblLook w:val="04A0"/>
        </w:tblPrEx>
        <w:trPr>
          <w:trHeight w:val="410"/>
          <w:jc w:val="center"/>
        </w:trPr>
        <w:tc>
          <w:tcPr>
            <w:tcW w:w="3055" w:type="dxa"/>
            <w:vMerge/>
            <w:shd w:val="clear" w:color="auto" w:fill="auto"/>
          </w:tcPr>
          <w:p w:rsidR="00DC2379" w:rsidRPr="00F459E1" w:rsidP="008E24B2" w14:paraId="5D88F35B" w14:textId="77777777">
            <w:pPr>
              <w:spacing w:after="120"/>
              <w:rPr>
                <w:rFonts w:ascii="Times New Roman" w:eastAsia="Calibri" w:hAnsi="Times New Roman" w:cs="Times New Roman"/>
              </w:rPr>
            </w:pPr>
          </w:p>
        </w:tc>
      </w:tr>
      <w:tr w14:paraId="12AE7D87" w14:textId="77777777" w:rsidTr="008E24B2">
        <w:tblPrEx>
          <w:tblW w:w="0" w:type="auto"/>
          <w:jc w:val="center"/>
          <w:tblLook w:val="04A0"/>
        </w:tblPrEx>
        <w:trPr>
          <w:trHeight w:val="410"/>
          <w:jc w:val="center"/>
        </w:trPr>
        <w:tc>
          <w:tcPr>
            <w:tcW w:w="3055" w:type="dxa"/>
            <w:vMerge w:val="restart"/>
            <w:shd w:val="clear" w:color="auto" w:fill="auto"/>
          </w:tcPr>
          <w:p w:rsidR="00DC2379" w:rsidRPr="000D6D8C" w:rsidP="008E24B2" w14:paraId="3DB6629D" w14:textId="77777777">
            <w:pPr>
              <w:spacing w:after="120"/>
              <w:rPr>
                <w:rFonts w:ascii="Times New Roman" w:eastAsia="Calibri" w:hAnsi="Times New Roman" w:cs="Times New Roman"/>
              </w:rPr>
            </w:pPr>
            <w:r w:rsidRPr="00F459E1">
              <w:rPr>
                <w:rFonts w:ascii="Times New Roman" w:eastAsia="Calibri" w:hAnsi="Times New Roman" w:cs="Times New Roman"/>
                <w:b/>
                <w:bCs/>
              </w:rPr>
              <w:t>Priority 2</w:t>
            </w:r>
          </w:p>
          <w:p w:rsidR="00DC2379" w:rsidRPr="00F459E1" w:rsidP="008E24B2" w14:paraId="18F1E36D" w14:textId="77777777">
            <w:pPr>
              <w:spacing w:after="120"/>
              <w:rPr>
                <w:rFonts w:ascii="Times New Roman" w:eastAsia="Calibri" w:hAnsi="Times New Roman" w:cs="Times New Roman"/>
                <w:b/>
                <w:bCs/>
                <w:strike/>
              </w:rPr>
            </w:pPr>
            <w:r w:rsidRPr="00F459E1">
              <w:rPr>
                <w:rFonts w:ascii="Times New Roman" w:eastAsia="Calibri" w:hAnsi="Times New Roman" w:cs="Times New Roman"/>
              </w:rPr>
              <w:t xml:space="preserve">Advanced communications service providers </w:t>
            </w:r>
            <w:r w:rsidRPr="00F459E1">
              <w:rPr>
                <w:rFonts w:ascii="Times New Roman" w:hAnsi="Times New Roman" w:cs="Times New Roman"/>
              </w:rPr>
              <w:t xml:space="preserve">that are accredited public or private non-commercial educational institutions providing their own facilities-based educational broadband service, as defined in Part 27, Subpart M of title 47, Code of Federal Regulations, or any successor regulation and </w:t>
            </w:r>
            <w:r w:rsidRPr="00F459E1">
              <w:rPr>
                <w:rFonts w:ascii="Times New Roman" w:eastAsia="TimesNewRoman" w:hAnsi="Times New Roman" w:cs="Times New Roman"/>
                <w:bCs/>
              </w:rPr>
              <w:t>health care providers and libraries providing advanced communications service.</w:t>
            </w:r>
          </w:p>
        </w:tc>
      </w:tr>
      <w:tr w14:paraId="1D381283" w14:textId="77777777" w:rsidTr="008E24B2">
        <w:tblPrEx>
          <w:tblW w:w="0" w:type="auto"/>
          <w:jc w:val="center"/>
          <w:tblLook w:val="04A0"/>
        </w:tblPrEx>
        <w:trPr>
          <w:trHeight w:val="410"/>
          <w:jc w:val="center"/>
        </w:trPr>
        <w:tc>
          <w:tcPr>
            <w:tcW w:w="3055" w:type="dxa"/>
            <w:vMerge/>
            <w:shd w:val="clear" w:color="auto" w:fill="auto"/>
          </w:tcPr>
          <w:p w:rsidR="00DC2379" w:rsidRPr="00F459E1" w:rsidP="008E24B2" w14:paraId="4B126EF9" w14:textId="77777777">
            <w:pPr>
              <w:spacing w:after="120"/>
              <w:rPr>
                <w:rFonts w:ascii="Times New Roman" w:eastAsia="Calibri" w:hAnsi="Times New Roman" w:cs="Times New Roman"/>
                <w:b/>
                <w:bCs/>
              </w:rPr>
            </w:pPr>
          </w:p>
        </w:tc>
      </w:tr>
      <w:tr w14:paraId="114B97C7" w14:textId="77777777" w:rsidTr="008E24B2">
        <w:tblPrEx>
          <w:tblW w:w="0" w:type="auto"/>
          <w:jc w:val="center"/>
          <w:tblLook w:val="04A0"/>
        </w:tblPrEx>
        <w:trPr>
          <w:trHeight w:val="410"/>
          <w:jc w:val="center"/>
        </w:trPr>
        <w:tc>
          <w:tcPr>
            <w:tcW w:w="3055" w:type="dxa"/>
            <w:vMerge w:val="restart"/>
            <w:shd w:val="clear" w:color="auto" w:fill="auto"/>
          </w:tcPr>
          <w:p w:rsidR="00DC2379" w:rsidRPr="000D6D8C" w:rsidP="008E24B2" w14:paraId="0B2AED15" w14:textId="77777777">
            <w:pPr>
              <w:spacing w:after="120"/>
              <w:rPr>
                <w:rFonts w:ascii="Times New Roman" w:eastAsia="Calibri" w:hAnsi="Times New Roman" w:cs="Times New Roman"/>
              </w:rPr>
            </w:pPr>
            <w:r w:rsidRPr="00F459E1">
              <w:rPr>
                <w:rFonts w:ascii="Times New Roman" w:eastAsia="Calibri" w:hAnsi="Times New Roman" w:cs="Times New Roman"/>
                <w:b/>
                <w:bCs/>
              </w:rPr>
              <w:t>Priority 3</w:t>
            </w:r>
          </w:p>
          <w:p w:rsidR="00DC2379" w:rsidRPr="00F459E1" w:rsidP="008E24B2" w14:paraId="08D5E8AB" w14:textId="77777777">
            <w:pPr>
              <w:spacing w:after="120"/>
              <w:rPr>
                <w:rFonts w:ascii="Times New Roman" w:eastAsia="Calibri" w:hAnsi="Times New Roman" w:cs="Times New Roman"/>
              </w:rPr>
            </w:pPr>
            <w:r w:rsidRPr="00F459E1">
              <w:rPr>
                <w:rFonts w:ascii="Times New Roman" w:eastAsia="Calibri" w:hAnsi="Times New Roman" w:cs="Times New Roman"/>
              </w:rPr>
              <w:t>A</w:t>
            </w:r>
            <w:r w:rsidRPr="00F459E1">
              <w:rPr>
                <w:rFonts w:ascii="Times New Roman" w:hAnsi="Times New Roman" w:cs="Times New Roman"/>
              </w:rPr>
              <w:t>ny remaining approved applicants determined to be eligible for reimbursement under the Program.</w:t>
            </w:r>
          </w:p>
        </w:tc>
      </w:tr>
      <w:tr w14:paraId="58319494" w14:textId="77777777" w:rsidTr="008E24B2">
        <w:tblPrEx>
          <w:tblW w:w="0" w:type="auto"/>
          <w:jc w:val="center"/>
          <w:tblLook w:val="04A0"/>
        </w:tblPrEx>
        <w:trPr>
          <w:trHeight w:val="410"/>
          <w:jc w:val="center"/>
        </w:trPr>
        <w:tc>
          <w:tcPr>
            <w:tcW w:w="3055" w:type="dxa"/>
            <w:vMerge/>
            <w:tcBorders>
              <w:bottom w:val="single" w:sz="4" w:space="0" w:color="auto"/>
            </w:tcBorders>
            <w:shd w:val="clear" w:color="auto" w:fill="auto"/>
          </w:tcPr>
          <w:p w:rsidR="00DC2379" w:rsidRPr="00F459E1" w:rsidP="008E24B2" w14:paraId="1C0A74DA" w14:textId="77777777">
            <w:pPr>
              <w:spacing w:after="120"/>
              <w:rPr>
                <w:rFonts w:ascii="Times New Roman" w:eastAsia="Calibri" w:hAnsi="Times New Roman" w:cs="Times New Roman"/>
              </w:rPr>
            </w:pPr>
          </w:p>
        </w:tc>
      </w:tr>
    </w:tbl>
    <w:p w:rsidR="00697C01" w:rsidRPr="00697C01" w:rsidP="00697C01" w14:paraId="49B6C7BC" w14:textId="77777777">
      <w:pPr>
        <w:spacing w:after="0" w:line="240" w:lineRule="auto"/>
        <w:ind w:left="360"/>
        <w:rPr>
          <w:rFonts w:ascii="Times New Roman" w:hAnsi="Times New Roman" w:cs="Times New Roman"/>
        </w:rPr>
      </w:pPr>
    </w:p>
    <w:p w:rsidR="00BF2971" w:rsidRPr="00F5041F" w:rsidP="00F5041F" w14:paraId="0BCCBB20" w14:textId="05DEA6EF">
      <w:pPr>
        <w:pStyle w:val="ListParagraph"/>
        <w:numPr>
          <w:ilvl w:val="0"/>
          <w:numId w:val="28"/>
        </w:numPr>
        <w:spacing w:after="220" w:line="240" w:lineRule="auto"/>
        <w:rPr>
          <w:rFonts w:ascii="Times New Roman" w:hAnsi="Times New Roman" w:cs="Times New Roman"/>
          <w:b/>
          <w:bCs/>
        </w:rPr>
      </w:pPr>
      <w:r w:rsidRPr="00F5041F">
        <w:rPr>
          <w:rFonts w:ascii="Times New Roman" w:hAnsi="Times New Roman" w:cs="Times New Roman"/>
        </w:rPr>
        <w:t xml:space="preserve">WCB must continue to review all funding requests and issue funding based on the prioritization category until there are no funds remaining. </w:t>
      </w:r>
    </w:p>
    <w:p w:rsidR="004943B6" w:rsidRPr="00F459E1" w:rsidP="00BF2971" w14:paraId="77715CCA" w14:textId="004C755B">
      <w:pPr>
        <w:pStyle w:val="ListParagraph"/>
        <w:numPr>
          <w:ilvl w:val="0"/>
          <w:numId w:val="28"/>
        </w:numPr>
        <w:spacing w:after="220" w:line="240" w:lineRule="auto"/>
        <w:rPr>
          <w:rFonts w:ascii="Times New Roman" w:hAnsi="Times New Roman" w:cs="Times New Roman"/>
          <w:b/>
          <w:bCs/>
        </w:rPr>
      </w:pPr>
      <w:r w:rsidRPr="00F459E1">
        <w:rPr>
          <w:rFonts w:ascii="Times New Roman" w:hAnsi="Times New Roman" w:cs="Times New Roman"/>
        </w:rPr>
        <w:t>If there is not enough money to fund within one prioritization category</w:t>
      </w:r>
      <w:r w:rsidRPr="00F459E1" w:rsidR="002742B0">
        <w:rPr>
          <w:rFonts w:ascii="Times New Roman" w:hAnsi="Times New Roman" w:cs="Times New Roman"/>
        </w:rPr>
        <w:t xml:space="preserve">, then </w:t>
      </w:r>
      <w:r w:rsidRPr="00F459E1" w:rsidR="0037142F">
        <w:rPr>
          <w:rFonts w:ascii="Times New Roman" w:hAnsi="Times New Roman" w:cs="Times New Roman"/>
        </w:rPr>
        <w:t xml:space="preserve">WCB will pro-rate among all eligible providers in that category. </w:t>
      </w:r>
    </w:p>
    <w:p w:rsidR="0037142F" w:rsidRPr="000D6D8C" w:rsidP="00670E45" w14:paraId="103ED24B" w14:textId="22EFF3EA">
      <w:pPr>
        <w:pStyle w:val="ListParagraph"/>
        <w:numPr>
          <w:ilvl w:val="1"/>
          <w:numId w:val="28"/>
        </w:numPr>
        <w:spacing w:after="220" w:line="240" w:lineRule="auto"/>
        <w:rPr>
          <w:rFonts w:ascii="Times New Roman" w:hAnsi="Times New Roman" w:cs="Times New Roman"/>
        </w:rPr>
      </w:pPr>
      <w:r w:rsidRPr="00F459E1">
        <w:rPr>
          <w:rFonts w:ascii="Times New Roman" w:hAnsi="Times New Roman" w:cs="Times New Roman"/>
        </w:rPr>
        <w:t xml:space="preserve">Pro-rata will consist of the following: </w:t>
      </w:r>
    </w:p>
    <w:p w:rsidR="00670E45" w:rsidRPr="000D6D8C" w:rsidP="00670E45" w14:paraId="6A6D2CC0" w14:textId="64F835CB">
      <w:pPr>
        <w:pStyle w:val="ListParagraph"/>
        <w:numPr>
          <w:ilvl w:val="2"/>
          <w:numId w:val="28"/>
        </w:numPr>
        <w:spacing w:after="220" w:line="240" w:lineRule="auto"/>
        <w:rPr>
          <w:rFonts w:ascii="Times New Roman" w:hAnsi="Times New Roman" w:cs="Times New Roman"/>
        </w:rPr>
      </w:pPr>
      <w:r w:rsidRPr="00F459E1">
        <w:rPr>
          <w:rFonts w:ascii="Times New Roman" w:hAnsi="Times New Roman" w:cs="Times New Roman"/>
        </w:rPr>
        <w:t>Divide the total remaining funds available by the demand within that specific category</w:t>
      </w:r>
      <w:r w:rsidRPr="00F459E1" w:rsidR="005F62F5">
        <w:rPr>
          <w:rFonts w:ascii="Times New Roman" w:hAnsi="Times New Roman" w:cs="Times New Roman"/>
        </w:rPr>
        <w:t xml:space="preserve">: </w:t>
      </w:r>
    </w:p>
    <w:p w:rsidR="005F62F5" w:rsidRPr="000D6D8C" w:rsidP="00670E45" w14:paraId="21348FBB" w14:textId="52A55600">
      <w:pPr>
        <w:pStyle w:val="ListParagraph"/>
        <w:numPr>
          <w:ilvl w:val="2"/>
          <w:numId w:val="28"/>
        </w:numPr>
        <w:spacing w:after="220" w:line="240" w:lineRule="auto"/>
        <w:rPr>
          <w:rFonts w:ascii="Times New Roman" w:hAnsi="Times New Roman" w:cs="Times New Roman"/>
        </w:rPr>
      </w:pPr>
      <w:r w:rsidRPr="00F459E1">
        <w:rPr>
          <w:rFonts w:ascii="Times New Roman" w:hAnsi="Times New Roman" w:cs="Times New Roman"/>
        </w:rPr>
        <w:t>Then, multipl</w:t>
      </w:r>
      <w:r w:rsidRPr="00F459E1" w:rsidR="00C81B2C">
        <w:rPr>
          <w:rFonts w:ascii="Times New Roman" w:hAnsi="Times New Roman" w:cs="Times New Roman"/>
        </w:rPr>
        <w:t>y</w:t>
      </w:r>
      <w:r w:rsidRPr="00F459E1">
        <w:rPr>
          <w:rFonts w:ascii="Times New Roman" w:hAnsi="Times New Roman" w:cs="Times New Roman"/>
        </w:rPr>
        <w:t xml:space="preserve"> the above number by the total dollar amount requested by each recipient in the category; and </w:t>
      </w:r>
    </w:p>
    <w:p w:rsidR="00611E74" w:rsidRPr="000D6D8C" w:rsidP="00611E74" w14:paraId="767DEC9D" w14:textId="7E410ED7">
      <w:pPr>
        <w:pStyle w:val="ListParagraph"/>
        <w:numPr>
          <w:ilvl w:val="2"/>
          <w:numId w:val="28"/>
        </w:numPr>
        <w:spacing w:after="220" w:line="240" w:lineRule="auto"/>
        <w:rPr>
          <w:rFonts w:ascii="Times New Roman" w:hAnsi="Times New Roman" w:cs="Times New Roman"/>
        </w:rPr>
      </w:pPr>
      <w:r w:rsidRPr="00F459E1">
        <w:rPr>
          <w:rFonts w:ascii="Times New Roman" w:hAnsi="Times New Roman" w:cs="Times New Roman"/>
        </w:rPr>
        <w:t xml:space="preserve">Allocate funds to each recipient consistent with this above number. </w:t>
      </w:r>
    </w:p>
    <w:p w:rsidR="00611E74" w:rsidRPr="00F459E1" w:rsidP="00F5041F" w14:paraId="57C8C38D" w14:textId="7DC74F35">
      <w:pPr>
        <w:pStyle w:val="ListParagraph"/>
        <w:numPr>
          <w:ilvl w:val="0"/>
          <w:numId w:val="27"/>
        </w:numPr>
        <w:spacing w:after="220" w:line="240" w:lineRule="auto"/>
        <w:ind w:left="1440"/>
        <w:rPr>
          <w:rFonts w:ascii="Times New Roman" w:hAnsi="Times New Roman" w:cs="Times New Roman"/>
          <w:b/>
          <w:bCs/>
        </w:rPr>
      </w:pPr>
      <w:r w:rsidRPr="00F459E1">
        <w:rPr>
          <w:rFonts w:ascii="Times New Roman" w:hAnsi="Times New Roman" w:cs="Times New Roman"/>
          <w:b/>
          <w:bCs/>
        </w:rPr>
        <w:t>Disbursements</w:t>
      </w:r>
    </w:p>
    <w:p w:rsidR="004D3D1B" w:rsidRPr="00F459E1" w:rsidP="004D3D1B" w14:paraId="3770EC8F" w14:textId="77777777">
      <w:pPr>
        <w:pStyle w:val="ListParagraph"/>
        <w:rPr>
          <w:rFonts w:ascii="Times New Roman" w:hAnsi="Times New Roman" w:cs="Times New Roman"/>
        </w:rPr>
      </w:pPr>
    </w:p>
    <w:p w:rsidR="00251BCE" w:rsidRPr="00F459E1" w:rsidP="004D3D1B" w14:paraId="393F18F7" w14:textId="61124C5A">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Recipients</w:t>
      </w:r>
      <w:r w:rsidRPr="00F459E1" w:rsidR="004D3D1B">
        <w:rPr>
          <w:rFonts w:ascii="Times New Roman" w:hAnsi="Times New Roman" w:cs="Times New Roman"/>
        </w:rPr>
        <w:t xml:space="preserve"> </w:t>
      </w:r>
      <w:r w:rsidRPr="00F459E1" w:rsidR="002710C8">
        <w:rPr>
          <w:rFonts w:ascii="Times New Roman" w:hAnsi="Times New Roman" w:cs="Times New Roman"/>
        </w:rPr>
        <w:t xml:space="preserve">will need </w:t>
      </w:r>
      <w:r w:rsidRPr="00F459E1" w:rsidR="004D3D1B">
        <w:rPr>
          <w:rFonts w:ascii="Times New Roman" w:hAnsi="Times New Roman" w:cs="Times New Roman"/>
        </w:rPr>
        <w:t xml:space="preserve">to submit </w:t>
      </w:r>
      <w:r w:rsidRPr="00F459E1" w:rsidR="008A4AA3">
        <w:rPr>
          <w:rFonts w:ascii="Times New Roman" w:hAnsi="Times New Roman" w:cs="Times New Roman"/>
        </w:rPr>
        <w:t>R</w:t>
      </w:r>
      <w:r w:rsidRPr="00F459E1" w:rsidR="004D3D1B">
        <w:rPr>
          <w:rFonts w:ascii="Times New Roman" w:hAnsi="Times New Roman" w:cs="Times New Roman"/>
        </w:rPr>
        <w:t xml:space="preserve">eimbursement </w:t>
      </w:r>
      <w:r w:rsidRPr="00F459E1" w:rsidR="008A4AA3">
        <w:rPr>
          <w:rFonts w:ascii="Times New Roman" w:hAnsi="Times New Roman" w:cs="Times New Roman"/>
        </w:rPr>
        <w:t>C</w:t>
      </w:r>
      <w:r w:rsidRPr="00F459E1" w:rsidR="004D3D1B">
        <w:rPr>
          <w:rFonts w:ascii="Times New Roman" w:hAnsi="Times New Roman" w:cs="Times New Roman"/>
        </w:rPr>
        <w:t xml:space="preserve">laim </w:t>
      </w:r>
      <w:r w:rsidRPr="00F459E1" w:rsidR="008A4AA3">
        <w:rPr>
          <w:rFonts w:ascii="Times New Roman" w:hAnsi="Times New Roman" w:cs="Times New Roman"/>
        </w:rPr>
        <w:t>R</w:t>
      </w:r>
      <w:r w:rsidRPr="00F459E1" w:rsidR="004D3D1B">
        <w:rPr>
          <w:rFonts w:ascii="Times New Roman" w:hAnsi="Times New Roman" w:cs="Times New Roman"/>
        </w:rPr>
        <w:t>equests</w:t>
      </w:r>
      <w:r w:rsidRPr="00F459E1" w:rsidR="00DC2379">
        <w:rPr>
          <w:rFonts w:ascii="Times New Roman" w:hAnsi="Times New Roman" w:cs="Times New Roman"/>
        </w:rPr>
        <w:t xml:space="preserve"> using FCC Form 5640, available at </w:t>
      </w:r>
      <w:hyperlink r:id="rId8" w:history="1">
        <w:r w:rsidRPr="00F459E1" w:rsidR="00DC2379">
          <w:rPr>
            <w:rStyle w:val="Hyperlink"/>
            <w:rFonts w:ascii="Times New Roman" w:hAnsi="Times New Roman" w:cs="Times New Roman"/>
          </w:rPr>
          <w:t>https://www.fcc.gov/supplychain</w:t>
        </w:r>
      </w:hyperlink>
      <w:r w:rsidRPr="00F459E1" w:rsidR="00DC2379">
        <w:rPr>
          <w:rFonts w:ascii="Times New Roman" w:hAnsi="Times New Roman" w:cs="Times New Roman"/>
        </w:rPr>
        <w:t>,</w:t>
      </w:r>
      <w:r w:rsidRPr="00F459E1" w:rsidR="004D3D1B">
        <w:rPr>
          <w:rFonts w:ascii="Times New Roman" w:hAnsi="Times New Roman" w:cs="Times New Roman"/>
        </w:rPr>
        <w:t xml:space="preserve"> </w:t>
      </w:r>
      <w:r w:rsidRPr="00F459E1" w:rsidR="002710C8">
        <w:rPr>
          <w:rFonts w:ascii="Times New Roman" w:hAnsi="Times New Roman" w:cs="Times New Roman"/>
        </w:rPr>
        <w:t xml:space="preserve">after </w:t>
      </w:r>
      <w:r w:rsidRPr="00F459E1" w:rsidR="0048089F">
        <w:rPr>
          <w:rFonts w:ascii="Times New Roman" w:hAnsi="Times New Roman" w:cs="Times New Roman"/>
        </w:rPr>
        <w:t>they incur</w:t>
      </w:r>
      <w:r w:rsidRPr="00F459E1" w:rsidR="004D3D1B">
        <w:rPr>
          <w:rFonts w:ascii="Times New Roman" w:hAnsi="Times New Roman" w:cs="Times New Roman"/>
        </w:rPr>
        <w:t xml:space="preserve"> actual costs</w:t>
      </w:r>
      <w:r w:rsidRPr="00F459E1" w:rsidR="00DC2379">
        <w:rPr>
          <w:rFonts w:ascii="Times New Roman" w:hAnsi="Times New Roman" w:cs="Times New Roman"/>
        </w:rPr>
        <w:t xml:space="preserve"> to be reimbursed</w:t>
      </w:r>
      <w:r w:rsidRPr="00F459E1" w:rsidR="004D3D1B">
        <w:rPr>
          <w:rFonts w:ascii="Times New Roman" w:hAnsi="Times New Roman" w:cs="Times New Roman"/>
        </w:rPr>
        <w:t xml:space="preserve">. </w:t>
      </w:r>
      <w:r w:rsidR="000D6D8C">
        <w:rPr>
          <w:rFonts w:ascii="Times New Roman" w:hAnsi="Times New Roman" w:cs="Times New Roman"/>
        </w:rPr>
        <w:t xml:space="preserve"> </w:t>
      </w:r>
      <w:r w:rsidRPr="00F459E1">
        <w:rPr>
          <w:rFonts w:ascii="Times New Roman" w:hAnsi="Times New Roman" w:cs="Times New Roman"/>
        </w:rPr>
        <w:t>This request must include</w:t>
      </w:r>
      <w:r w:rsidRPr="00F459E1" w:rsidR="004D3D1B">
        <w:rPr>
          <w:rFonts w:ascii="Times New Roman" w:hAnsi="Times New Roman" w:cs="Times New Roman"/>
        </w:rPr>
        <w:t xml:space="preserve"> supporting invoices and other cost documentation, as directed by </w:t>
      </w:r>
      <w:r w:rsidRPr="00F459E1">
        <w:rPr>
          <w:rFonts w:ascii="Times New Roman" w:hAnsi="Times New Roman" w:cs="Times New Roman"/>
        </w:rPr>
        <w:t>WCB.</w:t>
      </w:r>
    </w:p>
    <w:p w:rsidR="00552EAF" w:rsidRPr="00F459E1" w:rsidP="004D3D1B" w14:paraId="70CB5CB9" w14:textId="4E8ACE6B">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Recipients are required to file all reimbursement claims within 120 days following the expiration of the one-year removal, replacement, and disposal term.</w:t>
      </w:r>
    </w:p>
    <w:p w:rsidR="00552EAF" w:rsidRPr="00F459E1" w:rsidP="00552EAF" w14:paraId="18D75C1D" w14:textId="14F3736A">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Prior to the expiration of the 120-day deadline, recipients can request and receive a 120-day extension of the reimbursement claim deadline, if timely requested.</w:t>
      </w:r>
    </w:p>
    <w:p w:rsidR="00552EAF" w:rsidRPr="00F459E1" w:rsidP="00552EAF" w14:paraId="6D053F07" w14:textId="77777777">
      <w:pPr>
        <w:pStyle w:val="ListParagraph"/>
        <w:spacing w:after="220" w:line="240" w:lineRule="auto"/>
        <w:rPr>
          <w:rFonts w:ascii="Times New Roman" w:hAnsi="Times New Roman" w:cs="Times New Roman"/>
        </w:rPr>
      </w:pPr>
    </w:p>
    <w:p w:rsidR="00552EAF" w:rsidRPr="00F459E1" w:rsidP="00F5041F" w14:paraId="5A8D838C" w14:textId="18D016F6">
      <w:pPr>
        <w:pStyle w:val="ListParagraph"/>
        <w:numPr>
          <w:ilvl w:val="0"/>
          <w:numId w:val="27"/>
        </w:numPr>
        <w:spacing w:after="220" w:line="240" w:lineRule="auto"/>
        <w:ind w:left="1440"/>
        <w:rPr>
          <w:rFonts w:ascii="Times New Roman" w:hAnsi="Times New Roman" w:cs="Times New Roman"/>
          <w:b/>
          <w:bCs/>
        </w:rPr>
      </w:pPr>
      <w:r w:rsidRPr="00F459E1">
        <w:rPr>
          <w:rFonts w:ascii="Times New Roman" w:hAnsi="Times New Roman" w:cs="Times New Roman"/>
          <w:b/>
          <w:bCs/>
        </w:rPr>
        <w:t xml:space="preserve">Removal, Replacement, and Disposal Timing </w:t>
      </w:r>
    </w:p>
    <w:p w:rsidR="004D3D1B" w:rsidRPr="00F459E1" w:rsidP="004D3D1B" w14:paraId="0672F50B" w14:textId="77777777">
      <w:pPr>
        <w:pStyle w:val="ListParagraph"/>
        <w:rPr>
          <w:rFonts w:ascii="Times New Roman" w:hAnsi="Times New Roman" w:cs="Times New Roman"/>
        </w:rPr>
      </w:pPr>
    </w:p>
    <w:p w:rsidR="00D57069" w:rsidRPr="00F459E1" w:rsidP="004D3D1B" w14:paraId="5981A243" w14:textId="7BF8D3DF">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Recipients </w:t>
      </w:r>
      <w:r w:rsidRPr="00F459E1" w:rsidR="008A4AA3">
        <w:rPr>
          <w:rFonts w:ascii="Times New Roman" w:hAnsi="Times New Roman" w:cs="Times New Roman"/>
        </w:rPr>
        <w:t>must</w:t>
      </w:r>
      <w:r w:rsidRPr="00F459E1" w:rsidR="00C50264">
        <w:rPr>
          <w:rFonts w:ascii="Times New Roman" w:hAnsi="Times New Roman" w:cs="Times New Roman"/>
        </w:rPr>
        <w:t xml:space="preserve"> remove, replace</w:t>
      </w:r>
      <w:r w:rsidRPr="00F459E1" w:rsidR="00DC2379">
        <w:rPr>
          <w:rFonts w:ascii="Times New Roman" w:hAnsi="Times New Roman" w:cs="Times New Roman"/>
        </w:rPr>
        <w:t>,</w:t>
      </w:r>
      <w:r w:rsidRPr="00F459E1" w:rsidR="00C50264">
        <w:rPr>
          <w:rFonts w:ascii="Times New Roman" w:hAnsi="Times New Roman" w:cs="Times New Roman"/>
        </w:rPr>
        <w:t xml:space="preserve"> and dispose of covered equipment or services within one year of rec</w:t>
      </w:r>
      <w:r w:rsidRPr="00F459E1" w:rsidR="00404DFE">
        <w:rPr>
          <w:rFonts w:ascii="Times New Roman" w:hAnsi="Times New Roman" w:cs="Times New Roman"/>
        </w:rPr>
        <w:t xml:space="preserve">eiving an initial disbursement from their approved funding </w:t>
      </w:r>
      <w:r w:rsidRPr="00F459E1" w:rsidR="00DC2379">
        <w:rPr>
          <w:rFonts w:ascii="Times New Roman" w:hAnsi="Times New Roman" w:cs="Times New Roman"/>
        </w:rPr>
        <w:t>allocation</w:t>
      </w:r>
      <w:r w:rsidRPr="00F459E1" w:rsidR="00404DFE">
        <w:rPr>
          <w:rFonts w:ascii="Times New Roman" w:hAnsi="Times New Roman" w:cs="Times New Roman"/>
        </w:rPr>
        <w:t>.</w:t>
      </w:r>
    </w:p>
    <w:p w:rsidR="00D91A75" w:rsidRPr="00F5041F" w14:paraId="4E118BEB" w14:textId="4CE8677E">
      <w:pPr>
        <w:pStyle w:val="ListParagraph"/>
        <w:numPr>
          <w:ilvl w:val="0"/>
          <w:numId w:val="19"/>
        </w:numPr>
        <w:spacing w:after="220" w:line="240" w:lineRule="auto"/>
        <w:rPr>
          <w:rFonts w:ascii="Times New Roman" w:hAnsi="Times New Roman" w:cs="Times New Roman"/>
        </w:rPr>
      </w:pPr>
      <w:r>
        <w:rPr>
          <w:rFonts w:ascii="Times New Roman" w:hAnsi="Times New Roman" w:cs="Times New Roman"/>
        </w:rPr>
        <w:t xml:space="preserve">WCB may </w:t>
      </w:r>
      <w:r w:rsidRPr="00F459E1">
        <w:rPr>
          <w:rFonts w:ascii="Times New Roman" w:hAnsi="Times New Roman" w:cs="Times New Roman"/>
        </w:rPr>
        <w:t>grant individual extensions on a case-by-case basis to recipients of up to six months if it determines that, due to no fault of such recipient, such recipient is unable to complete the permanent removal, replacement, and disposal</w:t>
      </w:r>
      <w:r>
        <w:rPr>
          <w:rFonts w:ascii="Times New Roman" w:hAnsi="Times New Roman" w:cs="Times New Roman"/>
        </w:rPr>
        <w:t>.</w:t>
      </w:r>
    </w:p>
    <w:p w:rsidR="008348FD" w:rsidRPr="00F459E1" w:rsidP="00F5041F" w14:paraId="2F704C03" w14:textId="77777777">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The FCC may grant a general six-month extension to all recipients of reimbursements if it finds the following:</w:t>
      </w:r>
    </w:p>
    <w:p w:rsidR="008348FD" w:rsidRPr="00F459E1" w:rsidP="00F5041F" w14:paraId="3E03000C" w14:textId="77777777">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T</w:t>
      </w:r>
      <w:r w:rsidRPr="00F459E1" w:rsidR="004D3D1B">
        <w:rPr>
          <w:rFonts w:ascii="Times New Roman" w:hAnsi="Times New Roman" w:cs="Times New Roman"/>
        </w:rPr>
        <w:t>he supply of replacement communications equipment or services needed by the recipients to achieve the purposes of the Program is inadequate to meet the needs of the recipients; and</w:t>
      </w:r>
    </w:p>
    <w:p w:rsidR="00A55ABC" w:rsidRPr="00F459E1" w:rsidP="00F5041F" w14:paraId="7B72C3B9" w14:textId="4776EED7">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It</w:t>
      </w:r>
      <w:r w:rsidRPr="00F459E1" w:rsidR="008348FD">
        <w:rPr>
          <w:rFonts w:ascii="Times New Roman" w:hAnsi="Times New Roman" w:cs="Times New Roman"/>
        </w:rPr>
        <w:t xml:space="preserve"> p</w:t>
      </w:r>
      <w:r w:rsidRPr="00F459E1" w:rsidR="004D3D1B">
        <w:rPr>
          <w:rFonts w:ascii="Times New Roman" w:hAnsi="Times New Roman" w:cs="Times New Roman"/>
        </w:rPr>
        <w:t xml:space="preserve">rovides notice and a detailed justification for granting the extension to </w:t>
      </w:r>
      <w:r w:rsidRPr="00F459E1" w:rsidR="00404DFE">
        <w:rPr>
          <w:rFonts w:ascii="Times New Roman" w:hAnsi="Times New Roman" w:cs="Times New Roman"/>
        </w:rPr>
        <w:t xml:space="preserve">the Committee on Energy </w:t>
      </w:r>
      <w:r w:rsidRPr="00F459E1" w:rsidR="00ED2880">
        <w:rPr>
          <w:rFonts w:ascii="Times New Roman" w:hAnsi="Times New Roman" w:cs="Times New Roman"/>
        </w:rPr>
        <w:t>and Commerce of the House of Representatives</w:t>
      </w:r>
      <w:r w:rsidRPr="00F459E1">
        <w:rPr>
          <w:rFonts w:ascii="Times New Roman" w:hAnsi="Times New Roman" w:cs="Times New Roman"/>
        </w:rPr>
        <w:t xml:space="preserve"> and the Committee on Commerce, Science, and Transportation of the Senate. </w:t>
      </w:r>
    </w:p>
    <w:p w:rsidR="004D3D1B" w:rsidRPr="00F459E1" w:rsidP="004D3D1B" w14:paraId="49784A97" w14:textId="6FF4C6D9">
      <w:pPr>
        <w:pStyle w:val="ListParagraph"/>
        <w:rPr>
          <w:rFonts w:ascii="Times New Roman" w:hAnsi="Times New Roman" w:cs="Times New Roman"/>
        </w:rPr>
      </w:pPr>
    </w:p>
    <w:p w:rsidR="00201E5E" w:rsidRPr="00F459E1" w:rsidP="00F5041F" w14:paraId="1C7D670C" w14:textId="00E4E05C">
      <w:pPr>
        <w:pStyle w:val="ListParagraph"/>
        <w:numPr>
          <w:ilvl w:val="0"/>
          <w:numId w:val="27"/>
        </w:numPr>
        <w:ind w:left="1440"/>
        <w:rPr>
          <w:rFonts w:ascii="Times New Roman" w:hAnsi="Times New Roman" w:cs="Times New Roman"/>
        </w:rPr>
      </w:pPr>
      <w:r w:rsidRPr="00F459E1">
        <w:rPr>
          <w:rFonts w:ascii="Times New Roman" w:hAnsi="Times New Roman" w:cs="Times New Roman"/>
          <w:b/>
          <w:bCs/>
        </w:rPr>
        <w:t>Disposal Requirements</w:t>
      </w:r>
    </w:p>
    <w:p w:rsidR="00F014E0" w:rsidRPr="00F459E1" w:rsidP="00F014E0" w14:paraId="677FDD58" w14:textId="77777777">
      <w:pPr>
        <w:pStyle w:val="ListParagraph"/>
        <w:ind w:left="1800"/>
        <w:rPr>
          <w:rFonts w:ascii="Times New Roman" w:hAnsi="Times New Roman" w:cs="Times New Roman"/>
        </w:rPr>
      </w:pPr>
    </w:p>
    <w:p w:rsidR="00F014E0" w:rsidRPr="00F459E1" w:rsidP="004D3D1B" w14:paraId="06DDEB5B" w14:textId="61611BEB">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w:t>
      </w:r>
      <w:r w:rsidRPr="00F459E1" w:rsidR="004D3D1B">
        <w:rPr>
          <w:rFonts w:ascii="Times New Roman" w:hAnsi="Times New Roman" w:cs="Times New Roman"/>
        </w:rPr>
        <w:t xml:space="preserve">ecipients </w:t>
      </w:r>
      <w:r w:rsidRPr="00F459E1">
        <w:rPr>
          <w:rFonts w:ascii="Times New Roman" w:hAnsi="Times New Roman" w:cs="Times New Roman"/>
        </w:rPr>
        <w:t>must</w:t>
      </w:r>
      <w:r w:rsidRPr="00F459E1" w:rsidR="004D3D1B">
        <w:rPr>
          <w:rFonts w:ascii="Times New Roman" w:hAnsi="Times New Roman" w:cs="Times New Roman"/>
        </w:rPr>
        <w:t xml:space="preserve"> dispose </w:t>
      </w:r>
      <w:r w:rsidRPr="00F459E1">
        <w:rPr>
          <w:rFonts w:ascii="Times New Roman" w:hAnsi="Times New Roman" w:cs="Times New Roman"/>
        </w:rPr>
        <w:t xml:space="preserve">their </w:t>
      </w:r>
      <w:r w:rsidRPr="00F459E1" w:rsidR="004D3D1B">
        <w:rPr>
          <w:rFonts w:ascii="Times New Roman" w:hAnsi="Times New Roman" w:cs="Times New Roman"/>
        </w:rPr>
        <w:t xml:space="preserve">covered communications equipment or service in a manner to prevent the equipment or service from being used in the networks of other providers of advanced communications service. </w:t>
      </w:r>
    </w:p>
    <w:p w:rsidR="00F014E0" w:rsidRPr="00F459E1" w:rsidP="004D3D1B" w14:paraId="47396BAF" w14:textId="2BE12660">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The disposal must result in the destruction of the covered communications equipment o</w:t>
      </w:r>
      <w:r w:rsidRPr="00F459E1" w:rsidR="007D4C23">
        <w:rPr>
          <w:rFonts w:ascii="Times New Roman" w:hAnsi="Times New Roman" w:cs="Times New Roman"/>
        </w:rPr>
        <w:t>r</w:t>
      </w:r>
      <w:r w:rsidRPr="00F459E1">
        <w:rPr>
          <w:rFonts w:ascii="Times New Roman" w:hAnsi="Times New Roman" w:cs="Times New Roman"/>
        </w:rPr>
        <w:t xml:space="preserve"> service, </w:t>
      </w:r>
      <w:r w:rsidRPr="00F459E1" w:rsidR="004E70F3">
        <w:rPr>
          <w:rFonts w:ascii="Times New Roman" w:hAnsi="Times New Roman" w:cs="Times New Roman"/>
        </w:rPr>
        <w:t xml:space="preserve">as well as any components, </w:t>
      </w:r>
      <w:r w:rsidRPr="00F459E1">
        <w:rPr>
          <w:rFonts w:ascii="Times New Roman" w:hAnsi="Times New Roman" w:cs="Times New Roman"/>
        </w:rPr>
        <w:t>making the covered communications equipment or service inoperable permanently.</w:t>
      </w:r>
    </w:p>
    <w:p w:rsidR="004D3D1B" w:rsidRPr="00F459E1" w:rsidP="004D3D1B" w14:paraId="26D25B01" w14:textId="2EB9417B">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Recipients must retain documentation demonstrating compliance with this requirement.</w:t>
      </w:r>
    </w:p>
    <w:p w:rsidR="004E70F3" w:rsidRPr="00F459E1" w:rsidP="004D3D1B" w14:paraId="77733F43" w14:textId="39D3F37F">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Guidance regarding the disposal requirements is available at </w:t>
      </w:r>
      <w:hyperlink r:id="rId8" w:history="1">
        <w:r w:rsidRPr="00F459E1">
          <w:rPr>
            <w:rStyle w:val="Hyperlink"/>
            <w:rFonts w:ascii="Times New Roman" w:hAnsi="Times New Roman" w:cs="Times New Roman"/>
          </w:rPr>
          <w:t>https://www.fcc.gov/supplychain</w:t>
        </w:r>
      </w:hyperlink>
      <w:r w:rsidRPr="00F459E1">
        <w:rPr>
          <w:rFonts w:ascii="Times New Roman" w:hAnsi="Times New Roman" w:cs="Times New Roman"/>
        </w:rPr>
        <w:t xml:space="preserve">. </w:t>
      </w:r>
    </w:p>
    <w:p w:rsidR="004D3D1B" w:rsidRPr="00F459E1" w:rsidP="004D3D1B" w14:paraId="6EF9F846" w14:textId="022DE2FB">
      <w:pPr>
        <w:pStyle w:val="ListParagraph"/>
        <w:rPr>
          <w:rFonts w:ascii="Times New Roman" w:hAnsi="Times New Roman" w:cs="Times New Roman"/>
        </w:rPr>
      </w:pPr>
    </w:p>
    <w:p w:rsidR="00126B56" w:rsidRPr="00F459E1" w:rsidP="00F5041F" w14:paraId="35695C46" w14:textId="3E3A2836">
      <w:pPr>
        <w:pStyle w:val="ListParagraph"/>
        <w:numPr>
          <w:ilvl w:val="0"/>
          <w:numId w:val="27"/>
        </w:numPr>
        <w:ind w:left="1440"/>
        <w:rPr>
          <w:rFonts w:ascii="Times New Roman" w:hAnsi="Times New Roman" w:cs="Times New Roman"/>
        </w:rPr>
      </w:pPr>
      <w:r w:rsidRPr="00F459E1">
        <w:rPr>
          <w:rFonts w:ascii="Times New Roman" w:hAnsi="Times New Roman" w:cs="Times New Roman"/>
          <w:b/>
          <w:bCs/>
        </w:rPr>
        <w:t>Status Updates</w:t>
      </w:r>
    </w:p>
    <w:p w:rsidR="00126B56" w:rsidRPr="00F459E1" w:rsidP="00126B56" w14:paraId="582587FE" w14:textId="77777777">
      <w:pPr>
        <w:pStyle w:val="ListParagraph"/>
        <w:ind w:left="1800"/>
        <w:rPr>
          <w:rFonts w:ascii="Times New Roman" w:hAnsi="Times New Roman" w:cs="Times New Roman"/>
        </w:rPr>
      </w:pPr>
    </w:p>
    <w:p w:rsidR="009842D7" w:rsidRPr="00F459E1" w:rsidP="004D3D1B" w14:paraId="74531D3A" w14:textId="090A4C1F">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w:t>
      </w:r>
      <w:r w:rsidRPr="00F459E1" w:rsidR="004D3D1B">
        <w:rPr>
          <w:rFonts w:ascii="Times New Roman" w:hAnsi="Times New Roman" w:cs="Times New Roman"/>
        </w:rPr>
        <w:t xml:space="preserve">ecipients </w:t>
      </w:r>
      <w:r w:rsidRPr="00F459E1">
        <w:rPr>
          <w:rFonts w:ascii="Times New Roman" w:hAnsi="Times New Roman" w:cs="Times New Roman"/>
        </w:rPr>
        <w:t>must</w:t>
      </w:r>
      <w:r w:rsidRPr="00F459E1" w:rsidR="004D3D1B">
        <w:rPr>
          <w:rFonts w:ascii="Times New Roman" w:hAnsi="Times New Roman" w:cs="Times New Roman"/>
        </w:rPr>
        <w:t xml:space="preserve"> submit status updates once every 90 days beginning on the date on which </w:t>
      </w:r>
      <w:r w:rsidRPr="00F459E1">
        <w:rPr>
          <w:rFonts w:ascii="Times New Roman" w:hAnsi="Times New Roman" w:cs="Times New Roman"/>
        </w:rPr>
        <w:t xml:space="preserve">WCB </w:t>
      </w:r>
      <w:r w:rsidRPr="00F459E1" w:rsidR="004D3D1B">
        <w:rPr>
          <w:rFonts w:ascii="Times New Roman" w:hAnsi="Times New Roman" w:cs="Times New Roman"/>
        </w:rPr>
        <w:t>approve</w:t>
      </w:r>
      <w:r w:rsidRPr="00F459E1" w:rsidR="004E70F3">
        <w:rPr>
          <w:rFonts w:ascii="Times New Roman" w:hAnsi="Times New Roman" w:cs="Times New Roman"/>
        </w:rPr>
        <w:t>s</w:t>
      </w:r>
      <w:r w:rsidRPr="00F459E1" w:rsidR="004D3D1B">
        <w:rPr>
          <w:rFonts w:ascii="Times New Roman" w:hAnsi="Times New Roman" w:cs="Times New Roman"/>
        </w:rPr>
        <w:t xml:space="preserve"> </w:t>
      </w:r>
      <w:r w:rsidRPr="00F459E1">
        <w:rPr>
          <w:rFonts w:ascii="Times New Roman" w:hAnsi="Times New Roman" w:cs="Times New Roman"/>
        </w:rPr>
        <w:t>their</w:t>
      </w:r>
      <w:r w:rsidRPr="00F459E1" w:rsidR="004D3D1B">
        <w:rPr>
          <w:rFonts w:ascii="Times New Roman" w:hAnsi="Times New Roman" w:cs="Times New Roman"/>
        </w:rPr>
        <w:t xml:space="preserve"> </w:t>
      </w:r>
      <w:r w:rsidRPr="00F459E1">
        <w:rPr>
          <w:rFonts w:ascii="Times New Roman" w:hAnsi="Times New Roman" w:cs="Times New Roman"/>
        </w:rPr>
        <w:t xml:space="preserve">reimbursement </w:t>
      </w:r>
      <w:r w:rsidRPr="00F459E1" w:rsidR="004D3D1B">
        <w:rPr>
          <w:rFonts w:ascii="Times New Roman" w:hAnsi="Times New Roman" w:cs="Times New Roman"/>
        </w:rPr>
        <w:t xml:space="preserve">application and </w:t>
      </w:r>
      <w:r w:rsidRPr="00F459E1">
        <w:rPr>
          <w:rFonts w:ascii="Times New Roman" w:hAnsi="Times New Roman" w:cs="Times New Roman"/>
        </w:rPr>
        <w:t xml:space="preserve">up </w:t>
      </w:r>
      <w:r w:rsidRPr="00F459E1" w:rsidR="004D3D1B">
        <w:rPr>
          <w:rFonts w:ascii="Times New Roman" w:hAnsi="Times New Roman" w:cs="Times New Roman"/>
        </w:rPr>
        <w:t>until the recipient has filed the final certification.</w:t>
      </w:r>
    </w:p>
    <w:p w:rsidR="00BD4DDE" w:rsidRPr="00F459E1" w:rsidP="004D3D1B" w14:paraId="368F1608" w14:textId="07F0C123">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The status updates must include the following information: </w:t>
      </w:r>
    </w:p>
    <w:p w:rsidR="00BD4DDE" w:rsidRPr="00F459E1" w:rsidP="00BD4DDE" w14:paraId="3A2E0B25" w14:textId="613D325C">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Efforts undertaken, and challenges encountered with regards to removing, replacing and disposing of covered communications equipment or service.</w:t>
      </w:r>
    </w:p>
    <w:p w:rsidR="00352217" w:rsidRPr="00F459E1" w:rsidP="00BD4DDE" w14:paraId="742386C4" w14:textId="082A3307">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 xml:space="preserve">The availability of replacement equipment in the marketplace. </w:t>
      </w:r>
    </w:p>
    <w:p w:rsidR="00352217" w:rsidRPr="00F459E1" w:rsidP="00BD4DDE" w14:paraId="55F4431F" w14:textId="6070B90B">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Whether the recipient has fully complied with or is in the process of complying with the commitments made in the recipient’s application</w:t>
      </w:r>
      <w:r w:rsidRPr="00F459E1" w:rsidR="00615902">
        <w:rPr>
          <w:rFonts w:ascii="Times New Roman" w:hAnsi="Times New Roman" w:cs="Times New Roman"/>
        </w:rPr>
        <w:t xml:space="preserve">. </w:t>
      </w:r>
    </w:p>
    <w:p w:rsidR="00615902" w:rsidRPr="00F459E1" w:rsidP="00BD4DDE" w14:paraId="5F77D43A" w14:textId="2EC63F93">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Whether the recipient has permanently removed</w:t>
      </w:r>
      <w:r w:rsidRPr="00F459E1" w:rsidR="007F3C9B">
        <w:rPr>
          <w:rFonts w:ascii="Times New Roman" w:hAnsi="Times New Roman" w:cs="Times New Roman"/>
        </w:rPr>
        <w:t xml:space="preserve">, </w:t>
      </w:r>
      <w:r w:rsidRPr="00F459E1">
        <w:rPr>
          <w:rFonts w:ascii="Times New Roman" w:hAnsi="Times New Roman" w:cs="Times New Roman"/>
        </w:rPr>
        <w:t>replaced</w:t>
      </w:r>
      <w:r w:rsidRPr="00F459E1" w:rsidR="007F3C9B">
        <w:rPr>
          <w:rFonts w:ascii="Times New Roman" w:hAnsi="Times New Roman" w:cs="Times New Roman"/>
        </w:rPr>
        <w:t xml:space="preserve">, and disposed of all covered equipment or services </w:t>
      </w:r>
      <w:r w:rsidRPr="00F459E1" w:rsidR="003E485D">
        <w:rPr>
          <w:rFonts w:ascii="Times New Roman" w:hAnsi="Times New Roman" w:cs="Times New Roman"/>
        </w:rPr>
        <w:t xml:space="preserve">as of the date of the submission of the recipient’s application; and </w:t>
      </w:r>
    </w:p>
    <w:p w:rsidR="003E485D" w:rsidRPr="00F459E1" w:rsidP="00BD4DDE" w14:paraId="0681C3F2" w14:textId="572A00B3">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 xml:space="preserve">Whether the recipient has fully complied </w:t>
      </w:r>
      <w:r w:rsidRPr="00F459E1" w:rsidR="003F1715">
        <w:rPr>
          <w:rFonts w:ascii="Times New Roman" w:hAnsi="Times New Roman" w:cs="Times New Roman"/>
        </w:rPr>
        <w:t xml:space="preserve">with or is in the process of complying with the timeline submitted by the recipient </w:t>
      </w:r>
      <w:r w:rsidRPr="00F459E1" w:rsidR="00BD208F">
        <w:rPr>
          <w:rFonts w:ascii="Times New Roman" w:hAnsi="Times New Roman" w:cs="Times New Roman"/>
        </w:rPr>
        <w:t xml:space="preserve">with their application. </w:t>
      </w:r>
    </w:p>
    <w:p w:rsidR="00BD208F" w:rsidRPr="00F459E1" w:rsidP="00BD208F" w14:paraId="0169B796" w14:textId="1054F1A1">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WCB will publicly post these status update filings </w:t>
      </w:r>
      <w:r w:rsidRPr="00F459E1" w:rsidR="00846943">
        <w:rPr>
          <w:rFonts w:ascii="Times New Roman" w:hAnsi="Times New Roman" w:cs="Times New Roman"/>
        </w:rPr>
        <w:t xml:space="preserve">on the Commission’s website </w:t>
      </w:r>
      <w:r w:rsidRPr="00F459E1">
        <w:rPr>
          <w:rFonts w:ascii="Times New Roman" w:hAnsi="Times New Roman" w:cs="Times New Roman"/>
        </w:rPr>
        <w:t xml:space="preserve">within 30 days of submission. </w:t>
      </w:r>
    </w:p>
    <w:p w:rsidR="006A0CC0" w:rsidRPr="00F459E1" w:rsidP="006A0CC0" w14:paraId="790D5303" w14:textId="77777777">
      <w:pPr>
        <w:pStyle w:val="ListParagraph"/>
        <w:spacing w:after="220" w:line="240" w:lineRule="auto"/>
        <w:rPr>
          <w:rFonts w:ascii="Times New Roman" w:hAnsi="Times New Roman" w:cs="Times New Roman"/>
        </w:rPr>
      </w:pPr>
    </w:p>
    <w:p w:rsidR="006A0CC0" w:rsidRPr="00F459E1" w:rsidP="00F442F3" w14:paraId="3606BC08" w14:textId="371F7A25">
      <w:pPr>
        <w:pStyle w:val="ListParagraph"/>
        <w:numPr>
          <w:ilvl w:val="0"/>
          <w:numId w:val="27"/>
        </w:numPr>
        <w:spacing w:after="220" w:line="240" w:lineRule="auto"/>
        <w:ind w:left="1440"/>
        <w:rPr>
          <w:rFonts w:ascii="Times New Roman" w:hAnsi="Times New Roman" w:cs="Times New Roman"/>
        </w:rPr>
      </w:pPr>
      <w:r w:rsidRPr="00F459E1">
        <w:rPr>
          <w:rFonts w:ascii="Times New Roman" w:hAnsi="Times New Roman" w:cs="Times New Roman"/>
          <w:b/>
          <w:bCs/>
        </w:rPr>
        <w:t xml:space="preserve">Spending Reports </w:t>
      </w:r>
    </w:p>
    <w:p w:rsidR="004D3D1B" w:rsidRPr="00F459E1" w:rsidP="004D3D1B" w14:paraId="21054E29" w14:textId="77777777">
      <w:pPr>
        <w:pStyle w:val="ListParagraph"/>
        <w:rPr>
          <w:rFonts w:ascii="Times New Roman" w:hAnsi="Times New Roman" w:cs="Times New Roman"/>
        </w:rPr>
      </w:pPr>
    </w:p>
    <w:p w:rsidR="00427A76" w:rsidRPr="00F459E1" w:rsidP="004D3D1B" w14:paraId="4312B7AE" w14:textId="401D56BE">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w:t>
      </w:r>
      <w:r w:rsidRPr="00F459E1" w:rsidR="004D3D1B">
        <w:rPr>
          <w:rFonts w:ascii="Times New Roman" w:hAnsi="Times New Roman" w:cs="Times New Roman"/>
        </w:rPr>
        <w:t xml:space="preserve">ecipients </w:t>
      </w:r>
      <w:r w:rsidRPr="00F459E1">
        <w:rPr>
          <w:rFonts w:ascii="Times New Roman" w:hAnsi="Times New Roman" w:cs="Times New Roman"/>
        </w:rPr>
        <w:t xml:space="preserve">must </w:t>
      </w:r>
      <w:r w:rsidRPr="00F459E1" w:rsidR="004D3D1B">
        <w:rPr>
          <w:rFonts w:ascii="Times New Roman" w:hAnsi="Times New Roman" w:cs="Times New Roman"/>
        </w:rPr>
        <w:t>submit spending reports</w:t>
      </w:r>
      <w:r w:rsidRPr="00F459E1" w:rsidR="003F3F83">
        <w:rPr>
          <w:rFonts w:ascii="Times New Roman" w:hAnsi="Times New Roman" w:cs="Times New Roman"/>
        </w:rPr>
        <w:t xml:space="preserve"> </w:t>
      </w:r>
      <w:r w:rsidRPr="00F459E1" w:rsidR="004D3D1B">
        <w:rPr>
          <w:rFonts w:ascii="Times New Roman" w:hAnsi="Times New Roman" w:cs="Times New Roman"/>
        </w:rPr>
        <w:t xml:space="preserve">indicating how funds have been spent, including detailed accounting of the covered communications equipment or services permanently removed and disposed of, and the replacement equipment or services purchased, rented, leased or otherwise obtained, using reimbursement funds.  </w:t>
      </w:r>
    </w:p>
    <w:p w:rsidR="00427A76" w:rsidRPr="00F459E1" w:rsidP="004D3D1B" w14:paraId="12312614" w14:textId="0F86B60B">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These reports must be filed semiannually </w:t>
      </w:r>
      <w:r w:rsidRPr="00F459E1" w:rsidR="004E70F3">
        <w:rPr>
          <w:rFonts w:ascii="Times New Roman" w:hAnsi="Times New Roman" w:cs="Times New Roman"/>
        </w:rPr>
        <w:t>by February 10 and August 10,</w:t>
      </w:r>
      <w:r w:rsidRPr="00F459E1">
        <w:rPr>
          <w:rFonts w:ascii="Times New Roman" w:hAnsi="Times New Roman" w:cs="Times New Roman"/>
        </w:rPr>
        <w:t xml:space="preserve"> starting with the recipient’s initial draw down of disbursement funds and terminating once the recipient has filed a final spending report showing the expenditure of all funds received as compared to the estimated costs submitted.  </w:t>
      </w:r>
    </w:p>
    <w:p w:rsidR="005C3FE7" w:rsidRPr="00F459E1" w:rsidP="005C3FE7" w14:paraId="768EBDCB" w14:textId="746146F7">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A final spending report will be due following the filing of a final certification by the recipient.</w:t>
      </w:r>
    </w:p>
    <w:p w:rsidR="005C3FE7" w:rsidRPr="00F459E1" w:rsidP="005C3FE7" w14:paraId="52EC6C50" w14:textId="0E03F62F">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WCB will make these reports available on the Commission’s website </w:t>
      </w:r>
      <w:r w:rsidRPr="00F459E1" w:rsidR="0037221C">
        <w:rPr>
          <w:rFonts w:ascii="Times New Roman" w:hAnsi="Times New Roman" w:cs="Times New Roman"/>
        </w:rPr>
        <w:t xml:space="preserve">subject to confidentiality concerns consistent with the Commission’s rules. </w:t>
      </w:r>
    </w:p>
    <w:p w:rsidR="000044CA" w:rsidRPr="00F459E1" w:rsidP="000044CA" w14:paraId="49080F10" w14:textId="77777777">
      <w:pPr>
        <w:pStyle w:val="ListParagraph"/>
        <w:spacing w:after="220" w:line="240" w:lineRule="auto"/>
        <w:rPr>
          <w:rFonts w:ascii="Times New Roman" w:hAnsi="Times New Roman" w:cs="Times New Roman"/>
        </w:rPr>
      </w:pPr>
    </w:p>
    <w:p w:rsidR="000044CA" w:rsidRPr="000D6D8C" w:rsidP="00F442F3" w14:paraId="70ECC453" w14:textId="138C545A">
      <w:pPr>
        <w:pStyle w:val="ListParagraph"/>
        <w:keepNext/>
        <w:numPr>
          <w:ilvl w:val="0"/>
          <w:numId w:val="27"/>
        </w:numPr>
        <w:spacing w:after="220" w:line="240" w:lineRule="auto"/>
        <w:ind w:left="1440"/>
        <w:rPr>
          <w:rFonts w:ascii="Times New Roman" w:hAnsi="Times New Roman" w:cs="Times New Roman"/>
        </w:rPr>
      </w:pPr>
      <w:r w:rsidRPr="00F459E1">
        <w:rPr>
          <w:rFonts w:ascii="Times New Roman" w:hAnsi="Times New Roman" w:cs="Times New Roman"/>
          <w:b/>
          <w:bCs/>
        </w:rPr>
        <w:t xml:space="preserve">Final Certification </w:t>
      </w:r>
    </w:p>
    <w:p w:rsidR="004D3D1B" w:rsidRPr="00F459E1" w:rsidP="004D3D1B" w14:paraId="4AD7353D" w14:textId="77777777">
      <w:pPr>
        <w:pStyle w:val="ListParagraph"/>
        <w:spacing w:after="220"/>
        <w:rPr>
          <w:rFonts w:ascii="Times New Roman" w:hAnsi="Times New Roman" w:cs="Times New Roman"/>
        </w:rPr>
      </w:pPr>
    </w:p>
    <w:p w:rsidR="001F5234" w:rsidRPr="00F459E1" w:rsidP="004D3D1B" w14:paraId="3DC9EA62" w14:textId="1D40C2C6">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Recipients must</w:t>
      </w:r>
      <w:r w:rsidRPr="00F459E1" w:rsidR="004D3D1B">
        <w:rPr>
          <w:rFonts w:ascii="Times New Roman" w:hAnsi="Times New Roman" w:cs="Times New Roman"/>
        </w:rPr>
        <w:t xml:space="preserve"> file a final certification with the Commission</w:t>
      </w:r>
      <w:r w:rsidRPr="00F459E1" w:rsidR="00865988">
        <w:rPr>
          <w:rFonts w:ascii="Times New Roman" w:hAnsi="Times New Roman" w:cs="Times New Roman"/>
        </w:rPr>
        <w:t xml:space="preserve"> within 10 days following the expiration of the removal, replacement, and disposal term</w:t>
      </w:r>
      <w:r w:rsidRPr="00F459E1" w:rsidR="004D3D1B">
        <w:rPr>
          <w:rFonts w:ascii="Times New Roman" w:hAnsi="Times New Roman" w:cs="Times New Roman"/>
        </w:rPr>
        <w:t>.</w:t>
      </w:r>
    </w:p>
    <w:p w:rsidR="001F5234" w:rsidRPr="00F459E1" w:rsidP="004D3D1B" w14:paraId="51C7B816" w14:textId="77777777">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The recipient must indicate</w:t>
      </w:r>
      <w:r w:rsidRPr="00F459E1">
        <w:rPr>
          <w:rFonts w:ascii="Times New Roman" w:hAnsi="Times New Roman" w:cs="Times New Roman"/>
        </w:rPr>
        <w:t xml:space="preserve"> the following: </w:t>
      </w:r>
    </w:p>
    <w:p w:rsidR="001F5234" w:rsidRPr="00F459E1" w:rsidP="001F5234" w14:paraId="58B3CD26" w14:textId="391E27A6">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 xml:space="preserve">Whether </w:t>
      </w:r>
      <w:r w:rsidRPr="00F459E1" w:rsidR="004D3D1B">
        <w:rPr>
          <w:rFonts w:ascii="Times New Roman" w:hAnsi="Times New Roman" w:cs="Times New Roman"/>
        </w:rPr>
        <w:t xml:space="preserve">it has fully complied with (or is in the process of complying with) all terms and conditions of the Reimbursement Program and the commitments made in the application of the recipient for the </w:t>
      </w:r>
      <w:r w:rsidRPr="00F459E1" w:rsidR="004F0079">
        <w:rPr>
          <w:rFonts w:ascii="Times New Roman" w:hAnsi="Times New Roman" w:cs="Times New Roman"/>
        </w:rPr>
        <w:t>reimbursement.</w:t>
      </w:r>
    </w:p>
    <w:p w:rsidR="001F5234" w:rsidRPr="00F459E1" w:rsidP="001F5234" w14:paraId="6D786D41" w14:textId="2C92C64B">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H</w:t>
      </w:r>
      <w:r w:rsidRPr="00F459E1" w:rsidR="004D3D1B">
        <w:rPr>
          <w:rFonts w:ascii="Times New Roman" w:hAnsi="Times New Roman" w:cs="Times New Roman"/>
        </w:rPr>
        <w:t xml:space="preserve">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w:t>
      </w:r>
      <w:r w:rsidRPr="00F459E1" w:rsidR="004F0079">
        <w:rPr>
          <w:rFonts w:ascii="Times New Roman" w:hAnsi="Times New Roman" w:cs="Times New Roman"/>
        </w:rPr>
        <w:t>reimbursement.</w:t>
      </w:r>
    </w:p>
    <w:p w:rsidR="004D3D1B" w:rsidRPr="00F459E1" w:rsidP="005A5DFD" w14:paraId="65CF150F" w14:textId="4C171523">
      <w:pPr>
        <w:pStyle w:val="ListParagraph"/>
        <w:numPr>
          <w:ilvl w:val="1"/>
          <w:numId w:val="19"/>
        </w:numPr>
        <w:spacing w:after="220" w:line="240" w:lineRule="auto"/>
        <w:rPr>
          <w:rFonts w:ascii="Times New Roman" w:hAnsi="Times New Roman" w:cs="Times New Roman"/>
        </w:rPr>
      </w:pPr>
      <w:r w:rsidRPr="00F459E1">
        <w:rPr>
          <w:rFonts w:ascii="Times New Roman" w:hAnsi="Times New Roman" w:cs="Times New Roman"/>
        </w:rPr>
        <w:t>H</w:t>
      </w:r>
      <w:r w:rsidRPr="00F459E1">
        <w:rPr>
          <w:rFonts w:ascii="Times New Roman" w:hAnsi="Times New Roman" w:cs="Times New Roman"/>
        </w:rPr>
        <w:t>as fully complied with (or is in the process of complying with) the timeline submitted by the recipient.  The recipient will also be required to submit an updated certification if at the time the final certification is filed, the recipient has not fully complied with its obligations under the Reimbursement Program.</w:t>
      </w:r>
    </w:p>
    <w:p w:rsidR="004F0079" w:rsidRPr="00F459E1" w:rsidP="004F0079" w14:paraId="10F19D40" w14:textId="6EDC9F43">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spacing w:val="-2"/>
        </w:rPr>
        <w:t>If the recipient’s certification notes that it has not fully complied with t</w:t>
      </w:r>
      <w:r w:rsidRPr="00F459E1" w:rsidR="00A839F0">
        <w:rPr>
          <w:rFonts w:ascii="Times New Roman" w:hAnsi="Times New Roman" w:cs="Times New Roman"/>
          <w:spacing w:val="-2"/>
        </w:rPr>
        <w:t xml:space="preserve">he removal, replacement, and disposal </w:t>
      </w:r>
      <w:r w:rsidRPr="00F459E1" w:rsidR="0082130A">
        <w:rPr>
          <w:rFonts w:ascii="Times New Roman" w:hAnsi="Times New Roman" w:cs="Times New Roman"/>
          <w:spacing w:val="-2"/>
        </w:rPr>
        <w:t>of the covered equipment or service</w:t>
      </w:r>
      <w:r w:rsidRPr="00F459E1" w:rsidR="00A23A8A">
        <w:rPr>
          <w:rFonts w:ascii="Times New Roman" w:hAnsi="Times New Roman" w:cs="Times New Roman"/>
          <w:spacing w:val="-2"/>
        </w:rPr>
        <w:t xml:space="preserve"> as required, then the recipient must file an updated certification when the recipient has fully complied. </w:t>
      </w:r>
    </w:p>
    <w:p w:rsidR="00890A53" w:rsidRPr="00F459E1" w:rsidP="00890A53" w14:paraId="20D6BD23" w14:textId="77777777">
      <w:pPr>
        <w:pStyle w:val="ListParagraph"/>
        <w:spacing w:after="220" w:line="240" w:lineRule="auto"/>
        <w:rPr>
          <w:rFonts w:ascii="Times New Roman" w:hAnsi="Times New Roman" w:cs="Times New Roman"/>
        </w:rPr>
      </w:pPr>
    </w:p>
    <w:p w:rsidR="00890A53" w:rsidRPr="00F459E1" w:rsidP="00F442F3" w14:paraId="4FD860EF" w14:textId="270C1F2D">
      <w:pPr>
        <w:pStyle w:val="ListParagraph"/>
        <w:numPr>
          <w:ilvl w:val="0"/>
          <w:numId w:val="27"/>
        </w:numPr>
        <w:spacing w:after="220" w:line="240" w:lineRule="auto"/>
        <w:ind w:left="1440"/>
        <w:rPr>
          <w:rFonts w:ascii="Times New Roman" w:hAnsi="Times New Roman" w:cs="Times New Roman"/>
          <w:b/>
          <w:bCs/>
        </w:rPr>
      </w:pPr>
      <w:r w:rsidRPr="00F459E1">
        <w:rPr>
          <w:rFonts w:ascii="Times New Roman" w:hAnsi="Times New Roman" w:cs="Times New Roman"/>
          <w:b/>
          <w:bCs/>
        </w:rPr>
        <w:t>Document Retention</w:t>
      </w:r>
    </w:p>
    <w:p w:rsidR="001F5234" w:rsidRPr="00F459E1" w:rsidP="00132F1A" w14:paraId="70918E4D" w14:textId="77777777">
      <w:pPr>
        <w:pStyle w:val="ListParagraph"/>
        <w:spacing w:after="220" w:line="240" w:lineRule="auto"/>
        <w:ind w:left="0"/>
        <w:rPr>
          <w:rFonts w:ascii="Times New Roman" w:hAnsi="Times New Roman" w:cs="Times New Roman"/>
        </w:rPr>
      </w:pPr>
    </w:p>
    <w:p w:rsidR="00BF58B4" w:rsidRPr="00F459E1" w:rsidP="006E216D" w14:paraId="3EE050A2" w14:textId="77777777">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R</w:t>
      </w:r>
      <w:r w:rsidRPr="00F459E1" w:rsidR="004D3D1B">
        <w:rPr>
          <w:rFonts w:ascii="Times New Roman" w:hAnsi="Times New Roman" w:cs="Times New Roman"/>
        </w:rPr>
        <w:t xml:space="preserve">ecipients </w:t>
      </w:r>
      <w:r w:rsidRPr="00F459E1">
        <w:rPr>
          <w:rFonts w:ascii="Times New Roman" w:hAnsi="Times New Roman" w:cs="Times New Roman"/>
        </w:rPr>
        <w:t>must</w:t>
      </w:r>
      <w:r w:rsidRPr="00F459E1" w:rsidR="004D3D1B">
        <w:rPr>
          <w:rFonts w:ascii="Times New Roman" w:hAnsi="Times New Roman" w:cs="Times New Roman"/>
        </w:rPr>
        <w:t xml:space="preserve"> retain all relevant documents, including invoices and receipts, pertaining to all costs eligible for reimbursement actually incurred during the removal, replacement, and disposal process. </w:t>
      </w:r>
    </w:p>
    <w:p w:rsidR="008A7CFA" w:rsidRPr="00F459E1" w:rsidP="006E216D" w14:paraId="256274B7" w14:textId="40F98B71">
      <w:pPr>
        <w:pStyle w:val="ListParagraph"/>
        <w:numPr>
          <w:ilvl w:val="0"/>
          <w:numId w:val="19"/>
        </w:numPr>
        <w:spacing w:after="220" w:line="240" w:lineRule="auto"/>
        <w:rPr>
          <w:rFonts w:ascii="Times New Roman" w:hAnsi="Times New Roman" w:cs="Times New Roman"/>
        </w:rPr>
      </w:pPr>
      <w:r w:rsidRPr="00F459E1">
        <w:rPr>
          <w:rFonts w:ascii="Times New Roman" w:hAnsi="Times New Roman" w:cs="Times New Roman"/>
        </w:rPr>
        <w:t xml:space="preserve">Recipients must retain the documentation for a period of 10 years after the date the final disbursement payment is received from the Reimbursement Program. </w:t>
      </w:r>
    </w:p>
    <w:p w:rsidR="003D47C2" w:rsidRPr="00F459E1" w:rsidP="003D47C2" w14:paraId="406740C6" w14:textId="77777777">
      <w:pPr>
        <w:pStyle w:val="ListParagraph"/>
        <w:spacing w:after="220" w:line="240" w:lineRule="auto"/>
        <w:rPr>
          <w:rFonts w:ascii="Times New Roman" w:hAnsi="Times New Roman" w:cs="Times New Roman"/>
        </w:rPr>
      </w:pPr>
    </w:p>
    <w:p w:rsidR="003D47C2" w:rsidRPr="00F459E1" w:rsidP="00F442F3" w14:paraId="70DEF96C" w14:textId="1C0C10D4">
      <w:pPr>
        <w:pStyle w:val="ListParagraph"/>
        <w:numPr>
          <w:ilvl w:val="0"/>
          <w:numId w:val="27"/>
        </w:numPr>
        <w:spacing w:after="220" w:line="240" w:lineRule="auto"/>
        <w:ind w:left="1440"/>
        <w:rPr>
          <w:rFonts w:ascii="Times New Roman" w:hAnsi="Times New Roman" w:cs="Times New Roman"/>
          <w:b/>
          <w:bCs/>
        </w:rPr>
      </w:pPr>
      <w:r w:rsidRPr="00F459E1">
        <w:rPr>
          <w:rFonts w:ascii="Times New Roman" w:hAnsi="Times New Roman" w:cs="Times New Roman"/>
          <w:b/>
          <w:bCs/>
        </w:rPr>
        <w:t>Audits, Reviews and Field Investigations</w:t>
      </w:r>
    </w:p>
    <w:p w:rsidR="003D47C2" w:rsidRPr="00132F1A" w:rsidP="00132F1A" w14:paraId="15EE4D4A" w14:textId="77777777">
      <w:pPr>
        <w:pStyle w:val="ListParagraph"/>
        <w:spacing w:after="220" w:line="240" w:lineRule="auto"/>
        <w:ind w:left="0"/>
        <w:rPr>
          <w:rFonts w:ascii="Times New Roman" w:hAnsi="Times New Roman" w:cs="Times New Roman"/>
        </w:rPr>
      </w:pPr>
    </w:p>
    <w:p w:rsidR="003D47C2" w:rsidRPr="000D6D8C" w:rsidP="003D47C2" w14:paraId="1B6B058F" w14:textId="0A708327">
      <w:pPr>
        <w:pStyle w:val="ListParagraph"/>
        <w:numPr>
          <w:ilvl w:val="0"/>
          <w:numId w:val="31"/>
        </w:numPr>
        <w:spacing w:after="220" w:line="240" w:lineRule="auto"/>
        <w:rPr>
          <w:rFonts w:ascii="Times New Roman" w:hAnsi="Times New Roman" w:cs="Times New Roman"/>
        </w:rPr>
      </w:pPr>
      <w:r w:rsidRPr="00F459E1">
        <w:rPr>
          <w:rFonts w:ascii="Times New Roman" w:hAnsi="Times New Roman" w:cs="Times New Roman"/>
        </w:rPr>
        <w:t xml:space="preserve">Recipients </w:t>
      </w:r>
      <w:r w:rsidRPr="00F459E1" w:rsidR="00B139E2">
        <w:rPr>
          <w:rFonts w:ascii="Times New Roman" w:hAnsi="Times New Roman" w:cs="Times New Roman"/>
        </w:rPr>
        <w:t>will be subject to audits and investigations for purposes of evaluating the compliance with the statutory and regulatory requirements of the Reimbursement Program.</w:t>
      </w:r>
    </w:p>
    <w:p w:rsidR="004E5B80" w:rsidRPr="000D6D8C" w:rsidP="003D47C2" w14:paraId="6BFC5753" w14:textId="19641ADB">
      <w:pPr>
        <w:pStyle w:val="ListParagraph"/>
        <w:numPr>
          <w:ilvl w:val="0"/>
          <w:numId w:val="31"/>
        </w:numPr>
        <w:spacing w:after="220" w:line="240" w:lineRule="auto"/>
        <w:rPr>
          <w:rFonts w:ascii="Times New Roman" w:hAnsi="Times New Roman" w:cs="Times New Roman"/>
        </w:rPr>
      </w:pPr>
      <w:r w:rsidRPr="00F459E1">
        <w:rPr>
          <w:rFonts w:ascii="Times New Roman" w:hAnsi="Times New Roman" w:cs="Times New Roman"/>
        </w:rPr>
        <w:t>Recipients must provide consent to allow vendors or contractors used by the recipients to release confidential information to auditors, reviewers or other representatives.</w:t>
      </w:r>
    </w:p>
    <w:p w:rsidR="004E70F3" w:rsidP="00F442F3" w14:paraId="21F888BE" w14:textId="1535FEE1">
      <w:pPr>
        <w:pStyle w:val="ListParagraph"/>
        <w:numPr>
          <w:ilvl w:val="0"/>
          <w:numId w:val="31"/>
        </w:numPr>
        <w:spacing w:after="220" w:line="240" w:lineRule="auto"/>
        <w:rPr>
          <w:rFonts w:ascii="Times New Roman" w:hAnsi="Times New Roman" w:cs="Times New Roman"/>
        </w:rPr>
      </w:pPr>
      <w:r w:rsidRPr="00F459E1">
        <w:rPr>
          <w:rFonts w:ascii="Times New Roman" w:hAnsi="Times New Roman" w:cs="Times New Roman"/>
        </w:rPr>
        <w:t>Recipients must allow any representative appointed by the Commission to enter their premises to conduct these inspections.</w:t>
      </w:r>
    </w:p>
    <w:p w:rsidR="00F442F3" w:rsidRPr="00F442F3" w:rsidP="00F442F3" w14:paraId="537FA9DF" w14:textId="77777777">
      <w:pPr>
        <w:pStyle w:val="ListParagraph"/>
        <w:spacing w:after="220" w:line="240" w:lineRule="auto"/>
        <w:rPr>
          <w:rFonts w:ascii="Times New Roman" w:hAnsi="Times New Roman" w:cs="Times New Roman"/>
        </w:rPr>
      </w:pPr>
    </w:p>
    <w:p w:rsidR="00BB39F9" w:rsidRPr="00F459E1" w:rsidP="00BB39F9" w14:paraId="644094B8" w14:textId="30058964">
      <w:pPr>
        <w:pStyle w:val="ListParagraph"/>
        <w:numPr>
          <w:ilvl w:val="0"/>
          <w:numId w:val="31"/>
        </w:numPr>
        <w:spacing w:after="220" w:line="240" w:lineRule="auto"/>
        <w:rPr>
          <w:rFonts w:ascii="Times New Roman" w:hAnsi="Times New Roman" w:cs="Times New Roman"/>
          <w:b/>
          <w:bCs/>
        </w:rPr>
      </w:pPr>
      <w:r w:rsidRPr="00F459E1">
        <w:rPr>
          <w:rFonts w:ascii="Times New Roman" w:hAnsi="Times New Roman" w:cs="Times New Roman"/>
          <w:b/>
          <w:bCs/>
        </w:rPr>
        <w:t xml:space="preserve">Enforcement of Statutory and Regulatory Provisions (47 CFR </w:t>
      </w:r>
      <w:r w:rsidRPr="00F459E1">
        <w:rPr>
          <w:rFonts w:ascii="Times New Roman" w:hAnsi="Times New Roman" w:cs="Times New Roman"/>
          <w:b/>
          <w:iCs/>
        </w:rPr>
        <w:t>§ 1.50005</w:t>
      </w:r>
      <w:r w:rsidRPr="00F459E1">
        <w:rPr>
          <w:rFonts w:ascii="Times New Roman" w:hAnsi="Times New Roman" w:cs="Times New Roman"/>
          <w:b/>
          <w:iCs/>
        </w:rPr>
        <w:t>)</w:t>
      </w:r>
    </w:p>
    <w:p w:rsidR="00BB39F9" w:rsidRPr="00132F1A" w:rsidP="00BB39F9" w14:paraId="5F7494CC" w14:textId="5DA4F7ED">
      <w:pPr>
        <w:pStyle w:val="ListParagraph"/>
        <w:spacing w:after="220" w:line="240" w:lineRule="auto"/>
        <w:rPr>
          <w:rFonts w:ascii="Times New Roman" w:hAnsi="Times New Roman" w:cs="Times New Roman"/>
        </w:rPr>
      </w:pPr>
    </w:p>
    <w:p w:rsidR="003B7A84" w:rsidRPr="000D6D8C" w:rsidP="00026BA6" w14:paraId="0BBA96D3" w14:textId="77777777">
      <w:pPr>
        <w:pStyle w:val="ListParagraph"/>
        <w:numPr>
          <w:ilvl w:val="1"/>
          <w:numId w:val="31"/>
        </w:numPr>
        <w:spacing w:after="220" w:line="240" w:lineRule="auto"/>
        <w:rPr>
          <w:rFonts w:ascii="Times New Roman" w:hAnsi="Times New Roman" w:cs="Times New Roman"/>
        </w:rPr>
      </w:pPr>
      <w:r w:rsidRPr="00F459E1">
        <w:rPr>
          <w:rFonts w:ascii="Times New Roman" w:hAnsi="Times New Roman" w:cs="Times New Roman"/>
        </w:rPr>
        <w:t xml:space="preserve">If a recipient violates </w:t>
      </w:r>
      <w:r w:rsidRPr="00F459E1" w:rsidR="0049791E">
        <w:rPr>
          <w:rFonts w:ascii="Times New Roman" w:hAnsi="Times New Roman" w:cs="Times New Roman"/>
        </w:rPr>
        <w:t xml:space="preserve">the statutory provisions of the Secure Networks Act, </w:t>
      </w:r>
      <w:r w:rsidRPr="00F459E1">
        <w:rPr>
          <w:rFonts w:ascii="Times New Roman" w:hAnsi="Times New Roman" w:cs="Times New Roman"/>
        </w:rPr>
        <w:t>the following actions will apply:</w:t>
      </w:r>
      <w:r w:rsidRPr="00F459E1" w:rsidR="0049791E">
        <w:rPr>
          <w:rFonts w:ascii="Times New Roman" w:hAnsi="Times New Roman" w:cs="Times New Roman"/>
        </w:rPr>
        <w:t xml:space="preserve"> </w:t>
      </w:r>
    </w:p>
    <w:p w:rsidR="003B7A84" w:rsidRPr="000D6D8C" w:rsidP="00026BA6" w14:paraId="371D7350" w14:textId="03313BBD">
      <w:pPr>
        <w:pStyle w:val="ListParagraph"/>
        <w:numPr>
          <w:ilvl w:val="2"/>
          <w:numId w:val="31"/>
        </w:numPr>
        <w:spacing w:after="220" w:line="240" w:lineRule="auto"/>
        <w:rPr>
          <w:rFonts w:ascii="Times New Roman" w:hAnsi="Times New Roman" w:cs="Times New Roman"/>
        </w:rPr>
      </w:pPr>
      <w:r w:rsidRPr="00F459E1">
        <w:rPr>
          <w:rFonts w:ascii="Times New Roman" w:hAnsi="Times New Roman" w:cs="Times New Roman"/>
        </w:rPr>
        <w:t>R</w:t>
      </w:r>
      <w:r w:rsidRPr="00F459E1" w:rsidR="0049791E">
        <w:rPr>
          <w:rFonts w:ascii="Times New Roman" w:hAnsi="Times New Roman" w:cs="Times New Roman"/>
        </w:rPr>
        <w:t>epay the Commission all funds provided under the Reimbursement Program.</w:t>
      </w:r>
    </w:p>
    <w:p w:rsidR="0049791E" w:rsidRPr="000D6D8C" w:rsidP="00026BA6" w14:paraId="156D4EF4" w14:textId="12CD7C08">
      <w:pPr>
        <w:pStyle w:val="ListParagraph"/>
        <w:numPr>
          <w:ilvl w:val="2"/>
          <w:numId w:val="31"/>
        </w:numPr>
        <w:spacing w:after="220" w:line="240" w:lineRule="auto"/>
        <w:rPr>
          <w:rFonts w:ascii="Times New Roman" w:hAnsi="Times New Roman" w:cs="Times New Roman"/>
        </w:rPr>
      </w:pPr>
      <w:r w:rsidRPr="00F459E1">
        <w:rPr>
          <w:rFonts w:ascii="Times New Roman" w:hAnsi="Times New Roman" w:cs="Times New Roman"/>
        </w:rPr>
        <w:t>The recipient will also be barred from further participation in the Program.</w:t>
      </w:r>
    </w:p>
    <w:p w:rsidR="003B7A84" w:rsidRPr="000D6D8C" w:rsidP="00026BA6" w14:paraId="2F84563A" w14:textId="6D41E65A">
      <w:pPr>
        <w:pStyle w:val="ListParagraph"/>
        <w:numPr>
          <w:ilvl w:val="2"/>
          <w:numId w:val="31"/>
        </w:numPr>
        <w:spacing w:after="220" w:line="240" w:lineRule="auto"/>
        <w:rPr>
          <w:rFonts w:ascii="Times New Roman" w:hAnsi="Times New Roman" w:cs="Times New Roman"/>
        </w:rPr>
      </w:pPr>
      <w:r w:rsidRPr="00F459E1">
        <w:rPr>
          <w:rFonts w:ascii="Times New Roman" w:hAnsi="Times New Roman" w:cs="Times New Roman"/>
        </w:rPr>
        <w:t>Will be referred to appropriate law enforcement agencies or officials under applicable criminal and civil law</w:t>
      </w:r>
      <w:r w:rsidRPr="000D6D8C">
        <w:rPr>
          <w:rFonts w:ascii="Times New Roman" w:hAnsi="Times New Roman" w:cs="Times New Roman"/>
        </w:rPr>
        <w:t>.</w:t>
      </w:r>
    </w:p>
    <w:p w:rsidR="003B7A84" w:rsidRPr="000D6D8C" w:rsidP="00026BA6" w14:paraId="142F086E" w14:textId="78878CCB">
      <w:pPr>
        <w:pStyle w:val="ListParagraph"/>
        <w:numPr>
          <w:ilvl w:val="2"/>
          <w:numId w:val="31"/>
        </w:numPr>
        <w:spacing w:after="220" w:line="240" w:lineRule="auto"/>
        <w:rPr>
          <w:rFonts w:ascii="Times New Roman" w:hAnsi="Times New Roman" w:cs="Times New Roman"/>
        </w:rPr>
      </w:pPr>
      <w:r w:rsidRPr="00F459E1">
        <w:rPr>
          <w:rFonts w:ascii="Times New Roman" w:hAnsi="Times New Roman" w:cs="Times New Roman"/>
        </w:rPr>
        <w:t>May be barred by the Commission from participation in other programs of the Commission, including USF support.</w:t>
      </w:r>
    </w:p>
    <w:p w:rsidR="006E216D" w:rsidRPr="000D6D8C" w:rsidP="00026BA6" w14:paraId="396C7803" w14:textId="59A5FF42">
      <w:pPr>
        <w:pStyle w:val="ListParagraph"/>
        <w:numPr>
          <w:ilvl w:val="1"/>
          <w:numId w:val="31"/>
        </w:numPr>
        <w:spacing w:after="220" w:line="240" w:lineRule="auto"/>
        <w:rPr>
          <w:rFonts w:ascii="Times New Roman" w:hAnsi="Times New Roman" w:cs="Times New Roman"/>
        </w:rPr>
      </w:pPr>
      <w:r w:rsidRPr="00F459E1">
        <w:rPr>
          <w:rFonts w:ascii="Times New Roman" w:hAnsi="Times New Roman" w:cs="Times New Roman"/>
        </w:rPr>
        <w:t>Fo</w:t>
      </w:r>
      <w:r w:rsidRPr="00F459E1" w:rsidR="008A6F83">
        <w:rPr>
          <w:rFonts w:ascii="Times New Roman" w:hAnsi="Times New Roman" w:cs="Times New Roman"/>
        </w:rPr>
        <w:t>r the above actions to apply, r</w:t>
      </w:r>
      <w:r w:rsidRPr="00F459E1">
        <w:rPr>
          <w:rFonts w:ascii="Times New Roman" w:hAnsi="Times New Roman" w:cs="Times New Roman"/>
        </w:rPr>
        <w:t xml:space="preserve">ecipients </w:t>
      </w:r>
      <w:r w:rsidRPr="00F459E1" w:rsidR="008A6F83">
        <w:rPr>
          <w:rFonts w:ascii="Times New Roman" w:hAnsi="Times New Roman" w:cs="Times New Roman"/>
        </w:rPr>
        <w:t xml:space="preserve">must </w:t>
      </w:r>
      <w:r w:rsidRPr="00F459E1">
        <w:rPr>
          <w:rFonts w:ascii="Times New Roman" w:hAnsi="Times New Roman" w:cs="Times New Roman"/>
        </w:rPr>
        <w:t xml:space="preserve">be provided a notice of the violation by WCB or the Enforcement Bureau and the </w:t>
      </w:r>
      <w:r w:rsidRPr="00F459E1" w:rsidR="008A6F83">
        <w:rPr>
          <w:rFonts w:ascii="Times New Roman" w:hAnsi="Times New Roman" w:cs="Times New Roman"/>
        </w:rPr>
        <w:t xml:space="preserve">recipient must be provided 180 days to cure the violation. </w:t>
      </w:r>
    </w:p>
    <w:p w:rsidR="00DE567B" w:rsidRPr="00F459E1" w:rsidP="00286EA8" w14:paraId="1759BBF7" w14:textId="11013C2D">
      <w:pPr>
        <w:tabs>
          <w:tab w:val="left" w:pos="720"/>
        </w:tabs>
        <w:spacing w:after="0"/>
        <w:rPr>
          <w:rFonts w:ascii="Times New Roman" w:hAnsi="Times New Roman" w:cs="Times New Roman"/>
          <w:b/>
        </w:rPr>
      </w:pPr>
      <w:r w:rsidRPr="00F459E1">
        <w:rPr>
          <w:rFonts w:ascii="Times New Roman" w:hAnsi="Times New Roman" w:cs="Times New Roman"/>
          <w:b/>
        </w:rPr>
        <w:t>I</w:t>
      </w:r>
      <w:r w:rsidRPr="00F459E1" w:rsidR="00BA1697">
        <w:rPr>
          <w:rFonts w:ascii="Times New Roman" w:hAnsi="Times New Roman" w:cs="Times New Roman"/>
          <w:b/>
        </w:rPr>
        <w:t>II.</w:t>
      </w:r>
      <w:r w:rsidRPr="00F459E1" w:rsidR="00286EA8">
        <w:rPr>
          <w:rFonts w:ascii="Times New Roman" w:hAnsi="Times New Roman" w:cs="Times New Roman"/>
          <w:b/>
        </w:rPr>
        <w:tab/>
      </w:r>
      <w:r w:rsidRPr="00F459E1">
        <w:rPr>
          <w:rFonts w:ascii="Times New Roman" w:hAnsi="Times New Roman" w:cs="Times New Roman"/>
          <w:b/>
        </w:rPr>
        <w:t xml:space="preserve">RECORDKEEPING </w:t>
      </w:r>
      <w:r w:rsidRPr="00F459E1" w:rsidR="00292357">
        <w:rPr>
          <w:rFonts w:ascii="Times New Roman" w:hAnsi="Times New Roman" w:cs="Times New Roman"/>
          <w:b/>
        </w:rPr>
        <w:t xml:space="preserve">AND REPORTING </w:t>
      </w:r>
      <w:r w:rsidRPr="00F459E1">
        <w:rPr>
          <w:rFonts w:ascii="Times New Roman" w:hAnsi="Times New Roman" w:cs="Times New Roman"/>
          <w:b/>
        </w:rPr>
        <w:t>REQUIREMENTS</w:t>
      </w:r>
    </w:p>
    <w:p w:rsidR="00066CB4" w:rsidRPr="000D6D8C" w:rsidP="007F0A80" w14:paraId="3E0A6247" w14:textId="77777777">
      <w:pPr>
        <w:spacing w:after="0"/>
        <w:rPr>
          <w:rFonts w:ascii="Times New Roman" w:hAnsi="Times New Roman" w:cs="Times New Roman"/>
          <w:bCs/>
        </w:rPr>
      </w:pPr>
    </w:p>
    <w:p w:rsidR="00701319" w:rsidRPr="00F459E1" w:rsidP="00511023" w14:paraId="06636272" w14:textId="480D5D55">
      <w:pPr>
        <w:pStyle w:val="ParaNumCharChar"/>
        <w:tabs>
          <w:tab w:val="left" w:pos="720"/>
          <w:tab w:val="clear" w:pos="1080"/>
          <w:tab w:val="clear" w:pos="1440"/>
        </w:tabs>
        <w:ind w:firstLine="0"/>
      </w:pPr>
      <w:r w:rsidRPr="00F459E1">
        <w:t>The</w:t>
      </w:r>
      <w:r w:rsidRPr="00F459E1" w:rsidR="001003AD">
        <w:t xml:space="preserve"> </w:t>
      </w:r>
      <w:r w:rsidRPr="00F459E1" w:rsidR="001003AD">
        <w:rPr>
          <w:i/>
          <w:iCs/>
        </w:rPr>
        <w:t>Second Report and Order</w:t>
      </w:r>
      <w:r w:rsidRPr="00F459E1" w:rsidR="004E70F3">
        <w:t xml:space="preserve"> contain</w:t>
      </w:r>
      <w:r w:rsidRPr="00F459E1" w:rsidR="00E851D5">
        <w:t>s</w:t>
      </w:r>
      <w:r w:rsidRPr="00F459E1" w:rsidR="004E70F3">
        <w:t xml:space="preserve"> </w:t>
      </w:r>
      <w:r w:rsidRPr="00F459E1">
        <w:t>new inform</w:t>
      </w:r>
      <w:r w:rsidRPr="00F459E1" w:rsidR="00DA6B99">
        <w:t>ation collection requirements</w:t>
      </w:r>
      <w:r w:rsidRPr="00F459E1" w:rsidR="00173AB8">
        <w:t xml:space="preserve"> </w:t>
      </w:r>
      <w:r w:rsidRPr="00F459E1" w:rsidR="001003AD">
        <w:t>applicable to all advanced communication service providers</w:t>
      </w:r>
      <w:r w:rsidRPr="00F459E1" w:rsidR="004E70F3">
        <w:t>,</w:t>
      </w:r>
      <w:r w:rsidRPr="00F459E1" w:rsidR="001003AD">
        <w:t xml:space="preserve"> as dictated by Section 5 of the Secure Networks Act.</w:t>
      </w:r>
    </w:p>
    <w:p w:rsidR="001003AD" w:rsidRPr="00F459E1" w:rsidP="001003AD" w14:paraId="22C5D9AD" w14:textId="7E0B814B">
      <w:pPr>
        <w:pStyle w:val="ListParagraph"/>
        <w:numPr>
          <w:ilvl w:val="0"/>
          <w:numId w:val="31"/>
        </w:numPr>
        <w:spacing w:after="220" w:line="240" w:lineRule="auto"/>
        <w:rPr>
          <w:rFonts w:ascii="Times New Roman" w:hAnsi="Times New Roman" w:cs="Times New Roman"/>
          <w:b/>
          <w:bCs/>
        </w:rPr>
      </w:pPr>
      <w:r w:rsidRPr="00F459E1">
        <w:rPr>
          <w:rFonts w:ascii="Times New Roman" w:hAnsi="Times New Roman" w:cs="Times New Roman"/>
          <w:b/>
          <w:bCs/>
        </w:rPr>
        <w:t xml:space="preserve">Reporting Requirements for Advanced Communication Service Providers (47 CFR </w:t>
      </w:r>
      <w:r w:rsidRPr="00F459E1">
        <w:rPr>
          <w:rFonts w:ascii="Times New Roman" w:hAnsi="Times New Roman" w:cs="Times New Roman"/>
          <w:b/>
          <w:iCs/>
        </w:rPr>
        <w:t>§</w:t>
      </w:r>
      <w:r w:rsidR="000D6D8C">
        <w:rPr>
          <w:rFonts w:ascii="Times New Roman" w:hAnsi="Times New Roman" w:cs="Times New Roman"/>
          <w:b/>
          <w:iCs/>
        </w:rPr>
        <w:t> </w:t>
      </w:r>
      <w:r w:rsidRPr="00F459E1">
        <w:rPr>
          <w:rFonts w:ascii="Times New Roman" w:hAnsi="Times New Roman" w:cs="Times New Roman"/>
          <w:b/>
          <w:iCs/>
        </w:rPr>
        <w:t>1.50007)</w:t>
      </w:r>
    </w:p>
    <w:p w:rsidR="001003AD" w:rsidRPr="00F459E1" w:rsidP="001003AD" w14:paraId="1B3C83DD" w14:textId="77777777">
      <w:pPr>
        <w:pStyle w:val="ListParagraph"/>
        <w:rPr>
          <w:rFonts w:ascii="Times New Roman" w:hAnsi="Times New Roman" w:cs="Times New Roman"/>
        </w:rPr>
      </w:pPr>
    </w:p>
    <w:p w:rsidR="001003AD" w:rsidRPr="008D435D" w:rsidP="00026BA6" w14:paraId="398F93C2" w14:textId="12C5BA26">
      <w:pPr>
        <w:pStyle w:val="ListParagraph"/>
        <w:numPr>
          <w:ilvl w:val="1"/>
          <w:numId w:val="31"/>
        </w:numPr>
        <w:spacing w:after="220" w:line="240" w:lineRule="auto"/>
        <w:rPr>
          <w:rFonts w:ascii="Times New Roman" w:hAnsi="Times New Roman" w:cs="Times New Roman"/>
        </w:rPr>
      </w:pPr>
      <w:r w:rsidRPr="00F459E1">
        <w:rPr>
          <w:rFonts w:ascii="Times New Roman" w:hAnsi="Times New Roman" w:cs="Times New Roman"/>
        </w:rPr>
        <w:t xml:space="preserve">All advanced communication service providers must submit an annual report identifying whether </w:t>
      </w:r>
      <w:r w:rsidRPr="00F459E1" w:rsidR="004E70F3">
        <w:rPr>
          <w:rFonts w:ascii="Times New Roman" w:hAnsi="Times New Roman" w:cs="Times New Roman"/>
        </w:rPr>
        <w:t>they have any covered equipment and services listed on the Covered List</w:t>
      </w:r>
      <w:r w:rsidRPr="00F459E1">
        <w:rPr>
          <w:rFonts w:ascii="Times New Roman" w:hAnsi="Times New Roman" w:cs="Times New Roman"/>
        </w:rPr>
        <w:t xml:space="preserve">. </w:t>
      </w:r>
    </w:p>
    <w:p w:rsidR="001003AD" w:rsidRPr="00F459E1" w:rsidP="00026BA6" w14:paraId="221FD087" w14:textId="696BE986">
      <w:pPr>
        <w:pStyle w:val="ListParagraph"/>
        <w:numPr>
          <w:ilvl w:val="2"/>
          <w:numId w:val="31"/>
        </w:numPr>
        <w:spacing w:after="0"/>
        <w:rPr>
          <w:rFonts w:ascii="Times New Roman" w:hAnsi="Times New Roman" w:cs="Times New Roman"/>
          <w:b/>
          <w:bCs/>
        </w:rPr>
      </w:pPr>
      <w:r w:rsidRPr="00F459E1">
        <w:rPr>
          <w:rFonts w:ascii="Times New Roman" w:hAnsi="Times New Roman" w:cs="Times New Roman"/>
        </w:rPr>
        <w:t>Advanced communications service is defined as high-speed, switched, broadband telecommunications capability that enables users to originate and receive high-quality voice, data, graphics, and video telecommunications using any technology with connection speeds of at least 200 kbps in either direction. (47</w:t>
      </w:r>
      <w:r w:rsidR="00697C01">
        <w:rPr>
          <w:rFonts w:ascii="Times New Roman" w:hAnsi="Times New Roman" w:cs="Times New Roman"/>
        </w:rPr>
        <w:t> </w:t>
      </w:r>
      <w:r w:rsidRPr="00F459E1">
        <w:rPr>
          <w:rFonts w:ascii="Times New Roman" w:hAnsi="Times New Roman" w:cs="Times New Roman"/>
        </w:rPr>
        <w:t xml:space="preserve">CFR </w:t>
      </w:r>
      <w:r w:rsidRPr="00F459E1">
        <w:rPr>
          <w:rFonts w:ascii="Times New Roman" w:hAnsi="Times New Roman" w:cs="Times New Roman"/>
          <w:iCs/>
        </w:rPr>
        <w:t>§ 1.50001(a))</w:t>
      </w:r>
    </w:p>
    <w:p w:rsidR="001003AD" w:rsidRPr="00697C01" w:rsidP="00026BA6" w14:paraId="143430D5" w14:textId="77777777">
      <w:pPr>
        <w:pStyle w:val="ListParagraph"/>
        <w:numPr>
          <w:ilvl w:val="1"/>
          <w:numId w:val="31"/>
        </w:numPr>
        <w:spacing w:after="220" w:line="240" w:lineRule="auto"/>
        <w:rPr>
          <w:rFonts w:ascii="Times New Roman" w:hAnsi="Times New Roman" w:cs="Times New Roman"/>
        </w:rPr>
      </w:pPr>
      <w:r w:rsidRPr="00F459E1">
        <w:rPr>
          <w:rFonts w:ascii="Times New Roman" w:hAnsi="Times New Roman" w:cs="Times New Roman"/>
        </w:rPr>
        <w:t xml:space="preserve">If the provider does have any covered equipment and services, it must submit a detailed justification as to the reasons for acquiring such equipment and services. </w:t>
      </w:r>
    </w:p>
    <w:p w:rsidR="001003AD" w:rsidRPr="008D435D" w:rsidP="00026BA6" w14:paraId="314225A2" w14:textId="311116E4">
      <w:pPr>
        <w:pStyle w:val="ListParagraph"/>
        <w:numPr>
          <w:ilvl w:val="1"/>
          <w:numId w:val="31"/>
        </w:numPr>
        <w:spacing w:after="220" w:line="240" w:lineRule="auto"/>
        <w:rPr>
          <w:rFonts w:ascii="Times New Roman" w:hAnsi="Times New Roman" w:cs="Times New Roman"/>
        </w:rPr>
      </w:pPr>
      <w:r w:rsidRPr="00F459E1">
        <w:rPr>
          <w:rFonts w:ascii="Times New Roman" w:hAnsi="Times New Roman" w:cs="Times New Roman"/>
        </w:rPr>
        <w:t xml:space="preserve">Providers will need to submit the initial annual report 90 days after the Office of Economics and Analytics issues a </w:t>
      </w:r>
      <w:r w:rsidRPr="00F459E1" w:rsidR="00846943">
        <w:rPr>
          <w:rFonts w:ascii="Times New Roman" w:hAnsi="Times New Roman" w:cs="Times New Roman"/>
        </w:rPr>
        <w:t>P</w:t>
      </w:r>
      <w:r w:rsidRPr="00F459E1">
        <w:rPr>
          <w:rFonts w:ascii="Times New Roman" w:hAnsi="Times New Roman" w:cs="Times New Roman"/>
        </w:rPr>
        <w:t xml:space="preserve">ublic </w:t>
      </w:r>
      <w:r w:rsidRPr="00F459E1" w:rsidR="00846943">
        <w:rPr>
          <w:rFonts w:ascii="Times New Roman" w:hAnsi="Times New Roman" w:cs="Times New Roman"/>
        </w:rPr>
        <w:t>N</w:t>
      </w:r>
      <w:r w:rsidRPr="00F459E1">
        <w:rPr>
          <w:rFonts w:ascii="Times New Roman" w:hAnsi="Times New Roman" w:cs="Times New Roman"/>
        </w:rPr>
        <w:t xml:space="preserve">otice announcing the availability of the reporting platform. </w:t>
      </w:r>
      <w:r w:rsidR="008D435D">
        <w:rPr>
          <w:rFonts w:ascii="Times New Roman" w:hAnsi="Times New Roman" w:cs="Times New Roman"/>
        </w:rPr>
        <w:t xml:space="preserve"> </w:t>
      </w:r>
      <w:r w:rsidRPr="00F459E1">
        <w:rPr>
          <w:rFonts w:ascii="Times New Roman" w:hAnsi="Times New Roman" w:cs="Times New Roman"/>
        </w:rPr>
        <w:t xml:space="preserve">Thereafter, providers will need to submit a report once per year on or before March 31 for the prior year. </w:t>
      </w:r>
    </w:p>
    <w:p w:rsidR="001003AD" w:rsidRPr="008D435D" w:rsidP="00026BA6" w14:paraId="51AA91EA" w14:textId="77A7F780">
      <w:pPr>
        <w:pStyle w:val="ListParagraph"/>
        <w:numPr>
          <w:ilvl w:val="1"/>
          <w:numId w:val="31"/>
        </w:numPr>
        <w:spacing w:after="220" w:line="240" w:lineRule="auto"/>
        <w:rPr>
          <w:rFonts w:ascii="Times New Roman" w:hAnsi="Times New Roman" w:cs="Times New Roman"/>
        </w:rPr>
      </w:pPr>
      <w:r w:rsidRPr="00F459E1">
        <w:rPr>
          <w:rFonts w:ascii="Times New Roman" w:hAnsi="Times New Roman" w:cs="Times New Roman"/>
        </w:rPr>
        <w:t>If the provider certifies that it does not have any covered equipment and services, this provider will not be required to submit any more reports, unless it later purchases, rents, leases or obtains any covered equipment or service.</w:t>
      </w:r>
    </w:p>
    <w:p w:rsidR="00066CB4" w:rsidRPr="00F459E1" w:rsidP="00286EA8" w14:paraId="2F69183C" w14:textId="7612FBF9">
      <w:pPr>
        <w:tabs>
          <w:tab w:val="left" w:pos="720"/>
        </w:tabs>
        <w:spacing w:after="0"/>
        <w:rPr>
          <w:rFonts w:ascii="Times New Roman" w:hAnsi="Times New Roman" w:cs="Times New Roman"/>
          <w:b/>
        </w:rPr>
      </w:pPr>
      <w:r w:rsidRPr="00F459E1">
        <w:rPr>
          <w:rFonts w:ascii="Times New Roman" w:hAnsi="Times New Roman" w:cs="Times New Roman"/>
          <w:b/>
        </w:rPr>
        <w:t>I</w:t>
      </w:r>
      <w:r w:rsidRPr="00F459E1">
        <w:rPr>
          <w:rFonts w:ascii="Times New Roman" w:hAnsi="Times New Roman" w:cs="Times New Roman"/>
          <w:b/>
        </w:rPr>
        <w:t xml:space="preserve">V. </w:t>
      </w:r>
      <w:r w:rsidRPr="00F459E1" w:rsidR="00286EA8">
        <w:rPr>
          <w:rFonts w:ascii="Times New Roman" w:hAnsi="Times New Roman" w:cs="Times New Roman"/>
          <w:b/>
        </w:rPr>
        <w:tab/>
      </w:r>
      <w:r w:rsidRPr="00F459E1">
        <w:rPr>
          <w:rFonts w:ascii="Times New Roman" w:hAnsi="Times New Roman" w:cs="Times New Roman"/>
          <w:b/>
        </w:rPr>
        <w:t>IMPLEMENTATION</w:t>
      </w:r>
      <w:r w:rsidRPr="00F459E1" w:rsidR="00716724">
        <w:rPr>
          <w:rFonts w:ascii="Times New Roman" w:hAnsi="Times New Roman" w:cs="Times New Roman"/>
          <w:b/>
        </w:rPr>
        <w:t xml:space="preserve"> DATE</w:t>
      </w:r>
    </w:p>
    <w:p w:rsidR="00491F77" w:rsidRPr="00CA04FB" w:rsidP="007F0A80" w14:paraId="6176B903" w14:textId="77777777">
      <w:pPr>
        <w:spacing w:after="0"/>
        <w:rPr>
          <w:rFonts w:ascii="Times New Roman" w:hAnsi="Times New Roman" w:cs="Times New Roman"/>
          <w:bCs/>
        </w:rPr>
      </w:pPr>
    </w:p>
    <w:p w:rsidR="00750E2A" w:rsidRPr="00F459E1" w:rsidP="00410CDE" w14:paraId="4F71ED1B" w14:textId="6BEAAD71">
      <w:pPr>
        <w:pStyle w:val="ParaNum"/>
        <w:numPr>
          <w:ilvl w:val="0"/>
          <w:numId w:val="0"/>
        </w:numPr>
        <w:ind w:firstLine="720"/>
      </w:pPr>
      <w:r w:rsidRPr="00F459E1">
        <w:t>The rules in the</w:t>
      </w:r>
      <w:r w:rsidRPr="00F459E1" w:rsidR="00110070">
        <w:t xml:space="preserve"> </w:t>
      </w:r>
      <w:r w:rsidRPr="00F459E1" w:rsidR="00110070">
        <w:rPr>
          <w:i/>
          <w:iCs/>
        </w:rPr>
        <w:t>Second</w:t>
      </w:r>
      <w:r w:rsidRPr="00F459E1">
        <w:t xml:space="preserve"> </w:t>
      </w:r>
      <w:r w:rsidRPr="00F459E1">
        <w:rPr>
          <w:i/>
        </w:rPr>
        <w:t>Report and Order</w:t>
      </w:r>
      <w:r w:rsidRPr="00F459E1">
        <w:t xml:space="preserve"> </w:t>
      </w:r>
      <w:r w:rsidRPr="00F459E1" w:rsidR="004E70F3">
        <w:t>became effective March 13, 2021</w:t>
      </w:r>
      <w:r w:rsidRPr="00F459E1" w:rsidR="00410CDE">
        <w:t xml:space="preserve">, except for those needing Office of Management and Budget approval under the </w:t>
      </w:r>
      <w:r w:rsidR="00D91A75">
        <w:t>P</w:t>
      </w:r>
      <w:r w:rsidRPr="00F459E1" w:rsidR="00410CDE">
        <w:t xml:space="preserve">aperwork </w:t>
      </w:r>
      <w:r w:rsidR="00D91A75">
        <w:t>R</w:t>
      </w:r>
      <w:r w:rsidRPr="00F459E1" w:rsidR="00D91A75">
        <w:t xml:space="preserve">eduction </w:t>
      </w:r>
      <w:r w:rsidR="00D91A75">
        <w:t>A</w:t>
      </w:r>
      <w:r w:rsidRPr="00F459E1" w:rsidR="00D91A75">
        <w:t>ct</w:t>
      </w:r>
      <w:r w:rsidRPr="00F459E1" w:rsidR="00410CDE">
        <w:t>.</w:t>
      </w:r>
      <w:r w:rsidR="00CA04FB">
        <w:t xml:space="preserve"> </w:t>
      </w:r>
      <w:r w:rsidRPr="00F459E1" w:rsidR="00410CDE">
        <w:t xml:space="preserve"> Those were approved on October 6, 2021</w:t>
      </w:r>
      <w:r w:rsidR="00697C01">
        <w:t>,</w:t>
      </w:r>
      <w:r w:rsidRPr="00F459E1" w:rsidR="00410CDE">
        <w:t xml:space="preserve"> following the Commission publishing a notice of </w:t>
      </w:r>
      <w:r w:rsidRPr="00F459E1" w:rsidR="00026BA6">
        <w:t>approval</w:t>
      </w:r>
      <w:r w:rsidRPr="00F459E1" w:rsidR="00410CDE">
        <w:t xml:space="preserve"> in the Federal Register</w:t>
      </w:r>
      <w:r w:rsidRPr="00F459E1" w:rsidR="00026BA6">
        <w:t>.</w:t>
      </w:r>
      <w:r w:rsidRPr="00F459E1" w:rsidR="00410CDE">
        <w:t xml:space="preserve"> </w:t>
      </w:r>
      <w:r w:rsidR="00CA04FB">
        <w:t xml:space="preserve"> </w:t>
      </w:r>
      <w:r w:rsidRPr="00F459E1" w:rsidR="00410CDE">
        <w:t xml:space="preserve">The rules in the </w:t>
      </w:r>
      <w:r w:rsidRPr="00F459E1" w:rsidR="00410CDE">
        <w:rPr>
          <w:i/>
          <w:iCs/>
        </w:rPr>
        <w:t xml:space="preserve">Third Report and Order </w:t>
      </w:r>
      <w:r w:rsidRPr="00F459E1" w:rsidR="00410CDE">
        <w:t>became effective October 22, 2021.</w:t>
      </w:r>
    </w:p>
    <w:p w:rsidR="00551B02" w:rsidRPr="00F459E1" w:rsidP="00CA04FB" w14:paraId="642607FB" w14:textId="77777777">
      <w:pPr>
        <w:pStyle w:val="ParaNum"/>
        <w:numPr>
          <w:ilvl w:val="0"/>
          <w:numId w:val="0"/>
        </w:numPr>
        <w:spacing w:after="0"/>
      </w:pPr>
    </w:p>
    <w:p w:rsidR="00C5062A" w:rsidRPr="00F459E1" w:rsidP="00286EA8" w14:paraId="79679D59" w14:textId="5FC232EB">
      <w:pPr>
        <w:tabs>
          <w:tab w:val="left" w:pos="720"/>
        </w:tabs>
        <w:spacing w:after="0"/>
        <w:rPr>
          <w:rFonts w:ascii="Times New Roman" w:hAnsi="Times New Roman" w:cs="Times New Roman"/>
          <w:b/>
        </w:rPr>
      </w:pPr>
      <w:r w:rsidRPr="00F459E1">
        <w:rPr>
          <w:rFonts w:ascii="Times New Roman" w:hAnsi="Times New Roman" w:cs="Times New Roman"/>
          <w:b/>
        </w:rPr>
        <w:t>V.</w:t>
      </w:r>
      <w:r w:rsidRPr="00F459E1">
        <w:rPr>
          <w:rFonts w:ascii="Times New Roman" w:hAnsi="Times New Roman" w:cs="Times New Roman"/>
          <w:b/>
        </w:rPr>
        <w:tab/>
      </w:r>
      <w:r w:rsidRPr="00F459E1">
        <w:rPr>
          <w:rFonts w:ascii="Times New Roman" w:hAnsi="Times New Roman" w:cs="Times New Roman"/>
          <w:b/>
        </w:rPr>
        <w:t>INTERNET LINKS</w:t>
      </w:r>
    </w:p>
    <w:p w:rsidR="00485B77" w:rsidRPr="00CA04FB" w:rsidP="00C5062A" w14:paraId="636038EB" w14:textId="77777777">
      <w:pPr>
        <w:spacing w:after="0"/>
        <w:rPr>
          <w:rFonts w:ascii="Times New Roman" w:hAnsi="Times New Roman" w:cs="Times New Roman"/>
          <w:bCs/>
        </w:rPr>
      </w:pPr>
    </w:p>
    <w:p w:rsidR="00C5062A" w:rsidRPr="00CA04FB" w:rsidP="00C5062A" w14:paraId="502FE2B9" w14:textId="7525CA06">
      <w:pPr>
        <w:spacing w:after="0"/>
        <w:rPr>
          <w:rFonts w:ascii="Times New Roman" w:hAnsi="Times New Roman" w:cs="Times New Roman"/>
          <w:bCs/>
        </w:rPr>
      </w:pPr>
      <w:r w:rsidRPr="00F459E1">
        <w:rPr>
          <w:rFonts w:ascii="Times New Roman" w:hAnsi="Times New Roman" w:cs="Times New Roman"/>
          <w:b/>
        </w:rPr>
        <w:t xml:space="preserve">A copy of the </w:t>
      </w:r>
      <w:r w:rsidRPr="00F459E1" w:rsidR="008F3392">
        <w:rPr>
          <w:rFonts w:ascii="Times New Roman" w:hAnsi="Times New Roman" w:cs="Times New Roman"/>
          <w:b/>
          <w:i/>
        </w:rPr>
        <w:t>Second Report and Order</w:t>
      </w:r>
      <w:r w:rsidRPr="00F459E1">
        <w:rPr>
          <w:rFonts w:ascii="Times New Roman" w:hAnsi="Times New Roman" w:cs="Times New Roman"/>
          <w:b/>
        </w:rPr>
        <w:t xml:space="preserve"> is available at: </w:t>
      </w:r>
      <w:hyperlink r:id="rId9" w:history="1">
        <w:r w:rsidRPr="00F459E1" w:rsidR="003A500A">
          <w:rPr>
            <w:rStyle w:val="Hyperlink"/>
            <w:rFonts w:ascii="Times New Roman" w:hAnsi="Times New Roman" w:cs="Times New Roman"/>
            <w:bCs/>
          </w:rPr>
          <w:t>https://docs.fcc.gov/public/attachments/FCC-20-176A1.pdf</w:t>
        </w:r>
      </w:hyperlink>
      <w:r w:rsidRPr="00CA04FB" w:rsidR="003A500A">
        <w:rPr>
          <w:rFonts w:ascii="Times New Roman" w:hAnsi="Times New Roman" w:cs="Times New Roman"/>
          <w:bCs/>
        </w:rPr>
        <w:t>.</w:t>
      </w:r>
    </w:p>
    <w:p w:rsidR="002973BD" w:rsidRPr="00CA04FB" w:rsidP="00C5062A" w14:paraId="5819B98F" w14:textId="77777777">
      <w:pPr>
        <w:spacing w:after="0"/>
        <w:rPr>
          <w:rFonts w:ascii="Times New Roman" w:hAnsi="Times New Roman" w:cs="Times New Roman"/>
          <w:bCs/>
        </w:rPr>
      </w:pPr>
    </w:p>
    <w:p w:rsidR="00C5062A" w:rsidRPr="00CA04FB" w:rsidP="00C5062A" w14:paraId="3EA25B09" w14:textId="5C37A4A9">
      <w:pPr>
        <w:spacing w:after="0"/>
        <w:rPr>
          <w:rFonts w:ascii="Times New Roman" w:hAnsi="Times New Roman" w:cs="Times New Roman"/>
          <w:bCs/>
        </w:rPr>
      </w:pPr>
      <w:r w:rsidRPr="00F459E1">
        <w:rPr>
          <w:rFonts w:ascii="Times New Roman" w:hAnsi="Times New Roman" w:cs="Times New Roman"/>
          <w:b/>
        </w:rPr>
        <w:t xml:space="preserve">A copy of the Federal Register Summary of the </w:t>
      </w:r>
      <w:r w:rsidRPr="00F459E1" w:rsidR="003A500A">
        <w:rPr>
          <w:rFonts w:ascii="Times New Roman" w:hAnsi="Times New Roman" w:cs="Times New Roman"/>
          <w:b/>
          <w:i/>
        </w:rPr>
        <w:t>Second Report and Order</w:t>
      </w:r>
      <w:r w:rsidRPr="00F459E1">
        <w:rPr>
          <w:rFonts w:ascii="Times New Roman" w:hAnsi="Times New Roman" w:cs="Times New Roman"/>
          <w:b/>
        </w:rPr>
        <w:t xml:space="preserve"> is available at: </w:t>
      </w:r>
      <w:hyperlink r:id="rId10" w:history="1">
        <w:r w:rsidRPr="00F459E1" w:rsidR="00973949">
          <w:rPr>
            <w:rStyle w:val="Hyperlink"/>
            <w:rFonts w:ascii="Times New Roman" w:hAnsi="Times New Roman" w:cs="Times New Roman"/>
            <w:bCs/>
          </w:rPr>
          <w:t>https://www.federalregister.gov/documents/2021/01/13/2021-00052/protecting-against-national-security-threats-to-the-communications-supply-chain-through-fcc-programs</w:t>
        </w:r>
      </w:hyperlink>
      <w:r w:rsidRPr="00CA04FB" w:rsidR="00CA04FB">
        <w:rPr>
          <w:rStyle w:val="Hyperlink"/>
          <w:rFonts w:ascii="Times New Roman" w:hAnsi="Times New Roman" w:cs="Times New Roman"/>
          <w:bCs/>
          <w:u w:val="none"/>
        </w:rPr>
        <w:t>.</w:t>
      </w:r>
    </w:p>
    <w:p w:rsidR="008F02BA" w:rsidRPr="00CA04FB" w:rsidP="00C5062A" w14:paraId="7C56E81D" w14:textId="77777777">
      <w:pPr>
        <w:spacing w:after="0"/>
        <w:rPr>
          <w:rFonts w:ascii="Times New Roman" w:hAnsi="Times New Roman" w:cs="Times New Roman"/>
          <w:bCs/>
        </w:rPr>
      </w:pPr>
    </w:p>
    <w:p w:rsidR="00334EB4" w:rsidRPr="00CA04FB" w:rsidP="00334EB4" w14:paraId="36BD504D" w14:textId="7D850883">
      <w:pPr>
        <w:spacing w:after="0"/>
        <w:rPr>
          <w:rFonts w:ascii="Times New Roman" w:hAnsi="Times New Roman" w:cs="Times New Roman"/>
          <w:bCs/>
        </w:rPr>
      </w:pPr>
      <w:r w:rsidRPr="00F459E1">
        <w:rPr>
          <w:rFonts w:ascii="Times New Roman" w:hAnsi="Times New Roman" w:cs="Times New Roman"/>
          <w:b/>
        </w:rPr>
        <w:t xml:space="preserve">A copy of </w:t>
      </w:r>
      <w:r w:rsidRPr="00F459E1" w:rsidR="006E6D8A">
        <w:rPr>
          <w:rFonts w:ascii="Times New Roman" w:hAnsi="Times New Roman" w:cs="Times New Roman"/>
          <w:b/>
        </w:rPr>
        <w:t>the Covered List published by PSHSB</w:t>
      </w:r>
      <w:r w:rsidRPr="00F459E1">
        <w:rPr>
          <w:rFonts w:ascii="Times New Roman" w:hAnsi="Times New Roman" w:cs="Times New Roman"/>
          <w:b/>
        </w:rPr>
        <w:t xml:space="preserve"> is available at: </w:t>
      </w:r>
      <w:hyperlink r:id="rId11" w:history="1">
        <w:r w:rsidRPr="00F459E1" w:rsidR="006E6D8A">
          <w:rPr>
            <w:rStyle w:val="Hyperlink"/>
            <w:rFonts w:ascii="Times New Roman" w:hAnsi="Times New Roman" w:cs="Times New Roman"/>
            <w:bCs/>
          </w:rPr>
          <w:t>https://docs.fcc.gov/public/attachments/DA-21-309A1.pdf</w:t>
        </w:r>
      </w:hyperlink>
      <w:r w:rsidRPr="00CA04FB" w:rsidR="00CA04FB">
        <w:rPr>
          <w:rFonts w:ascii="Times New Roman" w:hAnsi="Times New Roman" w:cs="Times New Roman"/>
          <w:bCs/>
        </w:rPr>
        <w:t>.</w:t>
      </w:r>
    </w:p>
    <w:p w:rsidR="006E6D8A" w:rsidRPr="00CA04FB" w:rsidP="00334EB4" w14:paraId="738F8DA2" w14:textId="2ADB8F99">
      <w:pPr>
        <w:spacing w:after="0"/>
        <w:rPr>
          <w:rFonts w:ascii="Times New Roman" w:hAnsi="Times New Roman" w:cs="Times New Roman"/>
          <w:bCs/>
        </w:rPr>
      </w:pPr>
    </w:p>
    <w:p w:rsidR="00026BA6" w:rsidRPr="00F459E1" w:rsidP="00334EB4" w14:paraId="09A07AB7" w14:textId="77777777">
      <w:pPr>
        <w:spacing w:after="0"/>
        <w:rPr>
          <w:rFonts w:ascii="Times New Roman" w:hAnsi="Times New Roman" w:cs="Times New Roman"/>
          <w:b/>
        </w:rPr>
      </w:pPr>
      <w:r w:rsidRPr="00F459E1">
        <w:rPr>
          <w:rFonts w:ascii="Times New Roman" w:hAnsi="Times New Roman" w:cs="Times New Roman"/>
          <w:b/>
        </w:rPr>
        <w:t xml:space="preserve">A copy of the </w:t>
      </w:r>
      <w:r w:rsidRPr="00F459E1">
        <w:rPr>
          <w:rFonts w:ascii="Times New Roman" w:hAnsi="Times New Roman" w:cs="Times New Roman"/>
          <w:b/>
          <w:i/>
          <w:iCs/>
        </w:rPr>
        <w:t>Third Report and Order</w:t>
      </w:r>
      <w:r w:rsidRPr="00F459E1">
        <w:rPr>
          <w:rFonts w:ascii="Times New Roman" w:hAnsi="Times New Roman" w:cs="Times New Roman"/>
          <w:b/>
        </w:rPr>
        <w:t xml:space="preserve"> is available at: </w:t>
      </w:r>
    </w:p>
    <w:p w:rsidR="00410CDE" w:rsidRPr="00CA04FB" w:rsidP="00334EB4" w14:paraId="4420A9B6" w14:textId="7BB8DB4D">
      <w:pPr>
        <w:spacing w:after="0"/>
        <w:rPr>
          <w:rFonts w:ascii="Times New Roman" w:hAnsi="Times New Roman" w:cs="Times New Roman"/>
          <w:bCs/>
        </w:rPr>
      </w:pPr>
      <w:hyperlink r:id="rId12" w:history="1">
        <w:r w:rsidRPr="00F459E1" w:rsidR="00026BA6">
          <w:rPr>
            <w:rStyle w:val="Hyperlink"/>
            <w:rFonts w:ascii="Times New Roman" w:hAnsi="Times New Roman" w:cs="Times New Roman"/>
            <w:bCs/>
          </w:rPr>
          <w:t>https://www.fcc.gov/document/fcc-acts-protect-national-security-communications-supply-chain-0</w:t>
        </w:r>
      </w:hyperlink>
      <w:r w:rsidRPr="00CA04FB" w:rsidR="00CA04FB">
        <w:rPr>
          <w:rFonts w:ascii="Times New Roman" w:hAnsi="Times New Roman" w:cs="Times New Roman"/>
          <w:bCs/>
        </w:rPr>
        <w:t>.</w:t>
      </w:r>
    </w:p>
    <w:p w:rsidR="00410CDE" w:rsidRPr="00CA04FB" w:rsidP="00334EB4" w14:paraId="27CA2FF1" w14:textId="129DE5D4">
      <w:pPr>
        <w:spacing w:after="0"/>
        <w:rPr>
          <w:rFonts w:ascii="Times New Roman" w:hAnsi="Times New Roman" w:cs="Times New Roman"/>
          <w:bCs/>
        </w:rPr>
      </w:pPr>
    </w:p>
    <w:p w:rsidR="00026BA6" w:rsidP="00334EB4" w14:paraId="362E1654" w14:textId="59642A41">
      <w:pPr>
        <w:spacing w:after="0"/>
        <w:rPr>
          <w:rStyle w:val="Hyperlink"/>
          <w:rFonts w:ascii="Times New Roman" w:hAnsi="Times New Roman" w:cs="Times New Roman"/>
          <w:bCs/>
        </w:rPr>
      </w:pPr>
      <w:r w:rsidRPr="00F459E1">
        <w:rPr>
          <w:rFonts w:ascii="Times New Roman" w:hAnsi="Times New Roman" w:cs="Times New Roman"/>
          <w:b/>
        </w:rPr>
        <w:t>A copy of the Fede</w:t>
      </w:r>
      <w:r w:rsidRPr="00F459E1">
        <w:rPr>
          <w:rFonts w:ascii="Times New Roman" w:hAnsi="Times New Roman" w:cs="Times New Roman"/>
          <w:b/>
        </w:rPr>
        <w:t xml:space="preserve">ral Register Summary of the </w:t>
      </w:r>
      <w:r w:rsidRPr="00F459E1">
        <w:rPr>
          <w:rFonts w:ascii="Times New Roman" w:hAnsi="Times New Roman" w:cs="Times New Roman"/>
          <w:b/>
          <w:i/>
          <w:iCs/>
        </w:rPr>
        <w:t>Third Report and Order</w:t>
      </w:r>
      <w:r w:rsidRPr="00F459E1">
        <w:rPr>
          <w:rFonts w:ascii="Times New Roman" w:hAnsi="Times New Roman" w:cs="Times New Roman"/>
          <w:b/>
        </w:rPr>
        <w:t xml:space="preserve"> is available at: </w:t>
      </w:r>
      <w:hyperlink r:id="rId13" w:history="1">
        <w:r w:rsidRPr="00F459E1">
          <w:rPr>
            <w:rStyle w:val="Hyperlink"/>
            <w:rFonts w:ascii="Times New Roman" w:hAnsi="Times New Roman" w:cs="Times New Roman"/>
            <w:bCs/>
          </w:rPr>
          <w:t>https://www.federalregister.gov/documents/2021/08/23/2021-17279/protecting-against-national-security-threats-to-the-communications-supply-chain-through-fcc-programs</w:t>
        </w:r>
      </w:hyperlink>
      <w:r w:rsidRPr="00697C01" w:rsidR="00CA04FB">
        <w:rPr>
          <w:rStyle w:val="Hyperlink"/>
          <w:rFonts w:ascii="Times New Roman" w:hAnsi="Times New Roman" w:cs="Times New Roman"/>
          <w:bCs/>
          <w:color w:val="auto"/>
          <w:u w:val="none"/>
        </w:rPr>
        <w:t>.</w:t>
      </w:r>
    </w:p>
    <w:p w:rsidR="00F5041F" w:rsidRPr="00F459E1" w:rsidP="00334EB4" w14:paraId="72B5DD1F" w14:textId="77777777">
      <w:pPr>
        <w:spacing w:after="0"/>
        <w:rPr>
          <w:rFonts w:ascii="Times New Roman" w:hAnsi="Times New Roman" w:cs="Times New Roman"/>
          <w:bCs/>
        </w:rPr>
      </w:pPr>
    </w:p>
    <w:p w:rsidR="00026BA6" w:rsidRPr="00F459E1" w:rsidP="00334EB4" w14:paraId="639ACD0D" w14:textId="46F66460">
      <w:pPr>
        <w:spacing w:after="0"/>
        <w:rPr>
          <w:rFonts w:ascii="Times New Roman" w:hAnsi="Times New Roman" w:cs="Times New Roman"/>
          <w:b/>
        </w:rPr>
      </w:pPr>
      <w:r w:rsidRPr="00F459E1">
        <w:rPr>
          <w:rFonts w:ascii="Times New Roman" w:hAnsi="Times New Roman" w:cs="Times New Roman"/>
          <w:b/>
        </w:rPr>
        <w:t xml:space="preserve">A copy of the Federal Register summary announcing OMB approval of any rules requiring OMB approval pursuant to the Paperwork Reduction Act is available at: </w:t>
      </w:r>
    </w:p>
    <w:p w:rsidR="00026BA6" w:rsidRPr="00F459E1" w:rsidP="00334EB4" w14:paraId="01B418B1" w14:textId="3B1F0E16">
      <w:pPr>
        <w:spacing w:after="0"/>
        <w:rPr>
          <w:rFonts w:ascii="Times New Roman" w:hAnsi="Times New Roman" w:cs="Times New Roman"/>
          <w:bCs/>
        </w:rPr>
      </w:pPr>
      <w:hyperlink r:id="rId14" w:history="1">
        <w:r w:rsidRPr="00F459E1">
          <w:rPr>
            <w:rStyle w:val="Hyperlink"/>
            <w:rFonts w:ascii="Times New Roman" w:hAnsi="Times New Roman" w:cs="Times New Roman"/>
            <w:bCs/>
          </w:rPr>
          <w:t>https://www.federalregister.gov/documents/2021/10/06/2021-21783/protecting-against-national-security-threats-to-the-communications-supply-chain-through-fcc-programs</w:t>
        </w:r>
      </w:hyperlink>
      <w:r w:rsidRPr="008D435D" w:rsidR="008D435D">
        <w:rPr>
          <w:rStyle w:val="Hyperlink"/>
          <w:rFonts w:ascii="Times New Roman" w:hAnsi="Times New Roman" w:cs="Times New Roman"/>
          <w:bCs/>
          <w:u w:val="none"/>
        </w:rPr>
        <w:t>.</w:t>
      </w:r>
    </w:p>
    <w:p w:rsidR="00410CDE" w:rsidRPr="008D435D" w:rsidP="00334EB4" w14:paraId="1091223F" w14:textId="77777777">
      <w:pPr>
        <w:spacing w:after="0"/>
        <w:rPr>
          <w:rFonts w:ascii="Times New Roman" w:hAnsi="Times New Roman" w:cs="Times New Roman"/>
          <w:bCs/>
        </w:rPr>
      </w:pPr>
    </w:p>
    <w:p w:rsidR="004008B8" w:rsidRPr="008D435D" w:rsidP="00972776" w14:paraId="76D7AB80" w14:textId="1BA2011B">
      <w:pPr>
        <w:spacing w:after="0"/>
        <w:rPr>
          <w:rFonts w:ascii="Times New Roman" w:hAnsi="Times New Roman" w:cs="Times New Roman"/>
          <w:bCs/>
        </w:rPr>
      </w:pPr>
      <w:r w:rsidRPr="00F459E1">
        <w:rPr>
          <w:rFonts w:ascii="Times New Roman" w:hAnsi="Times New Roman" w:cs="Times New Roman"/>
          <w:b/>
        </w:rPr>
        <w:t>A w</w:t>
      </w:r>
      <w:r w:rsidRPr="00F459E1" w:rsidR="008A5FD5">
        <w:rPr>
          <w:rFonts w:ascii="Times New Roman" w:hAnsi="Times New Roman" w:cs="Times New Roman"/>
          <w:b/>
        </w:rPr>
        <w:t>ebsite devoted to the</w:t>
      </w:r>
      <w:r w:rsidRPr="00F459E1" w:rsidR="00026BA6">
        <w:rPr>
          <w:rFonts w:ascii="Times New Roman" w:hAnsi="Times New Roman" w:cs="Times New Roman"/>
          <w:b/>
        </w:rPr>
        <w:t xml:space="preserve">se </w:t>
      </w:r>
      <w:r w:rsidRPr="00F459E1" w:rsidR="008A5FD5">
        <w:rPr>
          <w:rFonts w:ascii="Times New Roman" w:hAnsi="Times New Roman" w:cs="Times New Roman"/>
          <w:b/>
        </w:rPr>
        <w:t>Supply Chain proceedings i</w:t>
      </w:r>
      <w:r w:rsidRPr="00F459E1">
        <w:rPr>
          <w:rFonts w:ascii="Times New Roman" w:hAnsi="Times New Roman" w:cs="Times New Roman"/>
          <w:b/>
        </w:rPr>
        <w:t>s available at:</w:t>
      </w:r>
      <w:r w:rsidRPr="00F459E1" w:rsidR="008A5FD5">
        <w:rPr>
          <w:rFonts w:ascii="Times New Roman" w:hAnsi="Times New Roman" w:cs="Times New Roman"/>
          <w:b/>
        </w:rPr>
        <w:t xml:space="preserve"> </w:t>
      </w:r>
      <w:hyperlink r:id="rId8" w:history="1">
        <w:r w:rsidRPr="00F459E1" w:rsidR="008A5FD5">
          <w:rPr>
            <w:rStyle w:val="Hyperlink"/>
            <w:rFonts w:ascii="Times New Roman" w:hAnsi="Times New Roman" w:cs="Times New Roman"/>
            <w:bCs/>
          </w:rPr>
          <w:t>https://www.fcc.gov/supplychain</w:t>
        </w:r>
      </w:hyperlink>
      <w:r w:rsidR="008D435D">
        <w:rPr>
          <w:rFonts w:ascii="Times New Roman" w:hAnsi="Times New Roman" w:cs="Times New Roman"/>
          <w:bCs/>
        </w:rPr>
        <w:t>.</w:t>
      </w:r>
    </w:p>
    <w:sectPr w:rsidSect="001743EF">
      <w:headerReference w:type="default" r:id="rId15"/>
      <w:footerReference w:type="default" r:id="rId16"/>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69E" w:rsidP="00D6469E" w14:paraId="5F0D333E" w14:textId="154C7A2A">
    <w:pPr>
      <w:pStyle w:val="Header"/>
      <w:spacing w:before="360" w:line="228" w:lineRule="auto"/>
      <w:rPr>
        <w:rFonts w:ascii="CG Times (W1)" w:hAnsi="CG Times (W1)"/>
        <w:sz w:val="28"/>
      </w:rPr>
    </w:pPr>
    <w:r>
      <w:rPr>
        <w:rFonts w:ascii="CG Times (W1)" w:hAnsi="CG Times (W1)"/>
        <w:sz w:val="28"/>
      </w:rPr>
      <w:tab/>
    </w:r>
  </w:p>
  <w:p w:rsidR="00121A4A" w:rsidP="00CD12CD" w14:paraId="0B5C5E41" w14:textId="31F748CB">
    <w:pPr>
      <w:pStyle w:val="Header"/>
      <w:tabs>
        <w:tab w:val="left" w:pos="2880"/>
        <w:tab w:val="left" w:pos="3600"/>
      </w:tabs>
      <w:spacing w:before="360" w:line="228" w:lineRule="auto"/>
    </w:pPr>
    <w:r>
      <w:rPr>
        <w:rFonts w:ascii="CG Times (W1)" w:hAnsi="CG Times (W1)"/>
        <w:noProof/>
        <w:sz w:val="28"/>
      </w:rPr>
      <w:drawing>
        <wp:anchor distT="0" distB="0" distL="114300" distR="114300" simplePos="0" relativeHeight="251658240" behindDoc="1" locked="0" layoutInCell="1" allowOverlap="1">
          <wp:simplePos x="0" y="0"/>
          <wp:positionH relativeFrom="column">
            <wp:posOffset>228600</wp:posOffset>
          </wp:positionH>
          <wp:positionV relativeFrom="page">
            <wp:posOffset>889635</wp:posOffset>
          </wp:positionV>
          <wp:extent cx="1019175" cy="938530"/>
          <wp:effectExtent l="0" t="0" r="9525" b="0"/>
          <wp:wrapTight wrapText="bothSides">
            <wp:wrapPolygon>
              <wp:start x="0" y="0"/>
              <wp:lineTo x="0" y="21045"/>
              <wp:lineTo x="21398" y="21045"/>
              <wp:lineTo x="213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CC 2020 Seal.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9175" cy="938530"/>
                  </a:xfrm>
                  <a:prstGeom prst="rect">
                    <a:avLst/>
                  </a:prstGeom>
                </pic:spPr>
              </pic:pic>
            </a:graphicData>
          </a:graphic>
          <wp14:sizeRelH relativeFrom="margin">
            <wp14:pctWidth>0</wp14:pctWidth>
          </wp14:sizeRelH>
          <wp14:sizeRelV relativeFrom="margin">
            <wp14:pctHeight>0</wp14:pctHeight>
          </wp14:sizeRelV>
        </wp:anchor>
      </w:drawing>
    </w:r>
    <w:r>
      <w:rPr>
        <w:rFonts w:ascii="CG Times (W1)" w:hAnsi="CG Times (W1)"/>
        <w:sz w:val="28"/>
      </w:rPr>
      <w:tab/>
    </w:r>
    <w:r>
      <w:rPr>
        <w:rFonts w:ascii="CG Times (W1)" w:hAnsi="CG Times (W1)"/>
        <w:sz w:val="28"/>
      </w:rPr>
      <w:t>Federal Communications Commission</w:t>
    </w:r>
  </w:p>
  <w:p w:rsidR="00121A4A" w:rsidP="00D6469E" w14:paraId="71989AC2" w14:textId="173A9C3E">
    <w:pPr>
      <w:tabs>
        <w:tab w:val="left" w:pos="3240"/>
        <w:tab w:val="left" w:pos="3600"/>
      </w:tabs>
      <w:rPr>
        <w:rFonts w:ascii="CG Times (W1)" w:hAnsi="CG Times (W1)"/>
        <w:sz w:val="28"/>
      </w:rPr>
    </w:pPr>
    <w:r>
      <w:rPr>
        <w:rFonts w:ascii="CG Times (W1)" w:hAnsi="CG Times (W1)"/>
        <w:sz w:val="28"/>
      </w:rPr>
      <w:tab/>
    </w:r>
    <w:r>
      <w:rPr>
        <w:rFonts w:ascii="CG Times (W1)" w:hAnsi="CG Times (W1)"/>
        <w:sz w:val="28"/>
      </w:rPr>
      <w:tab/>
    </w:r>
    <w:r>
      <w:rPr>
        <w:rFonts w:ascii="CG Times (W1)" w:hAnsi="CG Times (W1)"/>
        <w:sz w:val="28"/>
      </w:rPr>
      <w:t>Washington, DC 20</w:t>
    </w:r>
    <w:r w:rsidR="00F654A1">
      <w:rPr>
        <w:rFonts w:ascii="CG Times (W1)" w:hAnsi="CG Times (W1)"/>
        <w:sz w:val="28"/>
      </w:rPr>
      <w:t>554</w:t>
    </w:r>
  </w:p>
  <w:p w:rsidR="00121A4A" w:rsidRPr="003172B5" w:rsidP="00CD12CD" w14:paraId="0675F8B2" w14:textId="356197A2">
    <w:pPr>
      <w:tabs>
        <w:tab w:val="left" w:pos="3510"/>
        <w:tab w:val="left" w:pos="4050"/>
      </w:tabs>
      <w:rPr>
        <w:sz w:val="24"/>
        <w:szCs w:val="24"/>
      </w:rPr>
    </w:pPr>
    <w:r>
      <w:rPr>
        <w:rFonts w:ascii="CG Times (W1)" w:hAnsi="CG Times (W1)"/>
        <w:sz w:val="24"/>
        <w:szCs w:val="24"/>
      </w:rPr>
      <w:tab/>
    </w:r>
    <w:r>
      <w:rPr>
        <w:rFonts w:ascii="CG Times (W1)" w:hAnsi="CG Times (W1)"/>
        <w:sz w:val="24"/>
        <w:szCs w:val="24"/>
      </w:rPr>
      <w:tab/>
    </w:r>
    <w:r w:rsidR="00CF73D7">
      <w:rPr>
        <w:rFonts w:ascii="CG Times (W1)" w:hAnsi="CG Times (W1)"/>
        <w:sz w:val="24"/>
        <w:szCs w:val="24"/>
      </w:rPr>
      <w:t>October 2</w:t>
    </w:r>
    <w:r w:rsidR="00697C01">
      <w:rPr>
        <w:rFonts w:ascii="CG Times (W1)" w:hAnsi="CG Times (W1)"/>
        <w:sz w:val="24"/>
        <w:szCs w:val="24"/>
      </w:rPr>
      <w:t>9</w:t>
    </w:r>
    <w:r w:rsidRPr="003172B5">
      <w:rPr>
        <w:rFonts w:ascii="CG Times (W1)" w:hAnsi="CG Times (W1)"/>
        <w:sz w:val="24"/>
        <w:szCs w:val="24"/>
      </w:rPr>
      <w:t>, 20</w:t>
    </w:r>
    <w:r w:rsidR="00397940">
      <w:rPr>
        <w:rFonts w:ascii="CG Times (W1)" w:hAnsi="CG Times (W1)"/>
        <w:sz w:val="24"/>
        <w:szCs w:val="24"/>
      </w:rPr>
      <w:t>21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51C6D"/>
    <w:multiLevelType w:val="hybridMultilevel"/>
    <w:tmpl w:val="ECE00250"/>
    <w:lvl w:ilvl="0">
      <w:start w:val="1"/>
      <w:numFmt w:val="decimal"/>
      <w:lvlText w:val="%1."/>
      <w:lvlJc w:val="left"/>
      <w:pPr>
        <w:ind w:left="720" w:hanging="360"/>
      </w:pPr>
      <w:rPr>
        <w:rFont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2560FA"/>
    <w:multiLevelType w:val="hybridMultilevel"/>
    <w:tmpl w:val="49AA8E2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8432994"/>
    <w:multiLevelType w:val="hybridMultilevel"/>
    <w:tmpl w:val="4E022294"/>
    <w:lvl w:ilvl="0">
      <w:start w:val="3"/>
      <w:numFmt w:val="lowerLetter"/>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E6144BC"/>
    <w:multiLevelType w:val="hybridMultilevel"/>
    <w:tmpl w:val="34448426"/>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D523F0"/>
    <w:multiLevelType w:val="hybridMultilevel"/>
    <w:tmpl w:val="C31A36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35355E"/>
    <w:multiLevelType w:val="hybridMultilevel"/>
    <w:tmpl w:val="243EDEA0"/>
    <w:lvl w:ilvl="0">
      <w:start w:val="1"/>
      <w:numFmt w:val="decimal"/>
      <w:lvlText w:val="%1."/>
      <w:lvlJc w:val="left"/>
      <w:pPr>
        <w:ind w:left="1449" w:hanging="360"/>
      </w:pPr>
    </w:lvl>
    <w:lvl w:ilvl="1" w:tentative="1">
      <w:start w:val="1"/>
      <w:numFmt w:val="lowerLetter"/>
      <w:lvlText w:val="%2."/>
      <w:lvlJc w:val="left"/>
      <w:pPr>
        <w:ind w:left="2169" w:hanging="360"/>
      </w:pPr>
    </w:lvl>
    <w:lvl w:ilvl="2" w:tentative="1">
      <w:start w:val="1"/>
      <w:numFmt w:val="lowerRoman"/>
      <w:lvlText w:val="%3."/>
      <w:lvlJc w:val="right"/>
      <w:pPr>
        <w:ind w:left="2889" w:hanging="180"/>
      </w:pPr>
    </w:lvl>
    <w:lvl w:ilvl="3" w:tentative="1">
      <w:start w:val="1"/>
      <w:numFmt w:val="decimal"/>
      <w:lvlText w:val="%4."/>
      <w:lvlJc w:val="left"/>
      <w:pPr>
        <w:ind w:left="3609" w:hanging="360"/>
      </w:pPr>
    </w:lvl>
    <w:lvl w:ilvl="4" w:tentative="1">
      <w:start w:val="1"/>
      <w:numFmt w:val="lowerLetter"/>
      <w:lvlText w:val="%5."/>
      <w:lvlJc w:val="left"/>
      <w:pPr>
        <w:ind w:left="4329" w:hanging="360"/>
      </w:pPr>
    </w:lvl>
    <w:lvl w:ilvl="5" w:tentative="1">
      <w:start w:val="1"/>
      <w:numFmt w:val="lowerRoman"/>
      <w:lvlText w:val="%6."/>
      <w:lvlJc w:val="right"/>
      <w:pPr>
        <w:ind w:left="5049" w:hanging="180"/>
      </w:pPr>
    </w:lvl>
    <w:lvl w:ilvl="6" w:tentative="1">
      <w:start w:val="1"/>
      <w:numFmt w:val="decimal"/>
      <w:lvlText w:val="%7."/>
      <w:lvlJc w:val="left"/>
      <w:pPr>
        <w:ind w:left="5769" w:hanging="360"/>
      </w:pPr>
    </w:lvl>
    <w:lvl w:ilvl="7" w:tentative="1">
      <w:start w:val="1"/>
      <w:numFmt w:val="lowerLetter"/>
      <w:lvlText w:val="%8."/>
      <w:lvlJc w:val="left"/>
      <w:pPr>
        <w:ind w:left="6489" w:hanging="360"/>
      </w:pPr>
    </w:lvl>
    <w:lvl w:ilvl="8" w:tentative="1">
      <w:start w:val="1"/>
      <w:numFmt w:val="lowerRoman"/>
      <w:lvlText w:val="%9."/>
      <w:lvlJc w:val="right"/>
      <w:pPr>
        <w:ind w:left="7209" w:hanging="180"/>
      </w:pPr>
    </w:lvl>
  </w:abstractNum>
  <w:abstractNum w:abstractNumId="6">
    <w:nsid w:val="1B635E80"/>
    <w:multiLevelType w:val="hybridMultilevel"/>
    <w:tmpl w:val="4984BD1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C2D17F3"/>
    <w:multiLevelType w:val="hybridMultilevel"/>
    <w:tmpl w:val="0540C05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4D5EFF"/>
    <w:multiLevelType w:val="hybridMultilevel"/>
    <w:tmpl w:val="461636D6"/>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E06CBB"/>
    <w:multiLevelType w:val="multilevel"/>
    <w:tmpl w:val="F1A8698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F10FA5"/>
    <w:multiLevelType w:val="hybridMultilevel"/>
    <w:tmpl w:val="9A4CDD9C"/>
    <w:lvl w:ilvl="0">
      <w:start w:val="3"/>
      <w:numFmt w:val="lowerLetter"/>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C700723"/>
    <w:multiLevelType w:val="hybridMultilevel"/>
    <w:tmpl w:val="D8F003A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6DE1E96"/>
    <w:multiLevelType w:val="hybridMultilevel"/>
    <w:tmpl w:val="38AEC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CC47C26"/>
    <w:multiLevelType w:val="hybridMultilevel"/>
    <w:tmpl w:val="4984BD1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EE50EC5"/>
    <w:multiLevelType w:val="hybridMultilevel"/>
    <w:tmpl w:val="8C005D0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6A3DD8"/>
    <w:multiLevelType w:val="hybridMultilevel"/>
    <w:tmpl w:val="15CCB3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230640"/>
    <w:multiLevelType w:val="hybridMultilevel"/>
    <w:tmpl w:val="0CAA1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6134BC"/>
    <w:multiLevelType w:val="hybridMultilevel"/>
    <w:tmpl w:val="58E0FFEC"/>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0020862"/>
    <w:multiLevelType w:val="hybridMultilevel"/>
    <w:tmpl w:val="E6E46696"/>
    <w:lvl w:ilvl="0">
      <w:start w:val="1"/>
      <w:numFmt w:val="lowerLetter"/>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014673"/>
    <w:multiLevelType w:val="hybridMultilevel"/>
    <w:tmpl w:val="D9C881A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06D4C25"/>
    <w:multiLevelType w:val="hybridMultilevel"/>
    <w:tmpl w:val="E5F0C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F373BB"/>
    <w:multiLevelType w:val="multilevel"/>
    <w:tmpl w:val="27D09F7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13"/>
  </w:num>
  <w:num w:numId="3">
    <w:abstractNumId w:val="23"/>
  </w:num>
  <w:num w:numId="4">
    <w:abstractNumId w:val="12"/>
  </w:num>
  <w:num w:numId="5">
    <w:abstractNumId w:val="28"/>
  </w:num>
  <w:num w:numId="6">
    <w:abstractNumId w:val="17"/>
  </w:num>
  <w:num w:numId="7">
    <w:abstractNumId w:val="9"/>
  </w:num>
  <w:num w:numId="8">
    <w:abstractNumId w:val="25"/>
  </w:num>
  <w:num w:numId="9">
    <w:abstractNumId w:val="20"/>
  </w:num>
  <w:num w:numId="10">
    <w:abstractNumId w:val="11"/>
  </w:num>
  <w:num w:numId="11">
    <w:abstractNumId w:val="18"/>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3"/>
    </w:lvlOverride>
  </w:num>
  <w:num w:numId="14">
    <w:abstractNumId w:val="30"/>
  </w:num>
  <w:num w:numId="15">
    <w:abstractNumId w:val="7"/>
  </w:num>
  <w:num w:numId="16">
    <w:abstractNumId w:val="3"/>
  </w:num>
  <w:num w:numId="17">
    <w:abstractNumId w:val="0"/>
  </w:num>
  <w:num w:numId="18">
    <w:abstractNumId w:val="8"/>
  </w:num>
  <w:num w:numId="19">
    <w:abstractNumId w:val="19"/>
  </w:num>
  <w:num w:numId="20">
    <w:abstractNumId w:val="22"/>
  </w:num>
  <w:num w:numId="21">
    <w:abstractNumId w:val="1"/>
  </w:num>
  <w:num w:numId="22">
    <w:abstractNumId w:val="26"/>
  </w:num>
  <w:num w:numId="23">
    <w:abstractNumId w:val="5"/>
  </w:num>
  <w:num w:numId="24">
    <w:abstractNumId w:val="6"/>
  </w:num>
  <w:num w:numId="25">
    <w:abstractNumId w:val="29"/>
  </w:num>
  <w:num w:numId="26">
    <w:abstractNumId w:val="15"/>
  </w:num>
  <w:num w:numId="27">
    <w:abstractNumId w:val="10"/>
  </w:num>
  <w:num w:numId="28">
    <w:abstractNumId w:val="14"/>
  </w:num>
  <w:num w:numId="29">
    <w:abstractNumId w:val="16"/>
  </w:num>
  <w:num w:numId="30">
    <w:abstractNumId w:val="2"/>
  </w:num>
  <w:num w:numId="31">
    <w:abstractNumId w:val="4"/>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0A8B"/>
    <w:rsid w:val="000044CA"/>
    <w:rsid w:val="000049D8"/>
    <w:rsid w:val="0000705E"/>
    <w:rsid w:val="0000764E"/>
    <w:rsid w:val="00013982"/>
    <w:rsid w:val="00013DBA"/>
    <w:rsid w:val="0001453A"/>
    <w:rsid w:val="0001789A"/>
    <w:rsid w:val="00017D39"/>
    <w:rsid w:val="000204F9"/>
    <w:rsid w:val="00024D8D"/>
    <w:rsid w:val="00025AB0"/>
    <w:rsid w:val="00026B97"/>
    <w:rsid w:val="00026BA6"/>
    <w:rsid w:val="000320CC"/>
    <w:rsid w:val="00034878"/>
    <w:rsid w:val="000350D7"/>
    <w:rsid w:val="000369DF"/>
    <w:rsid w:val="000402EB"/>
    <w:rsid w:val="00040A1F"/>
    <w:rsid w:val="0004690F"/>
    <w:rsid w:val="00052EB8"/>
    <w:rsid w:val="000601FD"/>
    <w:rsid w:val="00066CB4"/>
    <w:rsid w:val="0007266F"/>
    <w:rsid w:val="000728AF"/>
    <w:rsid w:val="00072BDE"/>
    <w:rsid w:val="00072DD9"/>
    <w:rsid w:val="00074CA4"/>
    <w:rsid w:val="00080578"/>
    <w:rsid w:val="00087BBD"/>
    <w:rsid w:val="00093D45"/>
    <w:rsid w:val="0009430B"/>
    <w:rsid w:val="000A7819"/>
    <w:rsid w:val="000B0ECE"/>
    <w:rsid w:val="000B7E9D"/>
    <w:rsid w:val="000C1FA6"/>
    <w:rsid w:val="000D2F0F"/>
    <w:rsid w:val="000D6D8C"/>
    <w:rsid w:val="000D707F"/>
    <w:rsid w:val="000D790A"/>
    <w:rsid w:val="000E32C3"/>
    <w:rsid w:val="000E3AD2"/>
    <w:rsid w:val="000E4E16"/>
    <w:rsid w:val="000F616D"/>
    <w:rsid w:val="000F7BE7"/>
    <w:rsid w:val="001003AD"/>
    <w:rsid w:val="00110070"/>
    <w:rsid w:val="00115515"/>
    <w:rsid w:val="00121A4A"/>
    <w:rsid w:val="0012549C"/>
    <w:rsid w:val="00126B56"/>
    <w:rsid w:val="001319CF"/>
    <w:rsid w:val="00131CCC"/>
    <w:rsid w:val="00132F1A"/>
    <w:rsid w:val="001338B0"/>
    <w:rsid w:val="00133D08"/>
    <w:rsid w:val="001433C1"/>
    <w:rsid w:val="00152909"/>
    <w:rsid w:val="001544BD"/>
    <w:rsid w:val="001611E2"/>
    <w:rsid w:val="001632FD"/>
    <w:rsid w:val="00165BAC"/>
    <w:rsid w:val="001672C2"/>
    <w:rsid w:val="00173AB8"/>
    <w:rsid w:val="00173E39"/>
    <w:rsid w:val="001743EF"/>
    <w:rsid w:val="001842CE"/>
    <w:rsid w:val="001961AA"/>
    <w:rsid w:val="001A10EC"/>
    <w:rsid w:val="001A1EAC"/>
    <w:rsid w:val="001B4EC2"/>
    <w:rsid w:val="001D6690"/>
    <w:rsid w:val="001F448F"/>
    <w:rsid w:val="001F5234"/>
    <w:rsid w:val="001F676F"/>
    <w:rsid w:val="00201E5E"/>
    <w:rsid w:val="00204F9B"/>
    <w:rsid w:val="002246F9"/>
    <w:rsid w:val="00230205"/>
    <w:rsid w:val="00233B90"/>
    <w:rsid w:val="00233DA0"/>
    <w:rsid w:val="00243CE9"/>
    <w:rsid w:val="00244B70"/>
    <w:rsid w:val="00247E1B"/>
    <w:rsid w:val="00250141"/>
    <w:rsid w:val="002515EB"/>
    <w:rsid w:val="00251BCE"/>
    <w:rsid w:val="00270437"/>
    <w:rsid w:val="002710C8"/>
    <w:rsid w:val="002742B0"/>
    <w:rsid w:val="002750E6"/>
    <w:rsid w:val="00282849"/>
    <w:rsid w:val="00286EA8"/>
    <w:rsid w:val="00292357"/>
    <w:rsid w:val="00294621"/>
    <w:rsid w:val="002964CD"/>
    <w:rsid w:val="002973BD"/>
    <w:rsid w:val="002A57BD"/>
    <w:rsid w:val="002A73FE"/>
    <w:rsid w:val="002B11B3"/>
    <w:rsid w:val="002B3379"/>
    <w:rsid w:val="002B63FD"/>
    <w:rsid w:val="002B6FD0"/>
    <w:rsid w:val="002C128B"/>
    <w:rsid w:val="002C1EA9"/>
    <w:rsid w:val="002C5946"/>
    <w:rsid w:val="002D0DED"/>
    <w:rsid w:val="002D4814"/>
    <w:rsid w:val="002D77B6"/>
    <w:rsid w:val="002F683E"/>
    <w:rsid w:val="002F7376"/>
    <w:rsid w:val="003017A1"/>
    <w:rsid w:val="00307286"/>
    <w:rsid w:val="00313686"/>
    <w:rsid w:val="003149AB"/>
    <w:rsid w:val="00316EA4"/>
    <w:rsid w:val="003172B5"/>
    <w:rsid w:val="00320B06"/>
    <w:rsid w:val="00320D58"/>
    <w:rsid w:val="00326271"/>
    <w:rsid w:val="00330480"/>
    <w:rsid w:val="003322AF"/>
    <w:rsid w:val="00334EB4"/>
    <w:rsid w:val="003423E5"/>
    <w:rsid w:val="0034483B"/>
    <w:rsid w:val="0034659A"/>
    <w:rsid w:val="00352217"/>
    <w:rsid w:val="003579D9"/>
    <w:rsid w:val="00357DC6"/>
    <w:rsid w:val="0036349C"/>
    <w:rsid w:val="00364D35"/>
    <w:rsid w:val="00367858"/>
    <w:rsid w:val="0037142F"/>
    <w:rsid w:val="0037221C"/>
    <w:rsid w:val="003733F4"/>
    <w:rsid w:val="003837F4"/>
    <w:rsid w:val="00391311"/>
    <w:rsid w:val="00392C62"/>
    <w:rsid w:val="003941C5"/>
    <w:rsid w:val="00397940"/>
    <w:rsid w:val="003A500A"/>
    <w:rsid w:val="003B3F46"/>
    <w:rsid w:val="003B7A84"/>
    <w:rsid w:val="003C0CAE"/>
    <w:rsid w:val="003D1B5B"/>
    <w:rsid w:val="003D226E"/>
    <w:rsid w:val="003D47C2"/>
    <w:rsid w:val="003E344A"/>
    <w:rsid w:val="003E485D"/>
    <w:rsid w:val="003E5127"/>
    <w:rsid w:val="003F1715"/>
    <w:rsid w:val="003F1DFC"/>
    <w:rsid w:val="003F3F83"/>
    <w:rsid w:val="003F4C38"/>
    <w:rsid w:val="003F5CB7"/>
    <w:rsid w:val="003F62FB"/>
    <w:rsid w:val="004008B8"/>
    <w:rsid w:val="00400C81"/>
    <w:rsid w:val="0040311E"/>
    <w:rsid w:val="00404DFE"/>
    <w:rsid w:val="00406E1D"/>
    <w:rsid w:val="00410CDE"/>
    <w:rsid w:val="004126D5"/>
    <w:rsid w:val="0041380C"/>
    <w:rsid w:val="00414AC9"/>
    <w:rsid w:val="00426CE2"/>
    <w:rsid w:val="00427A76"/>
    <w:rsid w:val="0043757E"/>
    <w:rsid w:val="00440CE6"/>
    <w:rsid w:val="004412DE"/>
    <w:rsid w:val="00454C16"/>
    <w:rsid w:val="00463A2A"/>
    <w:rsid w:val="00466A42"/>
    <w:rsid w:val="004740BF"/>
    <w:rsid w:val="004749A4"/>
    <w:rsid w:val="00477C3E"/>
    <w:rsid w:val="0048089F"/>
    <w:rsid w:val="00480E97"/>
    <w:rsid w:val="00483187"/>
    <w:rsid w:val="00485B77"/>
    <w:rsid w:val="004877AF"/>
    <w:rsid w:val="00491D54"/>
    <w:rsid w:val="00491F77"/>
    <w:rsid w:val="00493AC2"/>
    <w:rsid w:val="004943B6"/>
    <w:rsid w:val="0049791E"/>
    <w:rsid w:val="00497A9B"/>
    <w:rsid w:val="004A372E"/>
    <w:rsid w:val="004A7FC8"/>
    <w:rsid w:val="004B6491"/>
    <w:rsid w:val="004B7242"/>
    <w:rsid w:val="004D3D1B"/>
    <w:rsid w:val="004D7F24"/>
    <w:rsid w:val="004E5B80"/>
    <w:rsid w:val="004E6321"/>
    <w:rsid w:val="004E70F3"/>
    <w:rsid w:val="004F0079"/>
    <w:rsid w:val="004F3108"/>
    <w:rsid w:val="004F68F6"/>
    <w:rsid w:val="005008FB"/>
    <w:rsid w:val="00503147"/>
    <w:rsid w:val="00504CD9"/>
    <w:rsid w:val="0050544C"/>
    <w:rsid w:val="00507509"/>
    <w:rsid w:val="00511023"/>
    <w:rsid w:val="00514667"/>
    <w:rsid w:val="00516D15"/>
    <w:rsid w:val="005265C4"/>
    <w:rsid w:val="005275C1"/>
    <w:rsid w:val="00527F85"/>
    <w:rsid w:val="00534C2D"/>
    <w:rsid w:val="005449FD"/>
    <w:rsid w:val="00550A77"/>
    <w:rsid w:val="00551B02"/>
    <w:rsid w:val="00552EAF"/>
    <w:rsid w:val="005717FB"/>
    <w:rsid w:val="00575ABE"/>
    <w:rsid w:val="00583F3E"/>
    <w:rsid w:val="00584D61"/>
    <w:rsid w:val="005869BB"/>
    <w:rsid w:val="005A2180"/>
    <w:rsid w:val="005A5DFD"/>
    <w:rsid w:val="005A69C8"/>
    <w:rsid w:val="005A6BBB"/>
    <w:rsid w:val="005B258A"/>
    <w:rsid w:val="005B3852"/>
    <w:rsid w:val="005C1817"/>
    <w:rsid w:val="005C222C"/>
    <w:rsid w:val="005C3FE7"/>
    <w:rsid w:val="005D1C88"/>
    <w:rsid w:val="005E1790"/>
    <w:rsid w:val="005E70B7"/>
    <w:rsid w:val="005F2FC3"/>
    <w:rsid w:val="005F48BD"/>
    <w:rsid w:val="005F5A59"/>
    <w:rsid w:val="005F5CD7"/>
    <w:rsid w:val="005F62F5"/>
    <w:rsid w:val="006073AB"/>
    <w:rsid w:val="00610B56"/>
    <w:rsid w:val="00611E74"/>
    <w:rsid w:val="00615902"/>
    <w:rsid w:val="006175DB"/>
    <w:rsid w:val="00620C59"/>
    <w:rsid w:val="0062553C"/>
    <w:rsid w:val="00634909"/>
    <w:rsid w:val="0063567C"/>
    <w:rsid w:val="00636438"/>
    <w:rsid w:val="00637323"/>
    <w:rsid w:val="00637613"/>
    <w:rsid w:val="00651933"/>
    <w:rsid w:val="00657EA8"/>
    <w:rsid w:val="006625DB"/>
    <w:rsid w:val="00670E45"/>
    <w:rsid w:val="0067190F"/>
    <w:rsid w:val="00677244"/>
    <w:rsid w:val="00683C2E"/>
    <w:rsid w:val="00697340"/>
    <w:rsid w:val="00697C01"/>
    <w:rsid w:val="006A0193"/>
    <w:rsid w:val="006A0212"/>
    <w:rsid w:val="006A0CC0"/>
    <w:rsid w:val="006A679F"/>
    <w:rsid w:val="006B4F31"/>
    <w:rsid w:val="006B57C1"/>
    <w:rsid w:val="006C40D8"/>
    <w:rsid w:val="006D6FA4"/>
    <w:rsid w:val="006E216D"/>
    <w:rsid w:val="006E50A3"/>
    <w:rsid w:val="006E542F"/>
    <w:rsid w:val="006E6D8A"/>
    <w:rsid w:val="006F117F"/>
    <w:rsid w:val="006F2480"/>
    <w:rsid w:val="006F2901"/>
    <w:rsid w:val="006F411B"/>
    <w:rsid w:val="00700C49"/>
    <w:rsid w:val="00701319"/>
    <w:rsid w:val="00712DB1"/>
    <w:rsid w:val="00716724"/>
    <w:rsid w:val="00732909"/>
    <w:rsid w:val="00734B5A"/>
    <w:rsid w:val="00735330"/>
    <w:rsid w:val="00740ED6"/>
    <w:rsid w:val="00746255"/>
    <w:rsid w:val="00750E2A"/>
    <w:rsid w:val="00765ABD"/>
    <w:rsid w:val="0076648E"/>
    <w:rsid w:val="00767B89"/>
    <w:rsid w:val="00785688"/>
    <w:rsid w:val="00791348"/>
    <w:rsid w:val="007B0A89"/>
    <w:rsid w:val="007B5A19"/>
    <w:rsid w:val="007D2DE3"/>
    <w:rsid w:val="007D3DBE"/>
    <w:rsid w:val="007D4C23"/>
    <w:rsid w:val="007E06A2"/>
    <w:rsid w:val="007E64DB"/>
    <w:rsid w:val="007F0A80"/>
    <w:rsid w:val="007F1435"/>
    <w:rsid w:val="007F3C9B"/>
    <w:rsid w:val="007F70A3"/>
    <w:rsid w:val="0080275C"/>
    <w:rsid w:val="00804CDE"/>
    <w:rsid w:val="00805AD9"/>
    <w:rsid w:val="008073C0"/>
    <w:rsid w:val="0080782E"/>
    <w:rsid w:val="008104E2"/>
    <w:rsid w:val="008178D8"/>
    <w:rsid w:val="00817DB4"/>
    <w:rsid w:val="0082130A"/>
    <w:rsid w:val="00821520"/>
    <w:rsid w:val="00825020"/>
    <w:rsid w:val="008254AD"/>
    <w:rsid w:val="00831688"/>
    <w:rsid w:val="008348FD"/>
    <w:rsid w:val="00846943"/>
    <w:rsid w:val="00863186"/>
    <w:rsid w:val="00864203"/>
    <w:rsid w:val="00864535"/>
    <w:rsid w:val="00865988"/>
    <w:rsid w:val="00871387"/>
    <w:rsid w:val="00877FF7"/>
    <w:rsid w:val="00880644"/>
    <w:rsid w:val="00881DA8"/>
    <w:rsid w:val="00882B6B"/>
    <w:rsid w:val="00887492"/>
    <w:rsid w:val="008878FF"/>
    <w:rsid w:val="00890A53"/>
    <w:rsid w:val="00891C91"/>
    <w:rsid w:val="008A4AA3"/>
    <w:rsid w:val="008A5FD5"/>
    <w:rsid w:val="008A6F83"/>
    <w:rsid w:val="008A7CFA"/>
    <w:rsid w:val="008C07CB"/>
    <w:rsid w:val="008C3B06"/>
    <w:rsid w:val="008D435D"/>
    <w:rsid w:val="008D4AA5"/>
    <w:rsid w:val="008D5759"/>
    <w:rsid w:val="008D76B1"/>
    <w:rsid w:val="008E24B2"/>
    <w:rsid w:val="008E2841"/>
    <w:rsid w:val="008E6174"/>
    <w:rsid w:val="008F02BA"/>
    <w:rsid w:val="008F3392"/>
    <w:rsid w:val="008F6251"/>
    <w:rsid w:val="0090029F"/>
    <w:rsid w:val="00902DB6"/>
    <w:rsid w:val="00912CD3"/>
    <w:rsid w:val="00914D24"/>
    <w:rsid w:val="00925101"/>
    <w:rsid w:val="00931832"/>
    <w:rsid w:val="0094088B"/>
    <w:rsid w:val="0094239D"/>
    <w:rsid w:val="00946498"/>
    <w:rsid w:val="009464B8"/>
    <w:rsid w:val="0095028B"/>
    <w:rsid w:val="0095132F"/>
    <w:rsid w:val="00951C24"/>
    <w:rsid w:val="00960577"/>
    <w:rsid w:val="00971580"/>
    <w:rsid w:val="00972776"/>
    <w:rsid w:val="00972B46"/>
    <w:rsid w:val="00973949"/>
    <w:rsid w:val="009755BF"/>
    <w:rsid w:val="009770B7"/>
    <w:rsid w:val="009827ED"/>
    <w:rsid w:val="009842D7"/>
    <w:rsid w:val="00986D04"/>
    <w:rsid w:val="00994595"/>
    <w:rsid w:val="00996590"/>
    <w:rsid w:val="009A61EC"/>
    <w:rsid w:val="009B2033"/>
    <w:rsid w:val="009B2373"/>
    <w:rsid w:val="009B3815"/>
    <w:rsid w:val="009B3F79"/>
    <w:rsid w:val="009B41FC"/>
    <w:rsid w:val="009C051D"/>
    <w:rsid w:val="009C5AF7"/>
    <w:rsid w:val="009C7F6E"/>
    <w:rsid w:val="009D15AD"/>
    <w:rsid w:val="009D4E2A"/>
    <w:rsid w:val="009D75EF"/>
    <w:rsid w:val="009E5890"/>
    <w:rsid w:val="009E6091"/>
    <w:rsid w:val="009F31A6"/>
    <w:rsid w:val="009F346C"/>
    <w:rsid w:val="009F35A1"/>
    <w:rsid w:val="00A01314"/>
    <w:rsid w:val="00A07CAF"/>
    <w:rsid w:val="00A114F6"/>
    <w:rsid w:val="00A23A8A"/>
    <w:rsid w:val="00A26CD1"/>
    <w:rsid w:val="00A422B6"/>
    <w:rsid w:val="00A4390A"/>
    <w:rsid w:val="00A55ABC"/>
    <w:rsid w:val="00A66405"/>
    <w:rsid w:val="00A766AF"/>
    <w:rsid w:val="00A76E84"/>
    <w:rsid w:val="00A81872"/>
    <w:rsid w:val="00A839F0"/>
    <w:rsid w:val="00A8553C"/>
    <w:rsid w:val="00A90258"/>
    <w:rsid w:val="00A97102"/>
    <w:rsid w:val="00A97778"/>
    <w:rsid w:val="00AA34B7"/>
    <w:rsid w:val="00AA7D23"/>
    <w:rsid w:val="00AB1D1E"/>
    <w:rsid w:val="00AB1E95"/>
    <w:rsid w:val="00AB7B4C"/>
    <w:rsid w:val="00AC087A"/>
    <w:rsid w:val="00AC1A95"/>
    <w:rsid w:val="00AC5039"/>
    <w:rsid w:val="00AC6478"/>
    <w:rsid w:val="00AD0BD0"/>
    <w:rsid w:val="00AD6B6C"/>
    <w:rsid w:val="00AD7A25"/>
    <w:rsid w:val="00AE5E4D"/>
    <w:rsid w:val="00AE64BC"/>
    <w:rsid w:val="00AF34F0"/>
    <w:rsid w:val="00AF6C36"/>
    <w:rsid w:val="00B0585E"/>
    <w:rsid w:val="00B06D94"/>
    <w:rsid w:val="00B11C7A"/>
    <w:rsid w:val="00B12C82"/>
    <w:rsid w:val="00B12CD4"/>
    <w:rsid w:val="00B139E2"/>
    <w:rsid w:val="00B15ED8"/>
    <w:rsid w:val="00B25107"/>
    <w:rsid w:val="00B41E3A"/>
    <w:rsid w:val="00B42460"/>
    <w:rsid w:val="00B47D0B"/>
    <w:rsid w:val="00B47EF1"/>
    <w:rsid w:val="00B50C22"/>
    <w:rsid w:val="00B629FE"/>
    <w:rsid w:val="00B658E6"/>
    <w:rsid w:val="00B7401E"/>
    <w:rsid w:val="00B8024D"/>
    <w:rsid w:val="00B812D1"/>
    <w:rsid w:val="00B81F96"/>
    <w:rsid w:val="00B83022"/>
    <w:rsid w:val="00B84237"/>
    <w:rsid w:val="00B849ED"/>
    <w:rsid w:val="00B92C97"/>
    <w:rsid w:val="00BA1697"/>
    <w:rsid w:val="00BA200C"/>
    <w:rsid w:val="00BB1633"/>
    <w:rsid w:val="00BB39F9"/>
    <w:rsid w:val="00BD1FBE"/>
    <w:rsid w:val="00BD208F"/>
    <w:rsid w:val="00BD4DDE"/>
    <w:rsid w:val="00BF2971"/>
    <w:rsid w:val="00BF4D4E"/>
    <w:rsid w:val="00BF51F0"/>
    <w:rsid w:val="00BF58B4"/>
    <w:rsid w:val="00C045D7"/>
    <w:rsid w:val="00C145FA"/>
    <w:rsid w:val="00C23467"/>
    <w:rsid w:val="00C235FA"/>
    <w:rsid w:val="00C37AC8"/>
    <w:rsid w:val="00C40612"/>
    <w:rsid w:val="00C43EC9"/>
    <w:rsid w:val="00C47CEF"/>
    <w:rsid w:val="00C50264"/>
    <w:rsid w:val="00C5062A"/>
    <w:rsid w:val="00C67CA7"/>
    <w:rsid w:val="00C70FD2"/>
    <w:rsid w:val="00C729A5"/>
    <w:rsid w:val="00C8128A"/>
    <w:rsid w:val="00C81B2C"/>
    <w:rsid w:val="00CA04FB"/>
    <w:rsid w:val="00CA2F9C"/>
    <w:rsid w:val="00CB3D38"/>
    <w:rsid w:val="00CC1613"/>
    <w:rsid w:val="00CC1EC9"/>
    <w:rsid w:val="00CC7874"/>
    <w:rsid w:val="00CC7E48"/>
    <w:rsid w:val="00CD12CD"/>
    <w:rsid w:val="00CD4F66"/>
    <w:rsid w:val="00CD59E5"/>
    <w:rsid w:val="00CD624E"/>
    <w:rsid w:val="00CE6C86"/>
    <w:rsid w:val="00CF04E4"/>
    <w:rsid w:val="00CF3A7C"/>
    <w:rsid w:val="00CF73D7"/>
    <w:rsid w:val="00D11116"/>
    <w:rsid w:val="00D16818"/>
    <w:rsid w:val="00D21B14"/>
    <w:rsid w:val="00D22AEE"/>
    <w:rsid w:val="00D24614"/>
    <w:rsid w:val="00D27207"/>
    <w:rsid w:val="00D30C89"/>
    <w:rsid w:val="00D3573A"/>
    <w:rsid w:val="00D35E9E"/>
    <w:rsid w:val="00D370AB"/>
    <w:rsid w:val="00D40310"/>
    <w:rsid w:val="00D4618C"/>
    <w:rsid w:val="00D47056"/>
    <w:rsid w:val="00D47DB5"/>
    <w:rsid w:val="00D56E5B"/>
    <w:rsid w:val="00D57069"/>
    <w:rsid w:val="00D600C1"/>
    <w:rsid w:val="00D6469E"/>
    <w:rsid w:val="00D67EAF"/>
    <w:rsid w:val="00D73AD6"/>
    <w:rsid w:val="00D75DD7"/>
    <w:rsid w:val="00D75F9D"/>
    <w:rsid w:val="00D84772"/>
    <w:rsid w:val="00D865EB"/>
    <w:rsid w:val="00D91A75"/>
    <w:rsid w:val="00D9236B"/>
    <w:rsid w:val="00DA51FF"/>
    <w:rsid w:val="00DA6571"/>
    <w:rsid w:val="00DA673B"/>
    <w:rsid w:val="00DA6B99"/>
    <w:rsid w:val="00DB4D1A"/>
    <w:rsid w:val="00DB784D"/>
    <w:rsid w:val="00DC2379"/>
    <w:rsid w:val="00DC52FA"/>
    <w:rsid w:val="00DC5B9C"/>
    <w:rsid w:val="00DD2774"/>
    <w:rsid w:val="00DD3276"/>
    <w:rsid w:val="00DE4C6E"/>
    <w:rsid w:val="00DE517E"/>
    <w:rsid w:val="00DE567B"/>
    <w:rsid w:val="00DE653F"/>
    <w:rsid w:val="00DF015A"/>
    <w:rsid w:val="00DF5AD2"/>
    <w:rsid w:val="00E00D19"/>
    <w:rsid w:val="00E02080"/>
    <w:rsid w:val="00E0477A"/>
    <w:rsid w:val="00E123A3"/>
    <w:rsid w:val="00E14349"/>
    <w:rsid w:val="00E154FC"/>
    <w:rsid w:val="00E2092F"/>
    <w:rsid w:val="00E225B6"/>
    <w:rsid w:val="00E446F0"/>
    <w:rsid w:val="00E47D7F"/>
    <w:rsid w:val="00E47D90"/>
    <w:rsid w:val="00E51447"/>
    <w:rsid w:val="00E56A46"/>
    <w:rsid w:val="00E57F4D"/>
    <w:rsid w:val="00E66135"/>
    <w:rsid w:val="00E72105"/>
    <w:rsid w:val="00E735DE"/>
    <w:rsid w:val="00E75CFF"/>
    <w:rsid w:val="00E81AF0"/>
    <w:rsid w:val="00E851D5"/>
    <w:rsid w:val="00E865DD"/>
    <w:rsid w:val="00E87414"/>
    <w:rsid w:val="00E95D9F"/>
    <w:rsid w:val="00E95EA4"/>
    <w:rsid w:val="00E97A21"/>
    <w:rsid w:val="00EA42AE"/>
    <w:rsid w:val="00EA4DD4"/>
    <w:rsid w:val="00EB0078"/>
    <w:rsid w:val="00EB3655"/>
    <w:rsid w:val="00EB64E6"/>
    <w:rsid w:val="00EC30F1"/>
    <w:rsid w:val="00EC425F"/>
    <w:rsid w:val="00EC723E"/>
    <w:rsid w:val="00ED2880"/>
    <w:rsid w:val="00ED5EC2"/>
    <w:rsid w:val="00ED7745"/>
    <w:rsid w:val="00EF3D2F"/>
    <w:rsid w:val="00EF44D6"/>
    <w:rsid w:val="00EF4B82"/>
    <w:rsid w:val="00F014E0"/>
    <w:rsid w:val="00F0469C"/>
    <w:rsid w:val="00F06AF5"/>
    <w:rsid w:val="00F1132F"/>
    <w:rsid w:val="00F1379B"/>
    <w:rsid w:val="00F160B3"/>
    <w:rsid w:val="00F25963"/>
    <w:rsid w:val="00F41273"/>
    <w:rsid w:val="00F426F6"/>
    <w:rsid w:val="00F4281B"/>
    <w:rsid w:val="00F43B85"/>
    <w:rsid w:val="00F442F3"/>
    <w:rsid w:val="00F445A1"/>
    <w:rsid w:val="00F4551F"/>
    <w:rsid w:val="00F459E1"/>
    <w:rsid w:val="00F5041F"/>
    <w:rsid w:val="00F519D0"/>
    <w:rsid w:val="00F654A1"/>
    <w:rsid w:val="00F66CAB"/>
    <w:rsid w:val="00F75BD2"/>
    <w:rsid w:val="00F81DDF"/>
    <w:rsid w:val="00F8327D"/>
    <w:rsid w:val="00F86F16"/>
    <w:rsid w:val="00FA343C"/>
    <w:rsid w:val="00FA7646"/>
    <w:rsid w:val="00FB0178"/>
    <w:rsid w:val="00FB3D0C"/>
    <w:rsid w:val="00FE30EB"/>
    <w:rsid w:val="00FE346F"/>
    <w:rsid w:val="00FF07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15:docId w15:val="{C9D1C4CF-7E86-4282-8B0F-776FCB0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uiPriority w:val="1"/>
    <w:qFormat/>
    <w:rsid w:val="003D226E"/>
    <w:pPr>
      <w:keepNext/>
      <w:widowControl w:val="0"/>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uiPriority w:val="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paragraph" w:customStyle="1" w:styleId="paragraph">
    <w:name w:val="paragraph"/>
    <w:basedOn w:val="Normal"/>
    <w:rsid w:val="00A1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14F6"/>
  </w:style>
  <w:style w:type="character" w:customStyle="1" w:styleId="eop">
    <w:name w:val="eop"/>
    <w:basedOn w:val="DefaultParagraphFont"/>
    <w:rsid w:val="00A114F6"/>
  </w:style>
  <w:style w:type="character" w:customStyle="1" w:styleId="apple-converted-space">
    <w:name w:val="apple-converted-space"/>
    <w:basedOn w:val="DefaultParagraphFont"/>
    <w:rsid w:val="00A114F6"/>
  </w:style>
  <w:style w:type="character" w:customStyle="1" w:styleId="tabchar">
    <w:name w:val="tabchar"/>
    <w:basedOn w:val="DefaultParagraphFont"/>
    <w:rsid w:val="00A114F6"/>
  </w:style>
  <w:style w:type="character" w:customStyle="1" w:styleId="superscript">
    <w:name w:val="superscript"/>
    <w:basedOn w:val="DefaultParagraphFont"/>
    <w:rsid w:val="00A114F6"/>
  </w:style>
  <w:style w:type="character" w:customStyle="1" w:styleId="UnresolvedMention1">
    <w:name w:val="Unresolved Mention1"/>
    <w:basedOn w:val="DefaultParagraphFont"/>
    <w:uiPriority w:val="99"/>
    <w:semiHidden/>
    <w:unhideWhenUsed/>
    <w:rsid w:val="003A500A"/>
    <w:rPr>
      <w:color w:val="605E5C"/>
      <w:shd w:val="clear" w:color="auto" w:fill="E1DFDD"/>
    </w:rPr>
  </w:style>
  <w:style w:type="character" w:styleId="FollowedHyperlink">
    <w:name w:val="FollowedHyperlink"/>
    <w:basedOn w:val="DefaultParagraphFont"/>
    <w:uiPriority w:val="99"/>
    <w:semiHidden/>
    <w:unhideWhenUsed/>
    <w:rsid w:val="00F160B3"/>
    <w:rPr>
      <w:color w:val="954F72" w:themeColor="followedHyperlink"/>
      <w:u w:val="single"/>
    </w:rPr>
  </w:style>
  <w:style w:type="character" w:customStyle="1" w:styleId="UnresolvedMention">
    <w:name w:val="Unresolved Mention"/>
    <w:basedOn w:val="DefaultParagraphFont"/>
    <w:uiPriority w:val="99"/>
    <w:rsid w:val="00406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documents/2021/01/13/2021-00052/protecting-against-national-security-threats-to-the-communications-supply-chain-through-fcc-programs" TargetMode="External" /><Relationship Id="rId11" Type="http://schemas.openxmlformats.org/officeDocument/2006/relationships/hyperlink" Target="https://docs.fcc.gov/public/attachments/DA-21-309A1.pdf" TargetMode="External" /><Relationship Id="rId12" Type="http://schemas.openxmlformats.org/officeDocument/2006/relationships/hyperlink" Target="https://www.fcc.gov/document/fcc-acts-protect-national-security-communications-supply-chain-0" TargetMode="External" /><Relationship Id="rId13" Type="http://schemas.openxmlformats.org/officeDocument/2006/relationships/hyperlink" Target="https://www.federalregister.gov/documents/2021/08/23/2021-17279/protecting-against-national-security-threats-to-the-communications-supply-chain-through-fcc-programs" TargetMode="External" /><Relationship Id="rId14" Type="http://schemas.openxmlformats.org/officeDocument/2006/relationships/hyperlink" Target="https://www.federalregister.gov/documents/2021/10/06/2021-21783/protecting-against-national-security-threats-to-the-communications-supply-chain-through-fcc-programs" TargetMode="External" /><Relationship Id="rId15" Type="http://schemas.openxmlformats.org/officeDocument/2006/relationships/header" Target="header3.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www.fcc.gov/supplychain/coveredlist" TargetMode="External" /><Relationship Id="rId8" Type="http://schemas.openxmlformats.org/officeDocument/2006/relationships/hyperlink" Target="https://www.fcc.gov/supplychain" TargetMode="External" /><Relationship Id="rId9" Type="http://schemas.openxmlformats.org/officeDocument/2006/relationships/hyperlink" Target="https://docs.fcc.gov/public/attachments/FCC-20-176A1.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