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28B" w:rsidRPr="00A01E5A" w14:paraId="3834DE58" w14:textId="77777777">
      <w:pPr>
        <w:jc w:val="center"/>
        <w:rPr>
          <w:b/>
          <w:szCs w:val="22"/>
        </w:rPr>
      </w:pPr>
      <w:r w:rsidRPr="00A01E5A">
        <w:rPr>
          <w:b/>
          <w:szCs w:val="22"/>
        </w:rPr>
        <w:t>Before the</w:t>
      </w:r>
    </w:p>
    <w:p w:rsidR="0060228B" w:rsidRPr="00A01E5A" w14:paraId="5F42A564" w14:textId="77777777">
      <w:pPr>
        <w:jc w:val="center"/>
        <w:rPr>
          <w:b/>
          <w:szCs w:val="22"/>
        </w:rPr>
      </w:pPr>
      <w:r w:rsidRPr="00A01E5A">
        <w:rPr>
          <w:b/>
          <w:szCs w:val="22"/>
        </w:rPr>
        <w:t>Federal Communications Commission</w:t>
      </w:r>
    </w:p>
    <w:p w:rsidR="0060228B" w:rsidRPr="00A01E5A" w14:paraId="1ACFDBDA" w14:textId="77777777">
      <w:pPr>
        <w:jc w:val="center"/>
        <w:rPr>
          <w:b/>
          <w:szCs w:val="22"/>
        </w:rPr>
      </w:pPr>
      <w:r w:rsidRPr="00A01E5A">
        <w:rPr>
          <w:b/>
          <w:szCs w:val="22"/>
        </w:rPr>
        <w:t>Washington, D.C. 20554</w:t>
      </w:r>
    </w:p>
    <w:p w:rsidR="0060228B" w:rsidRPr="00A01E5A" w14:paraId="3331EA9A" w14:textId="77777777">
      <w:pPr>
        <w:rPr>
          <w:szCs w:val="22"/>
        </w:rPr>
      </w:pPr>
    </w:p>
    <w:p w:rsidR="0060228B" w:rsidRPr="00A01E5A" w14:paraId="1D01D676" w14:textId="77777777">
      <w:pPr>
        <w:rPr>
          <w:szCs w:val="22"/>
        </w:rPr>
      </w:pPr>
    </w:p>
    <w:tbl>
      <w:tblPr>
        <w:tblW w:w="9576" w:type="dxa"/>
        <w:tblInd w:w="-108" w:type="dxa"/>
        <w:tblLayout w:type="fixed"/>
        <w:tblLook w:val="0000"/>
      </w:tblPr>
      <w:tblGrid>
        <w:gridCol w:w="4698"/>
        <w:gridCol w:w="630"/>
        <w:gridCol w:w="4248"/>
      </w:tblGrid>
      <w:tr w14:paraId="3CEF371D" w14:textId="77777777" w:rsidTr="005C02BC">
        <w:tblPrEx>
          <w:tblW w:w="9576" w:type="dxa"/>
          <w:tblInd w:w="-108" w:type="dxa"/>
          <w:tblLayout w:type="fixed"/>
          <w:tblLook w:val="0000"/>
        </w:tblPrEx>
        <w:tc>
          <w:tcPr>
            <w:tcW w:w="4698" w:type="dxa"/>
          </w:tcPr>
          <w:p w:rsidR="005C02BC" w:rsidRPr="00A01E5A" w:rsidP="008833E7" w14:paraId="6A8D2F67" w14:textId="77777777">
            <w:pPr>
              <w:tabs>
                <w:tab w:val="center" w:pos="4680"/>
              </w:tabs>
              <w:suppressAutoHyphens/>
              <w:rPr>
                <w:spacing w:val="-2"/>
                <w:szCs w:val="22"/>
              </w:rPr>
            </w:pPr>
            <w:r w:rsidRPr="00A01E5A">
              <w:rPr>
                <w:spacing w:val="-2"/>
                <w:szCs w:val="22"/>
              </w:rPr>
              <w:t>In the Matter of</w:t>
            </w:r>
          </w:p>
          <w:p w:rsidR="005C02BC" w:rsidRPr="00A01E5A" w:rsidP="008833E7" w14:paraId="456067A5" w14:textId="77777777">
            <w:pPr>
              <w:tabs>
                <w:tab w:val="center" w:pos="4680"/>
              </w:tabs>
              <w:suppressAutoHyphens/>
              <w:rPr>
                <w:spacing w:val="-2"/>
                <w:szCs w:val="22"/>
              </w:rPr>
            </w:pPr>
          </w:p>
          <w:p w:rsidR="00D71584" w:rsidRPr="00A01E5A" w:rsidP="00D71584" w14:paraId="1E750DFE" w14:textId="77777777">
            <w:pPr>
              <w:tabs>
                <w:tab w:val="center" w:pos="4680"/>
              </w:tabs>
              <w:suppressAutoHyphens/>
              <w:rPr>
                <w:spacing w:val="-2"/>
                <w:szCs w:val="22"/>
              </w:rPr>
            </w:pPr>
            <w:r w:rsidRPr="00A01E5A">
              <w:rPr>
                <w:spacing w:val="-2"/>
                <w:szCs w:val="22"/>
              </w:rPr>
              <w:t xml:space="preserve">Use of the </w:t>
            </w:r>
            <w:r w:rsidRPr="00A01E5A" w:rsidR="00AE1462">
              <w:rPr>
                <w:spacing w:val="-2"/>
                <w:szCs w:val="22"/>
              </w:rPr>
              <w:t>5.850-5.925</w:t>
            </w:r>
            <w:r w:rsidRPr="00A01E5A">
              <w:rPr>
                <w:spacing w:val="-2"/>
                <w:szCs w:val="22"/>
              </w:rPr>
              <w:t xml:space="preserve"> GHz Band</w:t>
            </w:r>
          </w:p>
          <w:p w:rsidR="005C02BC" w:rsidRPr="00A01E5A" w:rsidP="00D71584" w14:paraId="0BA69614" w14:textId="77777777">
            <w:pPr>
              <w:tabs>
                <w:tab w:val="center" w:pos="4680"/>
              </w:tabs>
              <w:suppressAutoHyphens/>
              <w:rPr>
                <w:spacing w:val="-2"/>
                <w:szCs w:val="22"/>
              </w:rPr>
            </w:pPr>
          </w:p>
        </w:tc>
        <w:tc>
          <w:tcPr>
            <w:tcW w:w="630" w:type="dxa"/>
          </w:tcPr>
          <w:p w:rsidR="005C02BC" w:rsidRPr="00A01E5A" w:rsidP="008833E7" w14:paraId="10D837B7" w14:textId="77777777">
            <w:pPr>
              <w:tabs>
                <w:tab w:val="center" w:pos="4680"/>
              </w:tabs>
              <w:suppressAutoHyphens/>
              <w:rPr>
                <w:b/>
                <w:spacing w:val="-2"/>
                <w:szCs w:val="22"/>
              </w:rPr>
            </w:pPr>
            <w:r w:rsidRPr="00A01E5A">
              <w:rPr>
                <w:b/>
                <w:spacing w:val="-2"/>
                <w:szCs w:val="22"/>
              </w:rPr>
              <w:t>)</w:t>
            </w:r>
          </w:p>
          <w:p w:rsidR="005C02BC" w:rsidRPr="00A01E5A" w:rsidP="008833E7" w14:paraId="51DE0EAB" w14:textId="77777777">
            <w:pPr>
              <w:tabs>
                <w:tab w:val="center" w:pos="4680"/>
              </w:tabs>
              <w:suppressAutoHyphens/>
              <w:rPr>
                <w:b/>
                <w:spacing w:val="-2"/>
                <w:szCs w:val="22"/>
              </w:rPr>
            </w:pPr>
            <w:r w:rsidRPr="00A01E5A">
              <w:rPr>
                <w:b/>
                <w:spacing w:val="-2"/>
                <w:szCs w:val="22"/>
              </w:rPr>
              <w:t>)</w:t>
            </w:r>
          </w:p>
          <w:p w:rsidR="005C02BC" w:rsidRPr="00A01E5A" w:rsidP="008833E7" w14:paraId="4EE58FE2" w14:textId="77777777">
            <w:pPr>
              <w:tabs>
                <w:tab w:val="center" w:pos="4680"/>
              </w:tabs>
              <w:suppressAutoHyphens/>
              <w:rPr>
                <w:b/>
                <w:spacing w:val="-2"/>
                <w:szCs w:val="22"/>
              </w:rPr>
            </w:pPr>
            <w:r w:rsidRPr="00A01E5A">
              <w:rPr>
                <w:b/>
                <w:spacing w:val="-2"/>
                <w:szCs w:val="22"/>
              </w:rPr>
              <w:t>)</w:t>
            </w:r>
          </w:p>
          <w:p w:rsidR="005C02BC" w:rsidRPr="00A01E5A" w:rsidP="008833E7" w14:paraId="57CDC22B" w14:textId="77777777">
            <w:pPr>
              <w:tabs>
                <w:tab w:val="center" w:pos="4680"/>
              </w:tabs>
              <w:suppressAutoHyphens/>
              <w:rPr>
                <w:spacing w:val="-2"/>
                <w:szCs w:val="22"/>
              </w:rPr>
            </w:pPr>
          </w:p>
        </w:tc>
        <w:tc>
          <w:tcPr>
            <w:tcW w:w="4248" w:type="dxa"/>
          </w:tcPr>
          <w:p w:rsidR="005C02BC" w:rsidRPr="00A01E5A" w:rsidP="008833E7" w14:paraId="0B9EC923" w14:textId="77777777">
            <w:pPr>
              <w:tabs>
                <w:tab w:val="center" w:pos="4680"/>
              </w:tabs>
              <w:suppressAutoHyphens/>
              <w:rPr>
                <w:spacing w:val="-2"/>
                <w:szCs w:val="22"/>
              </w:rPr>
            </w:pPr>
          </w:p>
          <w:p w:rsidR="00D71584" w:rsidRPr="00A01E5A" w:rsidP="00D71584" w14:paraId="69C9F92A" w14:textId="77777777">
            <w:pPr>
              <w:tabs>
                <w:tab w:val="center" w:pos="4680"/>
              </w:tabs>
              <w:suppressAutoHyphens/>
              <w:rPr>
                <w:spacing w:val="-2"/>
                <w:szCs w:val="22"/>
              </w:rPr>
            </w:pPr>
            <w:r w:rsidRPr="00A01E5A">
              <w:rPr>
                <w:spacing w:val="-2"/>
                <w:szCs w:val="22"/>
              </w:rPr>
              <w:t xml:space="preserve">ET Docket No. </w:t>
            </w:r>
            <w:r w:rsidRPr="00A01E5A" w:rsidR="00AE1462">
              <w:rPr>
                <w:spacing w:val="-2"/>
                <w:szCs w:val="22"/>
              </w:rPr>
              <w:t>19-138</w:t>
            </w:r>
          </w:p>
          <w:p w:rsidR="005C02BC" w:rsidRPr="00A01E5A" w:rsidP="00960650" w14:paraId="0468A0D8" w14:textId="77777777">
            <w:pPr>
              <w:tabs>
                <w:tab w:val="center" w:pos="4680"/>
              </w:tabs>
              <w:suppressAutoHyphens/>
              <w:rPr>
                <w:spacing w:val="-2"/>
                <w:szCs w:val="22"/>
              </w:rPr>
            </w:pPr>
          </w:p>
        </w:tc>
      </w:tr>
    </w:tbl>
    <w:p w:rsidR="0060228B" w:rsidRPr="00A01E5A" w14:paraId="402239AA" w14:textId="77777777">
      <w:pPr>
        <w:rPr>
          <w:szCs w:val="22"/>
        </w:rPr>
      </w:pPr>
    </w:p>
    <w:p w:rsidR="0060228B" w:rsidRPr="00A01E5A" w:rsidP="002D76D6" w14:paraId="7C0AF856" w14:textId="5B9EFC9A">
      <w:pPr>
        <w:jc w:val="center"/>
        <w:rPr>
          <w:b/>
          <w:spacing w:val="-2"/>
          <w:szCs w:val="22"/>
        </w:rPr>
      </w:pPr>
      <w:r>
        <w:rPr>
          <w:b/>
          <w:spacing w:val="-2"/>
          <w:szCs w:val="22"/>
        </w:rPr>
        <w:t xml:space="preserve">SECOND </w:t>
      </w:r>
      <w:r w:rsidRPr="00A01E5A" w:rsidR="002E11C1">
        <w:rPr>
          <w:b/>
          <w:spacing w:val="-2"/>
          <w:szCs w:val="22"/>
        </w:rPr>
        <w:t>ERRATUM</w:t>
      </w:r>
    </w:p>
    <w:p w:rsidR="002D76D6" w:rsidRPr="00A01E5A" w:rsidP="002D76D6" w14:paraId="4BE5E351" w14:textId="77777777">
      <w:pPr>
        <w:rPr>
          <w:b/>
          <w:spacing w:val="-2"/>
          <w:szCs w:val="22"/>
        </w:rPr>
      </w:pPr>
    </w:p>
    <w:p w:rsidR="0060228B" w:rsidRPr="00A01E5A" w:rsidP="002D76D6" w14:paraId="4D4E7FCE" w14:textId="3AB2195A">
      <w:pPr>
        <w:jc w:val="right"/>
        <w:rPr>
          <w:b/>
          <w:szCs w:val="22"/>
        </w:rPr>
      </w:pPr>
      <w:r w:rsidRPr="00A01E5A">
        <w:rPr>
          <w:b/>
          <w:szCs w:val="22"/>
        </w:rPr>
        <w:t xml:space="preserve">Released:  </w:t>
      </w:r>
      <w:r w:rsidR="00DB25F8">
        <w:rPr>
          <w:b/>
          <w:szCs w:val="22"/>
        </w:rPr>
        <w:t xml:space="preserve">February </w:t>
      </w:r>
      <w:r w:rsidR="005A4AD1">
        <w:rPr>
          <w:b/>
          <w:szCs w:val="22"/>
        </w:rPr>
        <w:t>9</w:t>
      </w:r>
      <w:r w:rsidRPr="00A01E5A" w:rsidR="00A01E5A">
        <w:rPr>
          <w:b/>
          <w:szCs w:val="22"/>
        </w:rPr>
        <w:t>, 202</w:t>
      </w:r>
      <w:r w:rsidR="00DB25F8">
        <w:rPr>
          <w:b/>
          <w:szCs w:val="22"/>
        </w:rPr>
        <w:t>1</w:t>
      </w:r>
    </w:p>
    <w:p w:rsidR="002D76D6" w:rsidRPr="00A01E5A" w:rsidP="002D76D6" w14:paraId="5789D275" w14:textId="77777777">
      <w:pPr>
        <w:rPr>
          <w:b/>
          <w:szCs w:val="22"/>
        </w:rPr>
      </w:pPr>
    </w:p>
    <w:p w:rsidR="0060228B" w:rsidRPr="00A01E5A" w:rsidP="003A172B" w14:paraId="5D5BBD6D" w14:textId="77777777">
      <w:pPr>
        <w:rPr>
          <w:spacing w:val="-2"/>
          <w:szCs w:val="22"/>
        </w:rPr>
      </w:pPr>
      <w:r w:rsidRPr="00A01E5A">
        <w:rPr>
          <w:szCs w:val="22"/>
        </w:rPr>
        <w:t xml:space="preserve">By the </w:t>
      </w:r>
      <w:r w:rsidRPr="00A01E5A" w:rsidR="00BF3382">
        <w:rPr>
          <w:szCs w:val="22"/>
        </w:rPr>
        <w:t xml:space="preserve">Acting </w:t>
      </w:r>
      <w:r w:rsidRPr="00A01E5A">
        <w:rPr>
          <w:szCs w:val="22"/>
        </w:rPr>
        <w:t>Chief, Office of Engineering and Technology</w:t>
      </w:r>
      <w:r w:rsidRPr="00A01E5A">
        <w:rPr>
          <w:spacing w:val="-2"/>
          <w:szCs w:val="22"/>
        </w:rPr>
        <w:t>:</w:t>
      </w:r>
    </w:p>
    <w:p w:rsidR="002D76D6" w:rsidRPr="00A01E5A" w:rsidP="003A172B" w14:paraId="237EE028" w14:textId="77777777">
      <w:pPr>
        <w:rPr>
          <w:szCs w:val="22"/>
        </w:rPr>
      </w:pPr>
    </w:p>
    <w:p w:rsidR="005B791D" w:rsidP="00EF6BC0" w14:paraId="2F009172" w14:textId="136DD7F6">
      <w:pPr>
        <w:pStyle w:val="ParaNum"/>
        <w:numPr>
          <w:ilvl w:val="0"/>
          <w:numId w:val="0"/>
        </w:numPr>
        <w:ind w:firstLine="720"/>
        <w:rPr>
          <w:szCs w:val="22"/>
        </w:rPr>
      </w:pPr>
      <w:r w:rsidRPr="00A01E5A">
        <w:rPr>
          <w:szCs w:val="22"/>
        </w:rPr>
        <w:t xml:space="preserve">On </w:t>
      </w:r>
      <w:r w:rsidRPr="00A01E5A" w:rsidR="00AE1462">
        <w:rPr>
          <w:szCs w:val="22"/>
        </w:rPr>
        <w:t>November 20</w:t>
      </w:r>
      <w:r w:rsidRPr="00A01E5A" w:rsidR="00B216E9">
        <w:rPr>
          <w:szCs w:val="22"/>
        </w:rPr>
        <w:t>, 20</w:t>
      </w:r>
      <w:r w:rsidRPr="00A01E5A" w:rsidR="00D71584">
        <w:rPr>
          <w:szCs w:val="22"/>
        </w:rPr>
        <w:t>20</w:t>
      </w:r>
      <w:r w:rsidRPr="00A01E5A" w:rsidR="00B216E9">
        <w:rPr>
          <w:szCs w:val="22"/>
        </w:rPr>
        <w:t xml:space="preserve">, the Commission </w:t>
      </w:r>
      <w:r w:rsidRPr="00A01E5A">
        <w:rPr>
          <w:szCs w:val="22"/>
        </w:rPr>
        <w:t xml:space="preserve">released a </w:t>
      </w:r>
      <w:r w:rsidRPr="00A01E5A" w:rsidR="00AE1462">
        <w:rPr>
          <w:i/>
          <w:iCs/>
          <w:szCs w:val="22"/>
        </w:rPr>
        <w:t xml:space="preserve">First </w:t>
      </w:r>
      <w:r w:rsidRPr="00A01E5A" w:rsidR="00B216E9">
        <w:rPr>
          <w:i/>
          <w:szCs w:val="22"/>
        </w:rPr>
        <w:t>Report</w:t>
      </w:r>
      <w:r w:rsidRPr="00A01E5A" w:rsidR="00AE1462">
        <w:rPr>
          <w:i/>
          <w:szCs w:val="22"/>
        </w:rPr>
        <w:t xml:space="preserve"> and Order, Further</w:t>
      </w:r>
      <w:r w:rsidRPr="00A01E5A" w:rsidR="00B216E9">
        <w:rPr>
          <w:i/>
          <w:szCs w:val="22"/>
        </w:rPr>
        <w:t xml:space="preserve"> </w:t>
      </w:r>
      <w:r w:rsidRPr="00A01E5A" w:rsidR="00D71584">
        <w:rPr>
          <w:i/>
          <w:szCs w:val="22"/>
        </w:rPr>
        <w:t>Notice of Proposed Rulemaking</w:t>
      </w:r>
      <w:r w:rsidRPr="00A01E5A" w:rsidR="00AE1462">
        <w:rPr>
          <w:i/>
          <w:szCs w:val="22"/>
        </w:rPr>
        <w:t>, and Order of Proposed Modification</w:t>
      </w:r>
      <w:r w:rsidRPr="00A01E5A" w:rsidR="00B216E9">
        <w:rPr>
          <w:szCs w:val="22"/>
        </w:rPr>
        <w:t xml:space="preserve">, FCC </w:t>
      </w:r>
      <w:r w:rsidRPr="00A01E5A" w:rsidR="00D71584">
        <w:rPr>
          <w:szCs w:val="22"/>
        </w:rPr>
        <w:t>20-</w:t>
      </w:r>
      <w:r w:rsidRPr="00A01E5A" w:rsidR="00AE1462">
        <w:rPr>
          <w:szCs w:val="22"/>
        </w:rPr>
        <w:t>164</w:t>
      </w:r>
      <w:r w:rsidRPr="00A01E5A" w:rsidR="00B216E9">
        <w:rPr>
          <w:szCs w:val="22"/>
        </w:rPr>
        <w:t>, in the above-</w:t>
      </w:r>
      <w:r w:rsidRPr="00A01E5A">
        <w:rPr>
          <w:szCs w:val="22"/>
        </w:rPr>
        <w:t xml:space="preserve">captioned proceeding.  </w:t>
      </w:r>
      <w:r w:rsidRPr="00A01E5A" w:rsidR="00B978E5">
        <w:rPr>
          <w:szCs w:val="22"/>
        </w:rPr>
        <w:t>T</w:t>
      </w:r>
      <w:r w:rsidRPr="00A01E5A">
        <w:rPr>
          <w:szCs w:val="22"/>
        </w:rPr>
        <w:t xml:space="preserve">his </w:t>
      </w:r>
      <w:r w:rsidR="008C50F3">
        <w:rPr>
          <w:szCs w:val="22"/>
        </w:rPr>
        <w:t xml:space="preserve">Second </w:t>
      </w:r>
      <w:r w:rsidRPr="00A01E5A">
        <w:rPr>
          <w:szCs w:val="22"/>
        </w:rPr>
        <w:t xml:space="preserve">Erratum </w:t>
      </w:r>
      <w:r w:rsidR="00EF6BC0">
        <w:rPr>
          <w:szCs w:val="22"/>
        </w:rPr>
        <w:t xml:space="preserve">amends the </w:t>
      </w:r>
      <w:r w:rsidRPr="00A01E5A" w:rsidR="00EF6BC0">
        <w:rPr>
          <w:i/>
          <w:iCs/>
          <w:szCs w:val="22"/>
        </w:rPr>
        <w:t xml:space="preserve">First </w:t>
      </w:r>
      <w:r w:rsidRPr="00A01E5A" w:rsidR="00EF6BC0">
        <w:rPr>
          <w:i/>
          <w:szCs w:val="22"/>
        </w:rPr>
        <w:t>Report and Order</w:t>
      </w:r>
      <w:r w:rsidR="007C73F5">
        <w:rPr>
          <w:i/>
          <w:szCs w:val="22"/>
        </w:rPr>
        <w:t xml:space="preserve">, </w:t>
      </w:r>
      <w:r w:rsidR="007C73F5">
        <w:rPr>
          <w:iCs/>
          <w:szCs w:val="22"/>
        </w:rPr>
        <w:t>the</w:t>
      </w:r>
      <w:r w:rsidRPr="00A01E5A" w:rsidR="00EF6BC0">
        <w:rPr>
          <w:i/>
          <w:szCs w:val="22"/>
        </w:rPr>
        <w:t xml:space="preserve"> Further Notice of Proposed Rulemaking</w:t>
      </w:r>
      <w:r w:rsidR="007C73F5">
        <w:rPr>
          <w:i/>
          <w:szCs w:val="22"/>
        </w:rPr>
        <w:t>,</w:t>
      </w:r>
      <w:r w:rsidRPr="00A01E5A" w:rsidR="00EF6BC0">
        <w:rPr>
          <w:i/>
          <w:szCs w:val="22"/>
        </w:rPr>
        <w:t xml:space="preserve"> </w:t>
      </w:r>
      <w:r w:rsidR="00481F4E">
        <w:rPr>
          <w:iCs/>
          <w:szCs w:val="22"/>
        </w:rPr>
        <w:t xml:space="preserve">and Appendices A and B </w:t>
      </w:r>
      <w:r w:rsidRPr="005B791D">
        <w:rPr>
          <w:szCs w:val="22"/>
        </w:rPr>
        <w:t>as indicated below:</w:t>
      </w:r>
    </w:p>
    <w:p w:rsidR="003612DC" w:rsidP="005A4AD1" w14:paraId="556A250A" w14:textId="1AAF61D3">
      <w:pPr>
        <w:pStyle w:val="ParaNum"/>
        <w:numPr>
          <w:ilvl w:val="0"/>
          <w:numId w:val="4"/>
        </w:numPr>
        <w:ind w:left="0" w:firstLine="360"/>
        <w:rPr>
          <w:szCs w:val="22"/>
        </w:rPr>
      </w:pPr>
      <w:r>
        <w:rPr>
          <w:szCs w:val="22"/>
        </w:rPr>
        <w:t xml:space="preserve">In </w:t>
      </w:r>
      <w:r w:rsidR="005B0CFB">
        <w:rPr>
          <w:szCs w:val="22"/>
        </w:rPr>
        <w:t>P</w:t>
      </w:r>
      <w:r w:rsidR="00DB25F8">
        <w:rPr>
          <w:szCs w:val="22"/>
        </w:rPr>
        <w:t>aragraph 61</w:t>
      </w:r>
      <w:r>
        <w:rPr>
          <w:szCs w:val="22"/>
        </w:rPr>
        <w:t>,</w:t>
      </w:r>
      <w:r w:rsidR="009862C1">
        <w:rPr>
          <w:szCs w:val="22"/>
        </w:rPr>
        <w:t xml:space="preserve"> </w:t>
      </w:r>
      <w:r w:rsidR="005B0CFB">
        <w:rPr>
          <w:szCs w:val="22"/>
        </w:rPr>
        <w:t>replac</w:t>
      </w:r>
      <w:r>
        <w:rPr>
          <w:szCs w:val="22"/>
        </w:rPr>
        <w:t>e</w:t>
      </w:r>
      <w:r w:rsidR="005B0CFB">
        <w:rPr>
          <w:szCs w:val="22"/>
        </w:rPr>
        <w:t xml:space="preserve"> “5.850-5.925” with “5.850-5.895</w:t>
      </w:r>
      <w:r w:rsidR="00C8346D">
        <w:rPr>
          <w:szCs w:val="22"/>
        </w:rPr>
        <w:t>.</w:t>
      </w:r>
      <w:r w:rsidR="005B0CFB">
        <w:rPr>
          <w:szCs w:val="22"/>
        </w:rPr>
        <w:t>”</w:t>
      </w:r>
    </w:p>
    <w:p w:rsidR="005B791D" w:rsidP="005A4AD1" w14:paraId="43EF7363" w14:textId="5B3A7B93">
      <w:pPr>
        <w:pStyle w:val="ParaNum"/>
        <w:numPr>
          <w:ilvl w:val="0"/>
          <w:numId w:val="4"/>
        </w:numPr>
        <w:ind w:left="0" w:firstLine="360"/>
        <w:rPr>
          <w:szCs w:val="22"/>
        </w:rPr>
      </w:pPr>
      <w:r>
        <w:rPr>
          <w:szCs w:val="22"/>
        </w:rPr>
        <w:t xml:space="preserve">In </w:t>
      </w:r>
      <w:r>
        <w:rPr>
          <w:szCs w:val="22"/>
        </w:rPr>
        <w:t>Paragraph 76</w:t>
      </w:r>
      <w:r>
        <w:rPr>
          <w:szCs w:val="22"/>
        </w:rPr>
        <w:t>,</w:t>
      </w:r>
      <w:r>
        <w:rPr>
          <w:szCs w:val="22"/>
        </w:rPr>
        <w:t xml:space="preserve"> replac</w:t>
      </w:r>
      <w:r>
        <w:rPr>
          <w:szCs w:val="22"/>
        </w:rPr>
        <w:t>e</w:t>
      </w:r>
      <w:r>
        <w:rPr>
          <w:szCs w:val="22"/>
        </w:rPr>
        <w:t xml:space="preserve"> “inference” with “interference.”</w:t>
      </w:r>
    </w:p>
    <w:p w:rsidR="008C50F3" w:rsidP="005A4AD1" w14:paraId="07633D7D" w14:textId="204C5DCA">
      <w:pPr>
        <w:pStyle w:val="ParaNum"/>
        <w:numPr>
          <w:ilvl w:val="0"/>
          <w:numId w:val="4"/>
        </w:numPr>
        <w:ind w:left="0" w:firstLine="360"/>
        <w:rPr>
          <w:szCs w:val="22"/>
        </w:rPr>
      </w:pPr>
      <w:r>
        <w:rPr>
          <w:szCs w:val="22"/>
        </w:rPr>
        <w:t xml:space="preserve">In </w:t>
      </w:r>
      <w:r w:rsidR="00BB48CF">
        <w:rPr>
          <w:szCs w:val="22"/>
        </w:rPr>
        <w:t>P</w:t>
      </w:r>
      <w:r>
        <w:rPr>
          <w:szCs w:val="22"/>
        </w:rPr>
        <w:t>aragraph 177, in t</w:t>
      </w:r>
      <w:r w:rsidR="005B0CFB">
        <w:rPr>
          <w:szCs w:val="22"/>
        </w:rPr>
        <w:t xml:space="preserve">he </w:t>
      </w:r>
      <w:r>
        <w:rPr>
          <w:szCs w:val="22"/>
        </w:rPr>
        <w:t>second sentence</w:t>
      </w:r>
      <w:r>
        <w:rPr>
          <w:szCs w:val="22"/>
        </w:rPr>
        <w:t>,</w:t>
      </w:r>
      <w:r>
        <w:rPr>
          <w:szCs w:val="22"/>
        </w:rPr>
        <w:t xml:space="preserve"> </w:t>
      </w:r>
      <w:r w:rsidR="005B0CFB">
        <w:rPr>
          <w:szCs w:val="22"/>
        </w:rPr>
        <w:t>replac</w:t>
      </w:r>
      <w:r>
        <w:rPr>
          <w:szCs w:val="22"/>
        </w:rPr>
        <w:t>e</w:t>
      </w:r>
      <w:r w:rsidR="005B0CFB">
        <w:rPr>
          <w:szCs w:val="22"/>
        </w:rPr>
        <w:t xml:space="preserve"> the phrase “</w:t>
      </w:r>
      <w:r w:rsidR="004A31ED">
        <w:rPr>
          <w:szCs w:val="22"/>
        </w:rPr>
        <w:t>same power levels as</w:t>
      </w:r>
      <w:r w:rsidR="005B0CFB">
        <w:rPr>
          <w:szCs w:val="22"/>
        </w:rPr>
        <w:t xml:space="preserve"> U-NII-</w:t>
      </w:r>
      <w:r w:rsidR="004A31ED">
        <w:rPr>
          <w:szCs w:val="22"/>
        </w:rPr>
        <w:t>4</w:t>
      </w:r>
      <w:r w:rsidR="005B0CFB">
        <w:rPr>
          <w:szCs w:val="22"/>
        </w:rPr>
        <w:t xml:space="preserve"> devices” </w:t>
      </w:r>
      <w:r w:rsidR="00A050F5">
        <w:rPr>
          <w:szCs w:val="22"/>
        </w:rPr>
        <w:t>with</w:t>
      </w:r>
      <w:r w:rsidR="005B0CFB">
        <w:rPr>
          <w:szCs w:val="22"/>
        </w:rPr>
        <w:t xml:space="preserve"> “</w:t>
      </w:r>
      <w:r w:rsidR="004A31ED">
        <w:rPr>
          <w:szCs w:val="22"/>
        </w:rPr>
        <w:t>same power levels as</w:t>
      </w:r>
      <w:r w:rsidR="005B0CFB">
        <w:rPr>
          <w:szCs w:val="22"/>
        </w:rPr>
        <w:t xml:space="preserve"> U-NII-</w:t>
      </w:r>
      <w:r w:rsidR="004A31ED">
        <w:rPr>
          <w:szCs w:val="22"/>
        </w:rPr>
        <w:t>3</w:t>
      </w:r>
      <w:r w:rsidR="005B0CFB">
        <w:rPr>
          <w:szCs w:val="22"/>
        </w:rPr>
        <w:t xml:space="preserve"> devices</w:t>
      </w:r>
      <w:r w:rsidR="00C8346D">
        <w:rPr>
          <w:szCs w:val="22"/>
        </w:rPr>
        <w:t>.</w:t>
      </w:r>
      <w:r w:rsidR="005B0CFB">
        <w:rPr>
          <w:szCs w:val="22"/>
        </w:rPr>
        <w:t>”</w:t>
      </w:r>
      <w:r>
        <w:rPr>
          <w:szCs w:val="22"/>
        </w:rPr>
        <w:t xml:space="preserve"> </w:t>
      </w:r>
    </w:p>
    <w:p w:rsidR="00EC31EE" w:rsidRPr="00A01E5A" w:rsidP="005B791D" w14:paraId="18C33AAD" w14:textId="2CB6E201">
      <w:pPr>
        <w:pStyle w:val="ParaNum"/>
        <w:numPr>
          <w:ilvl w:val="0"/>
          <w:numId w:val="0"/>
        </w:numPr>
        <w:ind w:firstLine="720"/>
        <w:rPr>
          <w:szCs w:val="22"/>
        </w:rPr>
      </w:pPr>
      <w:bookmarkStart w:id="0" w:name="_Hlk40076946"/>
      <w:r>
        <w:rPr>
          <w:szCs w:val="22"/>
        </w:rPr>
        <w:t>T</w:t>
      </w:r>
      <w:r w:rsidRPr="00A01E5A" w:rsidR="00363EE0">
        <w:rPr>
          <w:szCs w:val="22"/>
        </w:rPr>
        <w:t xml:space="preserve">he </w:t>
      </w:r>
      <w:r w:rsidRPr="005A4AD1" w:rsidR="009118F8">
        <w:rPr>
          <w:b/>
          <w:bCs/>
          <w:szCs w:val="22"/>
        </w:rPr>
        <w:t>Final Rules</w:t>
      </w:r>
      <w:r w:rsidRPr="00A01E5A" w:rsidR="009118F8">
        <w:rPr>
          <w:szCs w:val="22"/>
        </w:rPr>
        <w:t xml:space="preserve"> in </w:t>
      </w:r>
      <w:r w:rsidRPr="003A172B" w:rsidR="00F876A9">
        <w:rPr>
          <w:b/>
          <w:bCs/>
          <w:szCs w:val="22"/>
        </w:rPr>
        <w:t>A</w:t>
      </w:r>
      <w:r w:rsidRPr="003A172B">
        <w:rPr>
          <w:b/>
          <w:bCs/>
          <w:szCs w:val="22"/>
        </w:rPr>
        <w:t>PPENDIX</w:t>
      </w:r>
      <w:r w:rsidRPr="003A172B" w:rsidR="00F876A9">
        <w:rPr>
          <w:b/>
          <w:bCs/>
          <w:szCs w:val="22"/>
        </w:rPr>
        <w:t xml:space="preserve"> A</w:t>
      </w:r>
      <w:r>
        <w:rPr>
          <w:szCs w:val="22"/>
        </w:rPr>
        <w:t xml:space="preserve"> </w:t>
      </w:r>
      <w:r w:rsidR="005B0CFB">
        <w:rPr>
          <w:szCs w:val="22"/>
        </w:rPr>
        <w:t xml:space="preserve">are </w:t>
      </w:r>
      <w:r w:rsidR="00E14A2E">
        <w:rPr>
          <w:szCs w:val="22"/>
        </w:rPr>
        <w:t>corrected</w:t>
      </w:r>
      <w:r w:rsidRPr="00A01E5A" w:rsidR="009118F8">
        <w:rPr>
          <w:szCs w:val="22"/>
        </w:rPr>
        <w:t xml:space="preserve"> </w:t>
      </w:r>
      <w:r w:rsidRPr="00A01E5A" w:rsidR="002A2FB4">
        <w:rPr>
          <w:szCs w:val="22"/>
        </w:rPr>
        <w:t xml:space="preserve">as </w:t>
      </w:r>
      <w:r w:rsidR="00BB48CF">
        <w:rPr>
          <w:szCs w:val="22"/>
        </w:rPr>
        <w:t>follows</w:t>
      </w:r>
      <w:r>
        <w:rPr>
          <w:szCs w:val="22"/>
        </w:rPr>
        <w:t>:</w:t>
      </w:r>
    </w:p>
    <w:p w:rsidR="00240671" w14:paraId="01E471DB" w14:textId="0E96C05A">
      <w:pPr>
        <w:pStyle w:val="ParaNum"/>
        <w:numPr>
          <w:ilvl w:val="0"/>
          <w:numId w:val="4"/>
        </w:numPr>
        <w:ind w:left="0" w:firstLine="360"/>
      </w:pPr>
      <w:r>
        <w:t>P</w:t>
      </w:r>
      <w:r w:rsidR="004B1D40">
        <w:t xml:space="preserve">aragraph 3 is corrected </w:t>
      </w:r>
      <w:r>
        <w:t>to read as follows:</w:t>
      </w:r>
    </w:p>
    <w:p w:rsidR="004B1D40" w:rsidRPr="00425795" w:rsidP="005A4AD1" w14:paraId="5A9E10E6" w14:textId="56D95966">
      <w:pPr>
        <w:pStyle w:val="ParaNum"/>
        <w:numPr>
          <w:ilvl w:val="0"/>
          <w:numId w:val="0"/>
        </w:numPr>
        <w:ind w:left="720"/>
      </w:pPr>
      <w:r>
        <w:t xml:space="preserve"> “</w:t>
      </w:r>
      <w:r w:rsidR="00240671">
        <w:t>3.</w:t>
      </w:r>
      <w:r w:rsidR="00240671">
        <w:tab/>
      </w:r>
      <w:r w:rsidRPr="00240671" w:rsidR="00240671">
        <w:t xml:space="preserve">Amend section 15.403 by revising the definitions for </w:t>
      </w:r>
      <w:r w:rsidR="003013D9">
        <w:t>“</w:t>
      </w:r>
      <w:r w:rsidRPr="00240671" w:rsidR="00240671">
        <w:t>Indoor Access Point</w:t>
      </w:r>
      <w:r w:rsidR="00240671">
        <w:t>,</w:t>
      </w:r>
      <w:r w:rsidR="003013D9">
        <w:t>”</w:t>
      </w:r>
      <w:r w:rsidRPr="00240671" w:rsidR="00240671">
        <w:t xml:space="preserve"> </w:t>
      </w:r>
      <w:r w:rsidR="003013D9">
        <w:t>“</w:t>
      </w:r>
      <w:r w:rsidR="00240671">
        <w:t>Subordinate Device,</w:t>
      </w:r>
      <w:r w:rsidR="003013D9">
        <w:t>”</w:t>
      </w:r>
      <w:r w:rsidRPr="00240671" w:rsidR="00240671">
        <w:t xml:space="preserve"> and </w:t>
      </w:r>
      <w:r w:rsidR="003013D9">
        <w:t>“</w:t>
      </w:r>
      <w:r w:rsidRPr="00240671" w:rsidR="00240671">
        <w:t>U-NII devices</w:t>
      </w:r>
      <w:r w:rsidR="003013D9">
        <w:t>”</w:t>
      </w:r>
      <w:r w:rsidRPr="00240671" w:rsidR="00240671">
        <w:t xml:space="preserve"> to read as follows:</w:t>
      </w:r>
      <w:r>
        <w:t>”</w:t>
      </w:r>
      <w:r w:rsidR="00240671">
        <w:t>.</w:t>
      </w:r>
      <w:r>
        <w:t xml:space="preserve"> </w:t>
      </w:r>
    </w:p>
    <w:p w:rsidR="00674EC8" w:rsidP="005A4AD1" w14:paraId="4DA3EA40" w14:textId="65518A30">
      <w:pPr>
        <w:pStyle w:val="ParaNum"/>
        <w:numPr>
          <w:ilvl w:val="0"/>
          <w:numId w:val="4"/>
        </w:numPr>
        <w:ind w:left="0" w:firstLine="360"/>
      </w:pPr>
      <w:r>
        <w:t xml:space="preserve">Below </w:t>
      </w:r>
      <w:r w:rsidR="00BB48CF">
        <w:t>P</w:t>
      </w:r>
      <w:r>
        <w:t xml:space="preserve">aragraph 6, add </w:t>
      </w:r>
      <w:bookmarkStart w:id="1" w:name="_Hlk63067374"/>
      <w:r w:rsidR="00E14A2E">
        <w:t xml:space="preserve">the </w:t>
      </w:r>
      <w:r w:rsidR="00A050F5">
        <w:t xml:space="preserve">inadvertently omitted </w:t>
      </w:r>
      <w:r w:rsidR="00643A1D">
        <w:t>section heading</w:t>
      </w:r>
      <w:r>
        <w:t xml:space="preserve"> </w:t>
      </w:r>
      <w:r w:rsidRPr="00583CA4" w:rsidR="00643A1D">
        <w:t>“</w:t>
      </w:r>
      <w:r w:rsidRPr="003B6698" w:rsidR="00643A1D">
        <w:t>§ 90.20   Public Safety Pool</w:t>
      </w:r>
      <w:r w:rsidR="00643A1D">
        <w:t xml:space="preserve">” and the </w:t>
      </w:r>
      <w:r>
        <w:t xml:space="preserve">frequency table </w:t>
      </w:r>
      <w:r w:rsidR="00643A1D">
        <w:t xml:space="preserve">in paragraph (c)(3) to include the </w:t>
      </w:r>
      <w:r>
        <w:t xml:space="preserve">revised frequency </w:t>
      </w:r>
      <w:r w:rsidR="00643A1D">
        <w:t>“</w:t>
      </w:r>
      <w:r>
        <w:t>5895-5925</w:t>
      </w:r>
      <w:r w:rsidR="00643A1D">
        <w:t>”</w:t>
      </w:r>
      <w:bookmarkEnd w:id="1"/>
      <w:r w:rsidR="00C8346D">
        <w:t xml:space="preserve"> </w:t>
      </w:r>
      <w:r>
        <w:t xml:space="preserve">as follows: </w:t>
      </w:r>
    </w:p>
    <w:p w:rsidR="00674EC8" w:rsidP="00674EC8" w14:paraId="4DC72CA7" w14:textId="0CA860DF">
      <w:pPr>
        <w:pStyle w:val="ParaNum"/>
        <w:numPr>
          <w:ilvl w:val="0"/>
          <w:numId w:val="0"/>
        </w:numPr>
        <w:ind w:left="720"/>
      </w:pPr>
      <w:bookmarkStart w:id="2" w:name="_Hlk63690010"/>
      <w:r w:rsidRPr="005A4AD1">
        <w:rPr>
          <w:b/>
          <w:bCs/>
        </w:rPr>
        <w:t xml:space="preserve">§ 90.20 </w:t>
      </w:r>
      <w:r w:rsidR="00112849">
        <w:rPr>
          <w:b/>
          <w:bCs/>
        </w:rPr>
        <w:t xml:space="preserve">  </w:t>
      </w:r>
      <w:r w:rsidRPr="005A4AD1">
        <w:rPr>
          <w:b/>
          <w:bCs/>
        </w:rPr>
        <w:t>Public Safety Pool</w:t>
      </w:r>
      <w:r>
        <w:t>.</w:t>
      </w:r>
      <w:bookmarkEnd w:id="2"/>
    </w:p>
    <w:p w:rsidR="00674EC8" w:rsidP="00674EC8" w14:paraId="07C6BB7D" w14:textId="77777777">
      <w:pPr>
        <w:pStyle w:val="ParaNum"/>
        <w:numPr>
          <w:ilvl w:val="0"/>
          <w:numId w:val="0"/>
        </w:numPr>
        <w:ind w:left="720"/>
      </w:pPr>
      <w:r w:rsidRPr="007E420E">
        <w:t>*</w:t>
      </w:r>
      <w:r>
        <w:t xml:space="preserve"> * </w:t>
      </w:r>
      <w:r w:rsidRPr="007E420E">
        <w:t>*</w:t>
      </w:r>
      <w:r>
        <w:t xml:space="preserve"> </w:t>
      </w:r>
      <w:r w:rsidRPr="007E420E">
        <w:t>*</w:t>
      </w:r>
      <w:r>
        <w:t xml:space="preserve"> </w:t>
      </w:r>
      <w:r w:rsidRPr="007E420E">
        <w:t>*</w:t>
      </w:r>
    </w:p>
    <w:p w:rsidR="00674EC8" w:rsidP="00674EC8" w14:paraId="78D495D2" w14:textId="77777777">
      <w:pPr>
        <w:pStyle w:val="ParaNum"/>
        <w:numPr>
          <w:ilvl w:val="0"/>
          <w:numId w:val="0"/>
        </w:numPr>
        <w:ind w:left="720"/>
      </w:pPr>
      <w:r>
        <w:t>(c) * * *</w:t>
      </w:r>
    </w:p>
    <w:p w:rsidR="00674EC8" w:rsidRPr="000A4533" w:rsidP="00674EC8" w14:paraId="117CB774" w14:textId="77777777">
      <w:pPr>
        <w:pStyle w:val="ParaNum"/>
        <w:numPr>
          <w:ilvl w:val="0"/>
          <w:numId w:val="0"/>
        </w:numPr>
        <w:ind w:left="720"/>
      </w:pPr>
      <w:r>
        <w:t>(3) * * *</w:t>
      </w:r>
    </w:p>
    <w:tbl>
      <w:tblPr>
        <w:tblStyle w:val="TableGrid"/>
        <w:tblW w:w="0" w:type="auto"/>
        <w:tblLook w:val="04A0"/>
      </w:tblPr>
      <w:tblGrid>
        <w:gridCol w:w="2337"/>
        <w:gridCol w:w="2337"/>
        <w:gridCol w:w="2338"/>
        <w:gridCol w:w="2338"/>
      </w:tblGrid>
      <w:tr w14:paraId="12E313B5" w14:textId="77777777" w:rsidTr="00440993">
        <w:tblPrEx>
          <w:tblW w:w="0" w:type="auto"/>
          <w:tblLook w:val="04A0"/>
        </w:tblPrEx>
        <w:tc>
          <w:tcPr>
            <w:tcW w:w="2337" w:type="dxa"/>
          </w:tcPr>
          <w:p w:rsidR="00674EC8" w:rsidRPr="003E6EB4" w:rsidP="00440993" w14:paraId="770E0D68" w14:textId="77777777">
            <w:pPr>
              <w:rPr>
                <w:rFonts w:ascii="Times New Roman" w:hAnsi="Times New Roman" w:cs="Times New Roman"/>
              </w:rPr>
            </w:pPr>
            <w:r w:rsidRPr="003E6EB4">
              <w:rPr>
                <w:rFonts w:ascii="Times New Roman" w:hAnsi="Times New Roman" w:cs="Times New Roman"/>
              </w:rPr>
              <w:t>Frequency or band</w:t>
            </w:r>
          </w:p>
        </w:tc>
        <w:tc>
          <w:tcPr>
            <w:tcW w:w="2337" w:type="dxa"/>
          </w:tcPr>
          <w:p w:rsidR="00674EC8" w:rsidRPr="003E6EB4" w:rsidP="00440993" w14:paraId="71255281" w14:textId="77777777">
            <w:pPr>
              <w:rPr>
                <w:rFonts w:ascii="Times New Roman" w:hAnsi="Times New Roman" w:cs="Times New Roman"/>
              </w:rPr>
            </w:pPr>
            <w:r w:rsidRPr="003E6EB4">
              <w:rPr>
                <w:rFonts w:ascii="Times New Roman" w:hAnsi="Times New Roman" w:cs="Times New Roman"/>
              </w:rPr>
              <w:t>Class of station(s)</w:t>
            </w:r>
          </w:p>
        </w:tc>
        <w:tc>
          <w:tcPr>
            <w:tcW w:w="2338" w:type="dxa"/>
          </w:tcPr>
          <w:p w:rsidR="00674EC8" w:rsidRPr="003E6EB4" w:rsidP="00440993" w14:paraId="3FDB054A" w14:textId="77777777">
            <w:pPr>
              <w:rPr>
                <w:rFonts w:ascii="Times New Roman" w:hAnsi="Times New Roman" w:cs="Times New Roman"/>
              </w:rPr>
            </w:pPr>
            <w:r w:rsidRPr="003E6EB4">
              <w:rPr>
                <w:rFonts w:ascii="Times New Roman" w:hAnsi="Times New Roman" w:cs="Times New Roman"/>
              </w:rPr>
              <w:t>Limitations</w:t>
            </w:r>
          </w:p>
        </w:tc>
        <w:tc>
          <w:tcPr>
            <w:tcW w:w="2338" w:type="dxa"/>
          </w:tcPr>
          <w:p w:rsidR="00674EC8" w:rsidRPr="003E6EB4" w:rsidP="00440993" w14:paraId="5066CD69" w14:textId="77777777">
            <w:pPr>
              <w:rPr>
                <w:rFonts w:ascii="Times New Roman" w:hAnsi="Times New Roman" w:cs="Times New Roman"/>
              </w:rPr>
            </w:pPr>
            <w:r w:rsidRPr="003E6EB4">
              <w:rPr>
                <w:rFonts w:ascii="Times New Roman" w:hAnsi="Times New Roman" w:cs="Times New Roman"/>
              </w:rPr>
              <w:t>Coordinator</w:t>
            </w:r>
          </w:p>
        </w:tc>
      </w:tr>
      <w:tr w14:paraId="15045B69" w14:textId="77777777" w:rsidTr="00440993">
        <w:tblPrEx>
          <w:tblW w:w="0" w:type="auto"/>
          <w:tblLook w:val="04A0"/>
        </w:tblPrEx>
        <w:tc>
          <w:tcPr>
            <w:tcW w:w="2337" w:type="dxa"/>
          </w:tcPr>
          <w:p w:rsidR="00674EC8" w:rsidRPr="003E6EB4" w:rsidP="00440993" w14:paraId="2C77C313" w14:textId="77777777">
            <w:pPr>
              <w:rPr>
                <w:rFonts w:ascii="Times New Roman" w:hAnsi="Times New Roman" w:cs="Times New Roman"/>
              </w:rPr>
            </w:pPr>
            <w:r w:rsidRPr="003E6EB4">
              <w:rPr>
                <w:rFonts w:ascii="Times New Roman" w:hAnsi="Times New Roman" w:cs="Times New Roman"/>
              </w:rPr>
              <w:t>* * * * *</w:t>
            </w:r>
          </w:p>
        </w:tc>
        <w:tc>
          <w:tcPr>
            <w:tcW w:w="2337" w:type="dxa"/>
          </w:tcPr>
          <w:p w:rsidR="00674EC8" w:rsidRPr="003E6EB4" w:rsidP="00440993" w14:paraId="09836BD9"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11CD234D"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05CFEEAF" w14:textId="77777777">
            <w:pPr>
              <w:rPr>
                <w:rFonts w:ascii="Times New Roman" w:hAnsi="Times New Roman" w:cs="Times New Roman"/>
              </w:rPr>
            </w:pPr>
            <w:r w:rsidRPr="003E6EB4">
              <w:rPr>
                <w:rFonts w:ascii="Times New Roman" w:hAnsi="Times New Roman" w:cs="Times New Roman"/>
              </w:rPr>
              <w:t>* * * * *</w:t>
            </w:r>
          </w:p>
        </w:tc>
      </w:tr>
      <w:tr w14:paraId="52408B95" w14:textId="77777777" w:rsidTr="00440993">
        <w:tblPrEx>
          <w:tblW w:w="0" w:type="auto"/>
          <w:tblLook w:val="04A0"/>
        </w:tblPrEx>
        <w:tc>
          <w:tcPr>
            <w:tcW w:w="2337" w:type="dxa"/>
          </w:tcPr>
          <w:p w:rsidR="00674EC8" w:rsidRPr="003E6EB4" w:rsidP="00440993" w14:paraId="63338895" w14:textId="77777777">
            <w:pPr>
              <w:rPr>
                <w:rFonts w:ascii="Times New Roman" w:hAnsi="Times New Roman" w:cs="Times New Roman"/>
              </w:rPr>
            </w:pPr>
            <w:r w:rsidRPr="003E6EB4">
              <w:rPr>
                <w:rFonts w:ascii="Times New Roman" w:hAnsi="Times New Roman" w:cs="Times New Roman"/>
              </w:rPr>
              <w:t>5895-5925</w:t>
            </w:r>
          </w:p>
        </w:tc>
        <w:tc>
          <w:tcPr>
            <w:tcW w:w="2337" w:type="dxa"/>
          </w:tcPr>
          <w:p w:rsidR="00674EC8" w:rsidRPr="003E6EB4" w:rsidP="00440993" w14:paraId="4B0BBA3C" w14:textId="77777777">
            <w:pPr>
              <w:rPr>
                <w:rFonts w:ascii="Times New Roman" w:hAnsi="Times New Roman" w:cs="Times New Roman"/>
              </w:rPr>
            </w:pPr>
            <w:r w:rsidRPr="003E6EB4">
              <w:rPr>
                <w:rFonts w:ascii="Times New Roman" w:hAnsi="Times New Roman" w:cs="Times New Roman"/>
              </w:rPr>
              <w:t>Base or mobile</w:t>
            </w:r>
          </w:p>
        </w:tc>
        <w:tc>
          <w:tcPr>
            <w:tcW w:w="2338" w:type="dxa"/>
          </w:tcPr>
          <w:p w:rsidR="00674EC8" w:rsidRPr="003E6EB4" w:rsidP="00440993" w14:paraId="1BF45E2D" w14:textId="77777777">
            <w:pPr>
              <w:rPr>
                <w:rFonts w:ascii="Times New Roman" w:hAnsi="Times New Roman" w:cs="Times New Roman"/>
              </w:rPr>
            </w:pPr>
            <w:r w:rsidRPr="003E6EB4">
              <w:rPr>
                <w:rFonts w:ascii="Times New Roman" w:hAnsi="Times New Roman" w:cs="Times New Roman"/>
              </w:rPr>
              <w:t>86</w:t>
            </w:r>
          </w:p>
        </w:tc>
        <w:tc>
          <w:tcPr>
            <w:tcW w:w="2338" w:type="dxa"/>
          </w:tcPr>
          <w:p w:rsidR="00674EC8" w:rsidRPr="003E6EB4" w:rsidP="00440993" w14:paraId="08CD97AD" w14:textId="77777777">
            <w:pPr>
              <w:rPr>
                <w:rFonts w:ascii="Times New Roman" w:hAnsi="Times New Roman" w:cs="Times New Roman"/>
              </w:rPr>
            </w:pPr>
            <w:r w:rsidRPr="003E6EB4">
              <w:rPr>
                <w:rFonts w:ascii="Times New Roman" w:hAnsi="Times New Roman" w:cs="Times New Roman"/>
              </w:rPr>
              <w:t>Not applicable.</w:t>
            </w:r>
          </w:p>
        </w:tc>
      </w:tr>
      <w:tr w14:paraId="21B7CB8B" w14:textId="77777777" w:rsidTr="00440993">
        <w:tblPrEx>
          <w:tblW w:w="0" w:type="auto"/>
          <w:tblLook w:val="04A0"/>
        </w:tblPrEx>
        <w:tc>
          <w:tcPr>
            <w:tcW w:w="2337" w:type="dxa"/>
          </w:tcPr>
          <w:p w:rsidR="00674EC8" w:rsidRPr="003E6EB4" w:rsidP="00440993" w14:paraId="1137B4C3" w14:textId="77777777">
            <w:pPr>
              <w:rPr>
                <w:rFonts w:ascii="Times New Roman" w:hAnsi="Times New Roman" w:cs="Times New Roman"/>
              </w:rPr>
            </w:pPr>
            <w:r w:rsidRPr="003E6EB4">
              <w:rPr>
                <w:rFonts w:ascii="Times New Roman" w:hAnsi="Times New Roman" w:cs="Times New Roman"/>
              </w:rPr>
              <w:t>* * * * *</w:t>
            </w:r>
          </w:p>
        </w:tc>
        <w:tc>
          <w:tcPr>
            <w:tcW w:w="2337" w:type="dxa"/>
          </w:tcPr>
          <w:p w:rsidR="00674EC8" w:rsidRPr="003E6EB4" w:rsidP="00440993" w14:paraId="211E6A51"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26E17839"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32CDF188" w14:textId="77777777">
            <w:pPr>
              <w:rPr>
                <w:rFonts w:ascii="Times New Roman" w:hAnsi="Times New Roman" w:cs="Times New Roman"/>
              </w:rPr>
            </w:pPr>
            <w:r w:rsidRPr="003E6EB4">
              <w:rPr>
                <w:rFonts w:ascii="Times New Roman" w:hAnsi="Times New Roman" w:cs="Times New Roman"/>
              </w:rPr>
              <w:t>* * * * *</w:t>
            </w:r>
          </w:p>
        </w:tc>
      </w:tr>
    </w:tbl>
    <w:p w:rsidR="00674EC8" w:rsidP="00674EC8" w14:paraId="58339425" w14:textId="77777777">
      <w:pPr>
        <w:pStyle w:val="ParaNum"/>
        <w:numPr>
          <w:ilvl w:val="0"/>
          <w:numId w:val="0"/>
        </w:numPr>
        <w:ind w:left="720"/>
      </w:pPr>
    </w:p>
    <w:p w:rsidR="00674EC8" w:rsidP="005A4AD1" w14:paraId="78AEBEC0" w14:textId="5C1BEB64">
      <w:pPr>
        <w:pStyle w:val="ParaNum"/>
        <w:numPr>
          <w:ilvl w:val="0"/>
          <w:numId w:val="4"/>
        </w:numPr>
        <w:ind w:left="0" w:firstLine="360"/>
      </w:pPr>
      <w:r>
        <w:t xml:space="preserve">Below paragraph 7, add </w:t>
      </w:r>
      <w:r w:rsidR="00C8346D">
        <w:t xml:space="preserve">the </w:t>
      </w:r>
      <w:r w:rsidR="00A050F5">
        <w:t xml:space="preserve">inadvertently omitted </w:t>
      </w:r>
      <w:r>
        <w:t>section heading</w:t>
      </w:r>
      <w:r w:rsidR="00C8346D">
        <w:t xml:space="preserve"> </w:t>
      </w:r>
      <w:r>
        <w:t>“</w:t>
      </w:r>
      <w:r w:rsidRPr="00583CA4">
        <w:t>§ 90.35 Industrial/Business Pool</w:t>
      </w:r>
      <w:r>
        <w:t>”</w:t>
      </w:r>
      <w:r w:rsidRPr="00583CA4">
        <w:t xml:space="preserve"> </w:t>
      </w:r>
      <w:r w:rsidR="00C8346D">
        <w:t xml:space="preserve">and the frequency table </w:t>
      </w:r>
      <w:r>
        <w:t xml:space="preserve">in paragraph (b)(3) to include the revised frequency </w:t>
      </w:r>
      <w:r>
        <w:t xml:space="preserve">as follows: </w:t>
      </w:r>
    </w:p>
    <w:p w:rsidR="00674EC8" w:rsidRPr="005A4AD1" w:rsidP="00674EC8" w14:paraId="777D460F" w14:textId="77777777">
      <w:pPr>
        <w:pStyle w:val="ParaNum"/>
        <w:numPr>
          <w:ilvl w:val="0"/>
          <w:numId w:val="0"/>
        </w:numPr>
        <w:ind w:left="720"/>
        <w:rPr>
          <w:b/>
          <w:bCs/>
        </w:rPr>
      </w:pPr>
      <w:r w:rsidRPr="005A4AD1">
        <w:rPr>
          <w:b/>
          <w:bCs/>
        </w:rPr>
        <w:t>§ 90.35 Industrial/Business Pool.</w:t>
      </w:r>
    </w:p>
    <w:p w:rsidR="00674EC8" w:rsidP="00674EC8" w14:paraId="37761B0F" w14:textId="77777777">
      <w:pPr>
        <w:pStyle w:val="ParaNum"/>
        <w:numPr>
          <w:ilvl w:val="0"/>
          <w:numId w:val="0"/>
        </w:numPr>
        <w:ind w:left="720"/>
      </w:pPr>
      <w:r w:rsidRPr="007E420E">
        <w:t>* * *</w:t>
      </w:r>
      <w:r>
        <w:t xml:space="preserve"> * *</w:t>
      </w:r>
      <w:r>
        <w:tab/>
      </w:r>
    </w:p>
    <w:p w:rsidR="00674EC8" w:rsidP="00674EC8" w14:paraId="0E92A077" w14:textId="77777777">
      <w:pPr>
        <w:pStyle w:val="ParaNum"/>
        <w:numPr>
          <w:ilvl w:val="0"/>
          <w:numId w:val="0"/>
        </w:numPr>
        <w:ind w:left="720"/>
      </w:pPr>
      <w:r>
        <w:t>(b) * * *</w:t>
      </w:r>
    </w:p>
    <w:p w:rsidR="00674EC8" w:rsidP="00674EC8" w14:paraId="0FD70C1C" w14:textId="55073522">
      <w:pPr>
        <w:pStyle w:val="ParaNum"/>
        <w:numPr>
          <w:ilvl w:val="0"/>
          <w:numId w:val="0"/>
        </w:numPr>
        <w:ind w:left="720"/>
      </w:pPr>
      <w:r>
        <w:t>(3) * * *</w:t>
      </w:r>
    </w:p>
    <w:p w:rsidR="008C50F3" w:rsidRPr="000A4533" w:rsidP="00674EC8" w14:paraId="108E2E40" w14:textId="77777777">
      <w:pPr>
        <w:pStyle w:val="ParaNum"/>
        <w:numPr>
          <w:ilvl w:val="0"/>
          <w:numId w:val="0"/>
        </w:numPr>
        <w:ind w:left="720"/>
      </w:pPr>
    </w:p>
    <w:tbl>
      <w:tblPr>
        <w:tblStyle w:val="TableGrid"/>
        <w:tblW w:w="0" w:type="auto"/>
        <w:tblLook w:val="04A0"/>
      </w:tblPr>
      <w:tblGrid>
        <w:gridCol w:w="2337"/>
        <w:gridCol w:w="2337"/>
        <w:gridCol w:w="2338"/>
        <w:gridCol w:w="2338"/>
      </w:tblGrid>
      <w:tr w14:paraId="0BA67256" w14:textId="77777777" w:rsidTr="008C50F3">
        <w:tblPrEx>
          <w:tblW w:w="0" w:type="auto"/>
          <w:tblLook w:val="04A0"/>
        </w:tblPrEx>
        <w:trPr>
          <w:cantSplit/>
        </w:trPr>
        <w:tc>
          <w:tcPr>
            <w:tcW w:w="2337" w:type="dxa"/>
          </w:tcPr>
          <w:p w:rsidR="00674EC8" w:rsidRPr="003E6EB4" w:rsidP="00440993" w14:paraId="198B3406" w14:textId="77777777">
            <w:pPr>
              <w:rPr>
                <w:rFonts w:ascii="Times New Roman" w:hAnsi="Times New Roman" w:cs="Times New Roman"/>
              </w:rPr>
            </w:pPr>
            <w:r w:rsidRPr="003E6EB4">
              <w:rPr>
                <w:rFonts w:ascii="Times New Roman" w:hAnsi="Times New Roman" w:cs="Times New Roman"/>
              </w:rPr>
              <w:t>Frequency or band</w:t>
            </w:r>
          </w:p>
        </w:tc>
        <w:tc>
          <w:tcPr>
            <w:tcW w:w="2337" w:type="dxa"/>
          </w:tcPr>
          <w:p w:rsidR="00674EC8" w:rsidRPr="003E6EB4" w:rsidP="00440993" w14:paraId="0C57847A" w14:textId="77777777">
            <w:pPr>
              <w:rPr>
                <w:rFonts w:ascii="Times New Roman" w:hAnsi="Times New Roman" w:cs="Times New Roman"/>
              </w:rPr>
            </w:pPr>
            <w:r w:rsidRPr="003E6EB4">
              <w:rPr>
                <w:rFonts w:ascii="Times New Roman" w:hAnsi="Times New Roman" w:cs="Times New Roman"/>
              </w:rPr>
              <w:t>Class of station(s)</w:t>
            </w:r>
          </w:p>
        </w:tc>
        <w:tc>
          <w:tcPr>
            <w:tcW w:w="2338" w:type="dxa"/>
          </w:tcPr>
          <w:p w:rsidR="00674EC8" w:rsidRPr="003E6EB4" w:rsidP="00440993" w14:paraId="1481FBF0" w14:textId="77777777">
            <w:pPr>
              <w:rPr>
                <w:rFonts w:ascii="Times New Roman" w:hAnsi="Times New Roman" w:cs="Times New Roman"/>
              </w:rPr>
            </w:pPr>
            <w:r w:rsidRPr="003E6EB4">
              <w:rPr>
                <w:rFonts w:ascii="Times New Roman" w:hAnsi="Times New Roman" w:cs="Times New Roman"/>
              </w:rPr>
              <w:t>Limitations</w:t>
            </w:r>
          </w:p>
        </w:tc>
        <w:tc>
          <w:tcPr>
            <w:tcW w:w="2338" w:type="dxa"/>
          </w:tcPr>
          <w:p w:rsidR="00674EC8" w:rsidRPr="003E6EB4" w:rsidP="00440993" w14:paraId="59AAE1D4" w14:textId="77777777">
            <w:pPr>
              <w:rPr>
                <w:rFonts w:ascii="Times New Roman" w:hAnsi="Times New Roman" w:cs="Times New Roman"/>
              </w:rPr>
            </w:pPr>
            <w:r w:rsidRPr="003E6EB4">
              <w:rPr>
                <w:rFonts w:ascii="Times New Roman" w:hAnsi="Times New Roman" w:cs="Times New Roman"/>
              </w:rPr>
              <w:t>Coordinator</w:t>
            </w:r>
          </w:p>
        </w:tc>
      </w:tr>
      <w:tr w14:paraId="33843AAF" w14:textId="77777777" w:rsidTr="008C50F3">
        <w:tblPrEx>
          <w:tblW w:w="0" w:type="auto"/>
          <w:tblLook w:val="04A0"/>
        </w:tblPrEx>
        <w:trPr>
          <w:cantSplit/>
        </w:trPr>
        <w:tc>
          <w:tcPr>
            <w:tcW w:w="2337" w:type="dxa"/>
          </w:tcPr>
          <w:p w:rsidR="00674EC8" w:rsidRPr="003E6EB4" w:rsidP="00440993" w14:paraId="0B7D0B70" w14:textId="77777777">
            <w:pPr>
              <w:rPr>
                <w:rFonts w:ascii="Times New Roman" w:hAnsi="Times New Roman" w:cs="Times New Roman"/>
              </w:rPr>
            </w:pPr>
            <w:r w:rsidRPr="003E6EB4">
              <w:rPr>
                <w:rFonts w:ascii="Times New Roman" w:hAnsi="Times New Roman" w:cs="Times New Roman"/>
              </w:rPr>
              <w:t>* * * * *</w:t>
            </w:r>
          </w:p>
        </w:tc>
        <w:tc>
          <w:tcPr>
            <w:tcW w:w="2337" w:type="dxa"/>
          </w:tcPr>
          <w:p w:rsidR="00674EC8" w:rsidRPr="003E6EB4" w:rsidP="00440993" w14:paraId="572C7205"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5F1F1BB5"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4776CC30" w14:textId="77777777">
            <w:pPr>
              <w:rPr>
                <w:rFonts w:ascii="Times New Roman" w:hAnsi="Times New Roman" w:cs="Times New Roman"/>
              </w:rPr>
            </w:pPr>
            <w:r w:rsidRPr="003E6EB4">
              <w:rPr>
                <w:rFonts w:ascii="Times New Roman" w:hAnsi="Times New Roman" w:cs="Times New Roman"/>
              </w:rPr>
              <w:t>* * * * *</w:t>
            </w:r>
          </w:p>
        </w:tc>
      </w:tr>
      <w:tr w14:paraId="14442682" w14:textId="77777777" w:rsidTr="008C50F3">
        <w:tblPrEx>
          <w:tblW w:w="0" w:type="auto"/>
          <w:tblLook w:val="04A0"/>
        </w:tblPrEx>
        <w:trPr>
          <w:cantSplit/>
        </w:trPr>
        <w:tc>
          <w:tcPr>
            <w:tcW w:w="2337" w:type="dxa"/>
          </w:tcPr>
          <w:p w:rsidR="00674EC8" w:rsidRPr="003E6EB4" w:rsidP="00440993" w14:paraId="72CC1EF7" w14:textId="77777777">
            <w:pPr>
              <w:rPr>
                <w:rFonts w:ascii="Times New Roman" w:hAnsi="Times New Roman" w:cs="Times New Roman"/>
              </w:rPr>
            </w:pPr>
            <w:r w:rsidRPr="003E6EB4">
              <w:rPr>
                <w:rFonts w:ascii="Times New Roman" w:hAnsi="Times New Roman" w:cs="Times New Roman"/>
              </w:rPr>
              <w:t>5895-5925</w:t>
            </w:r>
          </w:p>
        </w:tc>
        <w:tc>
          <w:tcPr>
            <w:tcW w:w="2337" w:type="dxa"/>
          </w:tcPr>
          <w:p w:rsidR="00674EC8" w:rsidRPr="003E6EB4" w:rsidP="00440993" w14:paraId="1BCCF04E" w14:textId="77777777">
            <w:pPr>
              <w:rPr>
                <w:rFonts w:ascii="Times New Roman" w:hAnsi="Times New Roman" w:cs="Times New Roman"/>
              </w:rPr>
            </w:pPr>
            <w:r w:rsidRPr="003E6EB4">
              <w:rPr>
                <w:rFonts w:ascii="Times New Roman" w:hAnsi="Times New Roman" w:cs="Times New Roman"/>
              </w:rPr>
              <w:t>……do</w:t>
            </w:r>
          </w:p>
        </w:tc>
        <w:tc>
          <w:tcPr>
            <w:tcW w:w="2338" w:type="dxa"/>
          </w:tcPr>
          <w:p w:rsidR="00674EC8" w:rsidRPr="003E6EB4" w:rsidP="00440993" w14:paraId="202B9C81" w14:textId="77777777">
            <w:pPr>
              <w:rPr>
                <w:rFonts w:ascii="Times New Roman" w:hAnsi="Times New Roman" w:cs="Times New Roman"/>
              </w:rPr>
            </w:pPr>
            <w:r w:rsidRPr="003E6EB4">
              <w:rPr>
                <w:rFonts w:ascii="Times New Roman" w:hAnsi="Times New Roman" w:cs="Times New Roman"/>
              </w:rPr>
              <w:t>90, 91</w:t>
            </w:r>
          </w:p>
        </w:tc>
        <w:tc>
          <w:tcPr>
            <w:tcW w:w="2338" w:type="dxa"/>
          </w:tcPr>
          <w:p w:rsidR="00674EC8" w:rsidRPr="003E6EB4" w:rsidP="00440993" w14:paraId="441FD53C" w14:textId="77777777">
            <w:pPr>
              <w:rPr>
                <w:rFonts w:ascii="Times New Roman" w:hAnsi="Times New Roman" w:cs="Times New Roman"/>
              </w:rPr>
            </w:pPr>
            <w:r w:rsidRPr="003E6EB4">
              <w:rPr>
                <w:rFonts w:ascii="Times New Roman" w:hAnsi="Times New Roman" w:cs="Times New Roman"/>
              </w:rPr>
              <w:t>Not applicable.</w:t>
            </w:r>
          </w:p>
        </w:tc>
      </w:tr>
      <w:tr w14:paraId="2B3AD88D" w14:textId="77777777" w:rsidTr="008C50F3">
        <w:tblPrEx>
          <w:tblW w:w="0" w:type="auto"/>
          <w:tblLook w:val="04A0"/>
        </w:tblPrEx>
        <w:trPr>
          <w:cantSplit/>
        </w:trPr>
        <w:tc>
          <w:tcPr>
            <w:tcW w:w="2337" w:type="dxa"/>
          </w:tcPr>
          <w:p w:rsidR="00674EC8" w:rsidRPr="003E6EB4" w:rsidP="00440993" w14:paraId="1585F630" w14:textId="77777777">
            <w:pPr>
              <w:rPr>
                <w:rFonts w:ascii="Times New Roman" w:hAnsi="Times New Roman" w:cs="Times New Roman"/>
              </w:rPr>
            </w:pPr>
            <w:r w:rsidRPr="003E6EB4">
              <w:rPr>
                <w:rFonts w:ascii="Times New Roman" w:hAnsi="Times New Roman" w:cs="Times New Roman"/>
              </w:rPr>
              <w:t>* * * * *</w:t>
            </w:r>
          </w:p>
        </w:tc>
        <w:tc>
          <w:tcPr>
            <w:tcW w:w="2337" w:type="dxa"/>
          </w:tcPr>
          <w:p w:rsidR="00674EC8" w:rsidRPr="003E6EB4" w:rsidP="00440993" w14:paraId="4F424250" w14:textId="77777777">
            <w:pPr>
              <w:rPr>
                <w:rFonts w:ascii="Times New Roman" w:hAnsi="Times New Roman" w:cs="Times New Roman"/>
              </w:rPr>
            </w:pPr>
            <w:r w:rsidRPr="003E6EB4">
              <w:rPr>
                <w:rFonts w:ascii="Times New Roman" w:hAnsi="Times New Roman" w:cs="Times New Roman"/>
              </w:rPr>
              <w:t>* * * * *</w:t>
            </w:r>
          </w:p>
        </w:tc>
        <w:tc>
          <w:tcPr>
            <w:tcW w:w="2338" w:type="dxa"/>
          </w:tcPr>
          <w:p w:rsidR="00674EC8" w:rsidRPr="003E6EB4" w:rsidP="00440993" w14:paraId="3BF6DDB7" w14:textId="77777777">
            <w:pPr>
              <w:rPr>
                <w:rFonts w:ascii="Times New Roman" w:hAnsi="Times New Roman" w:cs="Times New Roman"/>
              </w:rPr>
            </w:pPr>
          </w:p>
        </w:tc>
        <w:tc>
          <w:tcPr>
            <w:tcW w:w="2338" w:type="dxa"/>
          </w:tcPr>
          <w:p w:rsidR="00674EC8" w:rsidRPr="003E6EB4" w:rsidP="00440993" w14:paraId="08A4897B" w14:textId="77777777">
            <w:pPr>
              <w:rPr>
                <w:rFonts w:ascii="Times New Roman" w:hAnsi="Times New Roman" w:cs="Times New Roman"/>
              </w:rPr>
            </w:pPr>
            <w:r w:rsidRPr="003E6EB4">
              <w:rPr>
                <w:rFonts w:ascii="Times New Roman" w:hAnsi="Times New Roman" w:cs="Times New Roman"/>
              </w:rPr>
              <w:t>* * * * *</w:t>
            </w:r>
          </w:p>
        </w:tc>
      </w:tr>
    </w:tbl>
    <w:p w:rsidR="00674EC8" w:rsidP="00674EC8" w14:paraId="0EF47E66" w14:textId="5AF8F344">
      <w:pPr>
        <w:pStyle w:val="ParaNum"/>
        <w:numPr>
          <w:ilvl w:val="0"/>
          <w:numId w:val="0"/>
        </w:numPr>
        <w:ind w:left="720"/>
      </w:pPr>
    </w:p>
    <w:p w:rsidR="00960650" w:rsidRPr="00A01E5A" w:rsidP="005A4AD1" w14:paraId="437111AC" w14:textId="159A3F84">
      <w:pPr>
        <w:pStyle w:val="ParaNum"/>
        <w:numPr>
          <w:ilvl w:val="0"/>
          <w:numId w:val="4"/>
        </w:numPr>
        <w:ind w:left="0" w:firstLine="360"/>
      </w:pPr>
      <w:r>
        <w:t xml:space="preserve">In </w:t>
      </w:r>
      <w:r w:rsidR="002E11C1">
        <w:t xml:space="preserve">Paragraph </w:t>
      </w:r>
      <w:r w:rsidRPr="00A01E5A" w:rsidR="002E11C1">
        <w:t>(</w:t>
      </w:r>
      <w:r w:rsidR="00490D15">
        <w:t>j</w:t>
      </w:r>
      <w:r w:rsidRPr="00A01E5A" w:rsidR="002E11C1">
        <w:t>)(</w:t>
      </w:r>
      <w:r w:rsidR="00490D15">
        <w:t>16</w:t>
      </w:r>
      <w:r w:rsidRPr="00A01E5A" w:rsidR="002E11C1">
        <w:t>)</w:t>
      </w:r>
      <w:r w:rsidR="002E11C1">
        <w:t xml:space="preserve"> of</w:t>
      </w:r>
      <w:r w:rsidRPr="00A01E5A" w:rsidR="00F876A9">
        <w:t xml:space="preserve"> </w:t>
      </w:r>
      <w:r w:rsidR="00490D15">
        <w:t>s</w:t>
      </w:r>
      <w:r w:rsidRPr="00A01E5A" w:rsidR="00755DCF">
        <w:t xml:space="preserve">ection </w:t>
      </w:r>
      <w:r w:rsidR="00490D15">
        <w:t>90.175</w:t>
      </w:r>
      <w:r w:rsidR="002E11C1">
        <w:t xml:space="preserve"> </w:t>
      </w:r>
      <w:r w:rsidR="00E14A2E">
        <w:t>replac</w:t>
      </w:r>
      <w:r>
        <w:t>e</w:t>
      </w:r>
      <w:r w:rsidR="00E14A2E">
        <w:t xml:space="preserve"> “GHz” with “</w:t>
      </w:r>
      <w:r w:rsidR="00E14A2E">
        <w:t>MHz</w:t>
      </w:r>
      <w:r w:rsidR="00C8346D">
        <w:t>.</w:t>
      </w:r>
      <w:r w:rsidR="00E14A2E">
        <w:t>”</w:t>
      </w:r>
      <w:bookmarkEnd w:id="0"/>
    </w:p>
    <w:p w:rsidR="00C5305C" w:rsidRPr="004D164A" w:rsidP="005A4AD1" w14:paraId="1DD787A8" w14:textId="111E7917">
      <w:pPr>
        <w:pStyle w:val="ParaNum"/>
        <w:numPr>
          <w:ilvl w:val="0"/>
          <w:numId w:val="4"/>
        </w:numPr>
        <w:ind w:left="0" w:firstLine="360"/>
        <w:rPr>
          <w:rFonts w:eastAsia="Calibri"/>
          <w:snapToGrid/>
        </w:rPr>
      </w:pPr>
      <w:r>
        <w:t>In</w:t>
      </w:r>
      <w:r w:rsidR="00274E67">
        <w:t xml:space="preserve"> </w:t>
      </w:r>
      <w:r w:rsidR="00BB48CF">
        <w:t>P</w:t>
      </w:r>
      <w:r>
        <w:t xml:space="preserve">aragraph (2) of section 90.203 is corrected </w:t>
      </w:r>
      <w:r w:rsidR="00C8346D">
        <w:t>by replacing “</w:t>
      </w:r>
      <w:r w:rsidRPr="003B6698">
        <w:t>[Insert date of DSRC sunset]</w:t>
      </w:r>
      <w:r w:rsidR="00C8346D">
        <w:t>” with “</w:t>
      </w:r>
      <w:r w:rsidRPr="003B6698">
        <w:t>[</w:t>
      </w:r>
      <w:r>
        <w:t>INSERT DATE</w:t>
      </w:r>
      <w:r w:rsidRPr="003B6698">
        <w:t xml:space="preserve"> </w:t>
      </w:r>
      <w:r w:rsidR="00C8346D">
        <w:t xml:space="preserve">ONE YEAR </w:t>
      </w:r>
      <w:r w:rsidR="00C756C7">
        <w:t xml:space="preserve">PLUS 60 DAYS </w:t>
      </w:r>
      <w:r w:rsidR="00C8346D">
        <w:t xml:space="preserve">AFTER DATE OF </w:t>
      </w:r>
      <w:r w:rsidR="008F749A">
        <w:t xml:space="preserve">FEDERAL REGISTER </w:t>
      </w:r>
      <w:r w:rsidR="00C8346D">
        <w:t>PUBLICATION</w:t>
      </w:r>
      <w:r w:rsidR="00EE2365">
        <w:t>]</w:t>
      </w:r>
      <w:r w:rsidR="00C8346D">
        <w:t xml:space="preserve">.” </w:t>
      </w:r>
    </w:p>
    <w:p w:rsidR="00C5305C" w:rsidRPr="004D164A" w:rsidP="005A4AD1" w14:paraId="6F8494EA" w14:textId="6A0754C0">
      <w:pPr>
        <w:pStyle w:val="ParaNum"/>
        <w:numPr>
          <w:ilvl w:val="0"/>
          <w:numId w:val="4"/>
        </w:numPr>
        <w:ind w:left="0" w:firstLine="360"/>
        <w:rPr>
          <w:rFonts w:eastAsia="Calibri"/>
          <w:snapToGrid/>
        </w:rPr>
      </w:pPr>
      <w:r>
        <w:t xml:space="preserve">In Section 90.210, below the table in </w:t>
      </w:r>
      <w:r w:rsidR="00C8346D">
        <w:t>Note 4</w:t>
      </w:r>
      <w:r>
        <w:t>,</w:t>
      </w:r>
      <w:r w:rsidR="00C8346D">
        <w:t xml:space="preserve"> replac</w:t>
      </w:r>
      <w:r>
        <w:t>e</w:t>
      </w:r>
      <w:r w:rsidR="00C8346D">
        <w:t xml:space="preserve"> “</w:t>
      </w:r>
      <w:r w:rsidR="00344127">
        <w:t xml:space="preserve">5.895-5.925 </w:t>
      </w:r>
      <w:r w:rsidR="00C8346D">
        <w:t>GHz” with “</w:t>
      </w:r>
      <w:r w:rsidR="00344127">
        <w:t xml:space="preserve">5895-5925 </w:t>
      </w:r>
      <w:r w:rsidR="00C8346D">
        <w:t>MHz.</w:t>
      </w:r>
      <w:r w:rsidR="00C8346D">
        <w:t xml:space="preserve">” </w:t>
      </w:r>
    </w:p>
    <w:p w:rsidR="000F41B6" w:rsidP="005A4AD1" w14:paraId="4D8772CD" w14:textId="7B15418D">
      <w:pPr>
        <w:pStyle w:val="ParaNum"/>
        <w:numPr>
          <w:ilvl w:val="0"/>
          <w:numId w:val="4"/>
        </w:numPr>
        <w:ind w:left="0" w:firstLine="360"/>
      </w:pPr>
      <w:r>
        <w:t>I</w:t>
      </w:r>
      <w:r w:rsidR="00C8346D">
        <w:t xml:space="preserve">n </w:t>
      </w:r>
      <w:r w:rsidR="00BB48CF">
        <w:t>P</w:t>
      </w:r>
      <w:r>
        <w:t>aragraph (b) of section 90.370</w:t>
      </w:r>
      <w:r>
        <w:t>,</w:t>
      </w:r>
      <w:r>
        <w:t xml:space="preserve"> </w:t>
      </w:r>
      <w:r w:rsidR="00C8346D">
        <w:t>replac</w:t>
      </w:r>
      <w:r>
        <w:t>e</w:t>
      </w:r>
      <w:r w:rsidR="00C8346D">
        <w:t xml:space="preserve"> “</w:t>
      </w:r>
      <w:r w:rsidRPr="00AE2F76">
        <w:t>[insert R&amp;O effective date]</w:t>
      </w:r>
      <w:r w:rsidR="00C8346D">
        <w:t>” with “</w:t>
      </w:r>
      <w:r>
        <w:t>[</w:t>
      </w:r>
      <w:r w:rsidRPr="00E8649E" w:rsidR="00C8346D">
        <w:rPr>
          <w:rFonts w:eastAsia="Calibri"/>
          <w:snapToGrid/>
        </w:rPr>
        <w:t>INSERT DATE</w:t>
      </w:r>
      <w:r w:rsidR="00C8346D">
        <w:rPr>
          <w:rFonts w:eastAsia="Calibri"/>
          <w:snapToGrid/>
        </w:rPr>
        <w:t xml:space="preserve"> 60 DAYS AFTER DATE OF </w:t>
      </w:r>
      <w:r w:rsidR="008F749A">
        <w:rPr>
          <w:rFonts w:eastAsia="Calibri"/>
          <w:snapToGrid/>
        </w:rPr>
        <w:t xml:space="preserve">FEDERAL REGISTER </w:t>
      </w:r>
      <w:r w:rsidR="00C8346D">
        <w:rPr>
          <w:rFonts w:eastAsia="Calibri"/>
          <w:snapToGrid/>
        </w:rPr>
        <w:t>PUBLICATION</w:t>
      </w:r>
      <w:r>
        <w:rPr>
          <w:rFonts w:eastAsia="Calibri"/>
          <w:snapToGrid/>
        </w:rPr>
        <w:t>]</w:t>
      </w:r>
      <w:r w:rsidR="00C8346D">
        <w:rPr>
          <w:rFonts w:eastAsia="Calibri"/>
          <w:snapToGrid/>
        </w:rPr>
        <w:t>” and replac</w:t>
      </w:r>
      <w:r>
        <w:rPr>
          <w:rFonts w:eastAsia="Calibri"/>
          <w:snapToGrid/>
        </w:rPr>
        <w:t>e</w:t>
      </w:r>
      <w:r w:rsidR="00C8346D">
        <w:rPr>
          <w:rFonts w:eastAsia="Calibri"/>
          <w:snapToGrid/>
        </w:rPr>
        <w:t xml:space="preserve"> </w:t>
      </w:r>
      <w:r w:rsidR="00787348">
        <w:rPr>
          <w:rFonts w:eastAsia="Calibri"/>
          <w:snapToGrid/>
        </w:rPr>
        <w:t>“</w:t>
      </w:r>
      <w:r w:rsidRPr="00AE2F76">
        <w:rPr>
          <w:rFonts w:eastAsia="Calibri"/>
          <w:snapToGrid/>
        </w:rPr>
        <w:t>[insert date one year after R&amp;O effective date]</w:t>
      </w:r>
      <w:r w:rsidR="00787348">
        <w:rPr>
          <w:rFonts w:eastAsia="Calibri"/>
          <w:snapToGrid/>
        </w:rPr>
        <w:t>” with “</w:t>
      </w:r>
      <w:r>
        <w:rPr>
          <w:rFonts w:eastAsia="Calibri"/>
          <w:snapToGrid/>
        </w:rPr>
        <w:t xml:space="preserve">[INSERT DATE </w:t>
      </w:r>
      <w:r w:rsidR="008F749A">
        <w:rPr>
          <w:rFonts w:eastAsia="Calibri"/>
          <w:snapToGrid/>
        </w:rPr>
        <w:t xml:space="preserve">ONE YEAR PLUS </w:t>
      </w:r>
      <w:r w:rsidR="00787348">
        <w:rPr>
          <w:rFonts w:eastAsia="Calibri"/>
          <w:snapToGrid/>
        </w:rPr>
        <w:t xml:space="preserve">60 DAYS AFTER DATE OF </w:t>
      </w:r>
      <w:r w:rsidR="008F749A">
        <w:rPr>
          <w:rFonts w:eastAsia="Calibri"/>
          <w:snapToGrid/>
        </w:rPr>
        <w:t xml:space="preserve">FEDERAL REGISTER </w:t>
      </w:r>
      <w:r w:rsidR="00787348">
        <w:rPr>
          <w:rFonts w:eastAsia="Calibri"/>
          <w:snapToGrid/>
        </w:rPr>
        <w:t>PUBLICATION</w:t>
      </w:r>
      <w:r w:rsidR="00116C06">
        <w:rPr>
          <w:rFonts w:eastAsia="Calibri"/>
          <w:snapToGrid/>
        </w:rPr>
        <w:t>]</w:t>
      </w:r>
      <w:r w:rsidR="00787348">
        <w:rPr>
          <w:rFonts w:eastAsia="Calibri"/>
          <w:snapToGrid/>
        </w:rPr>
        <w:t>”.</w:t>
      </w:r>
      <w:r>
        <w:t xml:space="preserve"> </w:t>
      </w:r>
    </w:p>
    <w:p w:rsidR="000F41B6" w:rsidP="005A4AD1" w14:paraId="7246A9D8" w14:textId="196979AA">
      <w:pPr>
        <w:pStyle w:val="ParaNum"/>
        <w:numPr>
          <w:ilvl w:val="0"/>
          <w:numId w:val="4"/>
        </w:numPr>
        <w:ind w:left="0" w:firstLine="360"/>
      </w:pPr>
      <w:r>
        <w:t xml:space="preserve">In </w:t>
      </w:r>
      <w:r w:rsidR="00BB48CF">
        <w:t>P</w:t>
      </w:r>
      <w:r>
        <w:t xml:space="preserve">aragraph (a) of section 90.372, </w:t>
      </w:r>
      <w:r w:rsidR="002F35D4">
        <w:t>replac</w:t>
      </w:r>
      <w:r>
        <w:t>e</w:t>
      </w:r>
      <w:r w:rsidR="002F35D4">
        <w:t xml:space="preserve"> “</w:t>
      </w:r>
      <w:r w:rsidRPr="00AE2F76">
        <w:t>[insert sunset date]</w:t>
      </w:r>
      <w:r w:rsidR="002F35D4">
        <w:t>” with “</w:t>
      </w:r>
      <w:r>
        <w:t>[</w:t>
      </w:r>
      <w:r w:rsidR="002F35D4">
        <w:t xml:space="preserve">INSERT DATE ONE YEAR </w:t>
      </w:r>
      <w:r w:rsidR="008F749A">
        <w:t xml:space="preserve">PLUS 60 DAYS </w:t>
      </w:r>
      <w:r w:rsidR="002F35D4">
        <w:t xml:space="preserve">AFTER DATE OF </w:t>
      </w:r>
      <w:r w:rsidR="008F749A">
        <w:t xml:space="preserve">FEDERAL REGISTER </w:t>
      </w:r>
      <w:r w:rsidR="002F35D4">
        <w:t>PUBLICATION</w:t>
      </w:r>
      <w:r>
        <w:t>]</w:t>
      </w:r>
      <w:r w:rsidR="002F35D4">
        <w:t>.”</w:t>
      </w:r>
      <w:r>
        <w:t xml:space="preserve"> </w:t>
      </w:r>
    </w:p>
    <w:p w:rsidR="00940B49" w:rsidP="005A4AD1" w14:paraId="63BFD809" w14:textId="625FB327">
      <w:pPr>
        <w:pStyle w:val="ParaNum"/>
        <w:numPr>
          <w:ilvl w:val="0"/>
          <w:numId w:val="4"/>
        </w:numPr>
        <w:ind w:left="0" w:firstLine="360"/>
      </w:pPr>
      <w:r>
        <w:t xml:space="preserve">In </w:t>
      </w:r>
      <w:r w:rsidR="00BB48CF">
        <w:t>P</w:t>
      </w:r>
      <w:r w:rsidR="00E75CCD">
        <w:t>aragraph (a) of s</w:t>
      </w:r>
      <w:r w:rsidRPr="00A01E5A" w:rsidR="00960650">
        <w:t xml:space="preserve">ection </w:t>
      </w:r>
      <w:r w:rsidR="00490D15">
        <w:t>90.379</w:t>
      </w:r>
      <w:r>
        <w:t>,</w:t>
      </w:r>
      <w:r w:rsidR="002E11C1">
        <w:t xml:space="preserve"> </w:t>
      </w:r>
      <w:r w:rsidR="002F35D4">
        <w:t>replac</w:t>
      </w:r>
      <w:r>
        <w:t>e</w:t>
      </w:r>
      <w:r w:rsidR="002F35D4">
        <w:t xml:space="preserve"> “5895-5905” with </w:t>
      </w:r>
      <w:r w:rsidR="0081125F">
        <w:t>“</w:t>
      </w:r>
      <w:r w:rsidR="002F35D4">
        <w:t>5895-5925.”</w:t>
      </w:r>
      <w:r w:rsidRPr="00A01E5A" w:rsidR="00960650">
        <w:t xml:space="preserve">  </w:t>
      </w:r>
    </w:p>
    <w:p w:rsidR="00E75CCD" w:rsidP="005A4AD1" w14:paraId="78E16B10" w14:textId="560AF4E6">
      <w:pPr>
        <w:pStyle w:val="ParaNum"/>
        <w:numPr>
          <w:ilvl w:val="0"/>
          <w:numId w:val="4"/>
        </w:numPr>
        <w:ind w:left="0" w:firstLine="360"/>
      </w:pPr>
      <w:r>
        <w:t xml:space="preserve">In </w:t>
      </w:r>
      <w:r w:rsidR="00BB48CF">
        <w:t>P</w:t>
      </w:r>
      <w:r>
        <w:t>aragraph (b) of section 90.379 and paragraph (b) of section 95.3189</w:t>
      </w:r>
      <w:r>
        <w:t>,</w:t>
      </w:r>
      <w:r>
        <w:t xml:space="preserve"> </w:t>
      </w:r>
      <w:r w:rsidR="002F35D4">
        <w:t>replac</w:t>
      </w:r>
      <w:r>
        <w:t>e</w:t>
      </w:r>
      <w:r w:rsidR="002F35D4">
        <w:t xml:space="preserve"> “Federal Communications Commission, 445 12</w:t>
      </w:r>
      <w:r w:rsidRPr="005B791D" w:rsidR="002F35D4">
        <w:rPr>
          <w:vertAlign w:val="superscript"/>
        </w:rPr>
        <w:t>th</w:t>
      </w:r>
      <w:r w:rsidR="002F35D4">
        <w:t xml:space="preserve"> Street SW, Washington, D.C. 20554” with “</w:t>
      </w:r>
      <w:r w:rsidRPr="00E75CCD" w:rsidR="002F35D4">
        <w:t>address of the FCC’s main office indicated in 47 CFR 0.401(a)</w:t>
      </w:r>
      <w:r w:rsidR="002F35D4">
        <w:t>.”</w:t>
      </w:r>
      <w:r>
        <w:t xml:space="preserve"> </w:t>
      </w:r>
    </w:p>
    <w:p w:rsidR="00B359E9" w:rsidRPr="00A01E5A" w:rsidP="005B791D" w14:paraId="4C2A139C" w14:textId="7D61F04C">
      <w:pPr>
        <w:pStyle w:val="ParaNum"/>
        <w:numPr>
          <w:ilvl w:val="0"/>
          <w:numId w:val="0"/>
        </w:numPr>
        <w:ind w:firstLine="720"/>
        <w:rPr>
          <w:szCs w:val="22"/>
        </w:rPr>
      </w:pPr>
      <w:r>
        <w:rPr>
          <w:szCs w:val="22"/>
        </w:rPr>
        <w:t>T</w:t>
      </w:r>
      <w:r w:rsidRPr="00A01E5A">
        <w:rPr>
          <w:szCs w:val="22"/>
        </w:rPr>
        <w:t xml:space="preserve">he </w:t>
      </w:r>
      <w:r w:rsidRPr="005A4AD1">
        <w:rPr>
          <w:b/>
          <w:bCs/>
          <w:szCs w:val="22"/>
        </w:rPr>
        <w:t>Proposed Rules</w:t>
      </w:r>
      <w:r w:rsidRPr="00A01E5A">
        <w:rPr>
          <w:szCs w:val="22"/>
        </w:rPr>
        <w:t xml:space="preserve"> in </w:t>
      </w:r>
      <w:r w:rsidRPr="003A172B">
        <w:rPr>
          <w:b/>
          <w:bCs/>
          <w:szCs w:val="22"/>
        </w:rPr>
        <w:t xml:space="preserve">APPENDIX </w:t>
      </w:r>
      <w:r>
        <w:rPr>
          <w:b/>
          <w:bCs/>
          <w:szCs w:val="22"/>
        </w:rPr>
        <w:t>B</w:t>
      </w:r>
      <w:r>
        <w:rPr>
          <w:szCs w:val="22"/>
        </w:rPr>
        <w:t xml:space="preserve"> </w:t>
      </w:r>
      <w:r>
        <w:rPr>
          <w:szCs w:val="22"/>
        </w:rPr>
        <w:t>are corrected</w:t>
      </w:r>
      <w:r w:rsidRPr="00A01E5A">
        <w:rPr>
          <w:szCs w:val="22"/>
        </w:rPr>
        <w:t xml:space="preserve"> as </w:t>
      </w:r>
      <w:r w:rsidR="00BB48CF">
        <w:rPr>
          <w:szCs w:val="22"/>
        </w:rPr>
        <w:t>follows</w:t>
      </w:r>
      <w:r>
        <w:rPr>
          <w:szCs w:val="22"/>
        </w:rPr>
        <w:t>:</w:t>
      </w:r>
    </w:p>
    <w:p w:rsidR="00B359E9" w:rsidP="005A4AD1" w14:paraId="558152CD" w14:textId="6ECD6086">
      <w:pPr>
        <w:pStyle w:val="ParaNum"/>
        <w:numPr>
          <w:ilvl w:val="0"/>
          <w:numId w:val="4"/>
        </w:numPr>
        <w:ind w:left="0" w:firstLine="360"/>
      </w:pPr>
      <w:r>
        <w:t xml:space="preserve">In </w:t>
      </w:r>
      <w:r>
        <w:t xml:space="preserve">Paragraph </w:t>
      </w:r>
      <w:r w:rsidRPr="00A01E5A">
        <w:t>(</w:t>
      </w:r>
      <w:r>
        <w:t>a</w:t>
      </w:r>
      <w:r w:rsidRPr="00A01E5A">
        <w:t>)</w:t>
      </w:r>
      <w:r>
        <w:t xml:space="preserve"> of</w:t>
      </w:r>
      <w:r w:rsidRPr="00A01E5A">
        <w:t xml:space="preserve"> </w:t>
      </w:r>
      <w:r>
        <w:t>s</w:t>
      </w:r>
      <w:r w:rsidRPr="00A01E5A">
        <w:t xml:space="preserve">ection </w:t>
      </w:r>
      <w:r>
        <w:t>90.379</w:t>
      </w:r>
      <w:r>
        <w:t>,</w:t>
      </w:r>
      <w:r>
        <w:t xml:space="preserve"> </w:t>
      </w:r>
      <w:r w:rsidR="002F35D4">
        <w:t>replac</w:t>
      </w:r>
      <w:r>
        <w:t>e</w:t>
      </w:r>
      <w:r w:rsidR="002F35D4">
        <w:t xml:space="preserve"> “5905-5925” with “5895-5925.”</w:t>
      </w:r>
    </w:p>
    <w:p w:rsidR="00B359E9" w:rsidP="005A4AD1" w14:paraId="5AB84356" w14:textId="57009337">
      <w:pPr>
        <w:pStyle w:val="ParaNum"/>
        <w:numPr>
          <w:ilvl w:val="0"/>
          <w:numId w:val="4"/>
        </w:numPr>
        <w:ind w:left="0" w:firstLine="360"/>
      </w:pPr>
      <w:r>
        <w:t xml:space="preserve">In </w:t>
      </w:r>
      <w:r>
        <w:t>P</w:t>
      </w:r>
      <w:bookmarkStart w:id="3" w:name="_GoBack"/>
      <w:bookmarkEnd w:id="3"/>
      <w:r>
        <w:t xml:space="preserve">aragraph </w:t>
      </w:r>
      <w:r w:rsidRPr="00A01E5A">
        <w:t>(</w:t>
      </w:r>
      <w:r>
        <w:t>a</w:t>
      </w:r>
      <w:r w:rsidRPr="00A01E5A">
        <w:t>)</w:t>
      </w:r>
      <w:r>
        <w:t xml:space="preserve"> of</w:t>
      </w:r>
      <w:r w:rsidRPr="00A01E5A">
        <w:t xml:space="preserve"> </w:t>
      </w:r>
      <w:r>
        <w:t>s</w:t>
      </w:r>
      <w:r w:rsidRPr="00A01E5A">
        <w:t xml:space="preserve">ection </w:t>
      </w:r>
      <w:r w:rsidR="004C6797">
        <w:t>95</w:t>
      </w:r>
      <w:r>
        <w:t>.3179</w:t>
      </w:r>
      <w:r>
        <w:t>,</w:t>
      </w:r>
      <w:r>
        <w:t xml:space="preserve"> </w:t>
      </w:r>
      <w:r w:rsidR="002F35D4">
        <w:t>replac</w:t>
      </w:r>
      <w:r>
        <w:t>e</w:t>
      </w:r>
      <w:r w:rsidR="002F35D4">
        <w:t xml:space="preserve"> “29” with “-29.”</w:t>
      </w:r>
    </w:p>
    <w:p w:rsidR="00674EC8" w:rsidP="005A4AD1" w14:paraId="1C5B6632" w14:textId="3B1BFFE1">
      <w:pPr>
        <w:pStyle w:val="ParaNum"/>
        <w:numPr>
          <w:ilvl w:val="0"/>
          <w:numId w:val="4"/>
        </w:numPr>
        <w:ind w:left="0" w:firstLine="360"/>
      </w:pPr>
      <w:r>
        <w:t xml:space="preserve">In </w:t>
      </w:r>
      <w:r>
        <w:t>Paragraph (b) of section 90.379 and paragraph (b) of section 95.3189</w:t>
      </w:r>
      <w:r>
        <w:t>,</w:t>
      </w:r>
      <w:r>
        <w:t xml:space="preserve"> </w:t>
      </w:r>
      <w:r w:rsidR="002F35D4">
        <w:t>replac</w:t>
      </w:r>
      <w:r>
        <w:t>e</w:t>
      </w:r>
      <w:r w:rsidR="002F35D4">
        <w:t xml:space="preserve"> “Federal Communications Commission, 445 12</w:t>
      </w:r>
      <w:r w:rsidRPr="001F4431" w:rsidR="002F35D4">
        <w:rPr>
          <w:vertAlign w:val="superscript"/>
        </w:rPr>
        <w:t>th</w:t>
      </w:r>
      <w:r w:rsidR="002F35D4">
        <w:t xml:space="preserve"> Street SW, Washington, D.C. 20554” with “</w:t>
      </w:r>
      <w:r w:rsidRPr="00E75CCD" w:rsidR="002F35D4">
        <w:t>address of the FCC’s main office indicated in 47 CFR 0.401(a)</w:t>
      </w:r>
      <w:r w:rsidR="002F35D4">
        <w:t>.”</w:t>
      </w:r>
      <w:r>
        <w:t xml:space="preserve"> </w:t>
      </w:r>
    </w:p>
    <w:p w:rsidR="00D71584" w:rsidRPr="008C50F3" w:rsidP="008C50F3" w14:paraId="185EE338" w14:textId="14AC5FD3">
      <w:pPr>
        <w:pStyle w:val="ParaNum"/>
        <w:numPr>
          <w:ilvl w:val="0"/>
          <w:numId w:val="0"/>
        </w:numPr>
        <w:ind w:left="720"/>
      </w:pPr>
    </w:p>
    <w:p w:rsidR="00B07300" w:rsidRPr="00A01E5A" w:rsidP="00940B49" w14:paraId="0B3FA23B" w14:textId="77777777">
      <w:pPr>
        <w:pStyle w:val="Heading1"/>
        <w:widowControl/>
        <w:numPr>
          <w:ilvl w:val="0"/>
          <w:numId w:val="0"/>
        </w:numPr>
        <w:suppressAutoHyphens w:val="0"/>
        <w:spacing w:after="0"/>
        <w:rPr>
          <w:rFonts w:ascii="Times New Roman" w:hAnsi="Times New Roman"/>
          <w:b w:val="0"/>
          <w:caps w:val="0"/>
          <w:spacing w:val="-2"/>
          <w:szCs w:val="22"/>
        </w:rPr>
      </w:pP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rFonts w:ascii="Times New Roman" w:hAnsi="Times New Roman"/>
          <w:b w:val="0"/>
          <w:caps w:val="0"/>
          <w:spacing w:val="-2"/>
          <w:szCs w:val="22"/>
        </w:rPr>
        <w:t>FEDERAL COMMUNICATIONS COMMISSION</w:t>
      </w:r>
    </w:p>
    <w:p w:rsidR="00506419" w:rsidRPr="00A01E5A" w14:paraId="233F5E78" w14:textId="77777777">
      <w:pPr>
        <w:pStyle w:val="ParaNum"/>
        <w:keepNext/>
        <w:widowControl/>
        <w:numPr>
          <w:ilvl w:val="0"/>
          <w:numId w:val="0"/>
        </w:numPr>
        <w:spacing w:after="0"/>
        <w:rPr>
          <w:szCs w:val="22"/>
        </w:rPr>
      </w:pPr>
    </w:p>
    <w:p w:rsidR="00506419" w:rsidRPr="00A01E5A" w14:paraId="5117DB70" w14:textId="77777777">
      <w:pPr>
        <w:pStyle w:val="ParaNum"/>
        <w:keepNext/>
        <w:widowControl/>
        <w:numPr>
          <w:ilvl w:val="0"/>
          <w:numId w:val="0"/>
        </w:numPr>
        <w:spacing w:after="0"/>
        <w:rPr>
          <w:szCs w:val="22"/>
        </w:rPr>
      </w:pPr>
    </w:p>
    <w:p w:rsidR="00506419" w:rsidRPr="00A01E5A" w14:paraId="1B4A3A39" w14:textId="77777777">
      <w:pPr>
        <w:pStyle w:val="ParaNum"/>
        <w:keepNext/>
        <w:widowControl/>
        <w:numPr>
          <w:ilvl w:val="0"/>
          <w:numId w:val="0"/>
        </w:numPr>
        <w:spacing w:after="0"/>
        <w:rPr>
          <w:szCs w:val="22"/>
        </w:rPr>
      </w:pPr>
    </w:p>
    <w:p w:rsidR="00940B49" w:rsidP="003A172B" w14:paraId="09A84AB7" w14:textId="77777777">
      <w:pPr>
        <w:pStyle w:val="ParaNum"/>
        <w:keepNext/>
        <w:widowControl/>
        <w:numPr>
          <w:ilvl w:val="0"/>
          <w:numId w:val="0"/>
        </w:numPr>
        <w:spacing w:after="0"/>
        <w:rPr>
          <w:szCs w:val="22"/>
        </w:rPr>
      </w:pPr>
    </w:p>
    <w:p w:rsidR="00506419" w:rsidRPr="00A01E5A" w:rsidP="003A172B" w14:paraId="18471631" w14:textId="77777777">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E906D1">
        <w:rPr>
          <w:szCs w:val="22"/>
        </w:rPr>
        <w:t>Ronald Repasi</w:t>
      </w:r>
    </w:p>
    <w:p w:rsidR="00890CE3" w:rsidRPr="00A01E5A" w:rsidP="003A172B" w14:paraId="7A2B02C1" w14:textId="77777777">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E906D1">
        <w:rPr>
          <w:szCs w:val="22"/>
        </w:rPr>
        <w:t xml:space="preserve">Acting </w:t>
      </w:r>
      <w:r w:rsidRPr="00A01E5A">
        <w:rPr>
          <w:szCs w:val="22"/>
        </w:rPr>
        <w:t>Chief,</w:t>
      </w:r>
    </w:p>
    <w:p w:rsidR="002E484C" w:rsidRPr="00A01E5A" w:rsidP="003A172B" w14:paraId="5C834435" w14:textId="789651EF">
      <w:pPr>
        <w:pStyle w:val="ParaNum"/>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2E1738">
        <w:rPr>
          <w:szCs w:val="22"/>
        </w:rPr>
        <w:t>Office of Engineering and Technology</w:t>
      </w:r>
    </w:p>
    <w:sectPr w:rsidSect="003A172B">
      <w:headerReference w:type="default" r:id="rId4"/>
      <w:footerReference w:type="default" r:id="rId5"/>
      <w:headerReference w:type="first" r:id="rId6"/>
      <w:footnotePr>
        <w:numRestart w:val="eachSect"/>
      </w:footnotePr>
      <w:pgSz w:w="12240" w:h="15840" w:code="1"/>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C6776B" w14:paraId="16E8407D"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52799">
      <w:rPr>
        <w:rStyle w:val="PageNumber"/>
        <w:noProof/>
      </w:rPr>
      <w:t>2</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5279BB" w14:paraId="6902D360" w14:textId="1BD58D3F">
    <w:pPr>
      <w:pStyle w:val="Header"/>
    </w:pPr>
    <w:r>
      <w:tab/>
      <w:t>Federal Communications Commission</w:t>
    </w:r>
    <w:r>
      <w:tab/>
    </w:r>
    <w:r w:rsidR="006F2221">
      <w:t>DA 21-</w:t>
    </w:r>
    <w:r w:rsidR="00261F33">
      <w:t>136</w:t>
    </w:r>
  </w:p>
  <w:p w:rsidR="0060228B" w:rsidP="005279BB" w14:paraId="2C73EEBB" w14:textId="77777777">
    <w:pPr>
      <w:pStyle w:val="Header"/>
    </w:pPr>
    <w:r>
      <w:rPr>
        <w:b w:val="0"/>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5279BB" w14:paraId="544B8357" w14:textId="522E1526">
    <w:pPr>
      <w:pStyle w:val="Header"/>
    </w:pPr>
    <w:r>
      <w:tab/>
    </w:r>
    <w:r w:rsidRPr="002A29D2">
      <w:t>Federal Communications Commission</w:t>
    </w:r>
    <w:r>
      <w:tab/>
    </w:r>
    <w:r w:rsidR="006F2221">
      <w:t>DA 21-</w:t>
    </w:r>
    <w:r w:rsidR="00261F33">
      <w:t>136</w:t>
    </w:r>
  </w:p>
  <w:p w:rsidR="0060228B" w:rsidP="005279BB" w14:paraId="6FFA94AB"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8A03D7"/>
    <w:multiLevelType w:val="hybridMultilevel"/>
    <w:tmpl w:val="C45A67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9"/>
    <w:rsid w:val="00003014"/>
    <w:rsid w:val="00007D17"/>
    <w:rsid w:val="00014832"/>
    <w:rsid w:val="000215DD"/>
    <w:rsid w:val="00042AE5"/>
    <w:rsid w:val="0005374D"/>
    <w:rsid w:val="00064904"/>
    <w:rsid w:val="00094409"/>
    <w:rsid w:val="000A4533"/>
    <w:rsid w:val="000B6C63"/>
    <w:rsid w:val="000C3D73"/>
    <w:rsid w:val="000D6477"/>
    <w:rsid w:val="000F1A34"/>
    <w:rsid w:val="000F41B6"/>
    <w:rsid w:val="000F6B31"/>
    <w:rsid w:val="000F719D"/>
    <w:rsid w:val="001040C1"/>
    <w:rsid w:val="00112849"/>
    <w:rsid w:val="00116C06"/>
    <w:rsid w:val="00122133"/>
    <w:rsid w:val="00126BBA"/>
    <w:rsid w:val="00132FB9"/>
    <w:rsid w:val="001357C7"/>
    <w:rsid w:val="001364CA"/>
    <w:rsid w:val="001367A2"/>
    <w:rsid w:val="00140F58"/>
    <w:rsid w:val="001469DC"/>
    <w:rsid w:val="001809A2"/>
    <w:rsid w:val="001840D2"/>
    <w:rsid w:val="001842BA"/>
    <w:rsid w:val="00192261"/>
    <w:rsid w:val="00193D43"/>
    <w:rsid w:val="00196CD7"/>
    <w:rsid w:val="001A1670"/>
    <w:rsid w:val="001A3F57"/>
    <w:rsid w:val="001E5BAB"/>
    <w:rsid w:val="001F4431"/>
    <w:rsid w:val="001F6399"/>
    <w:rsid w:val="00201A31"/>
    <w:rsid w:val="00226F43"/>
    <w:rsid w:val="00240671"/>
    <w:rsid w:val="00261F33"/>
    <w:rsid w:val="00274E67"/>
    <w:rsid w:val="00277FE5"/>
    <w:rsid w:val="002857DB"/>
    <w:rsid w:val="002A29D2"/>
    <w:rsid w:val="002A2FB4"/>
    <w:rsid w:val="002A4E36"/>
    <w:rsid w:val="002A79A0"/>
    <w:rsid w:val="002B14BB"/>
    <w:rsid w:val="002B4542"/>
    <w:rsid w:val="002C0DB9"/>
    <w:rsid w:val="002D386E"/>
    <w:rsid w:val="002D76D6"/>
    <w:rsid w:val="002E11C1"/>
    <w:rsid w:val="002E1738"/>
    <w:rsid w:val="002E484C"/>
    <w:rsid w:val="002F2119"/>
    <w:rsid w:val="002F35D4"/>
    <w:rsid w:val="003013D9"/>
    <w:rsid w:val="00307AA3"/>
    <w:rsid w:val="0031543F"/>
    <w:rsid w:val="0032712A"/>
    <w:rsid w:val="00330100"/>
    <w:rsid w:val="00341716"/>
    <w:rsid w:val="00344127"/>
    <w:rsid w:val="00352BEA"/>
    <w:rsid w:val="003612DC"/>
    <w:rsid w:val="00363EE0"/>
    <w:rsid w:val="003707FA"/>
    <w:rsid w:val="00371C95"/>
    <w:rsid w:val="00385C41"/>
    <w:rsid w:val="0039337B"/>
    <w:rsid w:val="003A172B"/>
    <w:rsid w:val="003A2A06"/>
    <w:rsid w:val="003B4765"/>
    <w:rsid w:val="003B6698"/>
    <w:rsid w:val="003C2C5B"/>
    <w:rsid w:val="003C4935"/>
    <w:rsid w:val="003D22BB"/>
    <w:rsid w:val="003E6EB4"/>
    <w:rsid w:val="003E75D7"/>
    <w:rsid w:val="0040138C"/>
    <w:rsid w:val="00404AE4"/>
    <w:rsid w:val="00410C0D"/>
    <w:rsid w:val="00412F23"/>
    <w:rsid w:val="00420381"/>
    <w:rsid w:val="00425795"/>
    <w:rsid w:val="00425BF8"/>
    <w:rsid w:val="004314C0"/>
    <w:rsid w:val="00440993"/>
    <w:rsid w:val="00456E40"/>
    <w:rsid w:val="00461721"/>
    <w:rsid w:val="00467AC4"/>
    <w:rsid w:val="00474214"/>
    <w:rsid w:val="0047526F"/>
    <w:rsid w:val="00481F4E"/>
    <w:rsid w:val="00490D15"/>
    <w:rsid w:val="004A0621"/>
    <w:rsid w:val="004A2FBE"/>
    <w:rsid w:val="004A31ED"/>
    <w:rsid w:val="004A4146"/>
    <w:rsid w:val="004B103A"/>
    <w:rsid w:val="004B1D40"/>
    <w:rsid w:val="004B732A"/>
    <w:rsid w:val="004C6797"/>
    <w:rsid w:val="004D164A"/>
    <w:rsid w:val="004E2DD1"/>
    <w:rsid w:val="00506419"/>
    <w:rsid w:val="005279BB"/>
    <w:rsid w:val="00541AA8"/>
    <w:rsid w:val="00553140"/>
    <w:rsid w:val="00571965"/>
    <w:rsid w:val="00575217"/>
    <w:rsid w:val="00583CA4"/>
    <w:rsid w:val="00597B69"/>
    <w:rsid w:val="005A09E4"/>
    <w:rsid w:val="005A4AD1"/>
    <w:rsid w:val="005B0621"/>
    <w:rsid w:val="005B0CFB"/>
    <w:rsid w:val="005B7544"/>
    <w:rsid w:val="005B791D"/>
    <w:rsid w:val="005C02BC"/>
    <w:rsid w:val="005D72FA"/>
    <w:rsid w:val="005E43BE"/>
    <w:rsid w:val="005F54D5"/>
    <w:rsid w:val="005F5E72"/>
    <w:rsid w:val="0060228B"/>
    <w:rsid w:val="0061373F"/>
    <w:rsid w:val="0062796E"/>
    <w:rsid w:val="006313A7"/>
    <w:rsid w:val="00635252"/>
    <w:rsid w:val="00643A1D"/>
    <w:rsid w:val="00646BC1"/>
    <w:rsid w:val="0066113B"/>
    <w:rsid w:val="00674EC8"/>
    <w:rsid w:val="006805DE"/>
    <w:rsid w:val="00681973"/>
    <w:rsid w:val="00682511"/>
    <w:rsid w:val="006908A3"/>
    <w:rsid w:val="00693ABA"/>
    <w:rsid w:val="00697983"/>
    <w:rsid w:val="006A0252"/>
    <w:rsid w:val="006D5147"/>
    <w:rsid w:val="006D7B3A"/>
    <w:rsid w:val="006F2221"/>
    <w:rsid w:val="006F56A0"/>
    <w:rsid w:val="0071085A"/>
    <w:rsid w:val="00714DBE"/>
    <w:rsid w:val="00715CD7"/>
    <w:rsid w:val="007344C8"/>
    <w:rsid w:val="00740D88"/>
    <w:rsid w:val="007411C5"/>
    <w:rsid w:val="007443FC"/>
    <w:rsid w:val="00745A2D"/>
    <w:rsid w:val="007513C2"/>
    <w:rsid w:val="00755DCF"/>
    <w:rsid w:val="007650D9"/>
    <w:rsid w:val="00780012"/>
    <w:rsid w:val="00783320"/>
    <w:rsid w:val="00787348"/>
    <w:rsid w:val="00797636"/>
    <w:rsid w:val="007A461B"/>
    <w:rsid w:val="007C2C37"/>
    <w:rsid w:val="007C73F5"/>
    <w:rsid w:val="007E2EAB"/>
    <w:rsid w:val="007E420E"/>
    <w:rsid w:val="007E423F"/>
    <w:rsid w:val="007F01A1"/>
    <w:rsid w:val="007F4D83"/>
    <w:rsid w:val="007F5A59"/>
    <w:rsid w:val="0081125F"/>
    <w:rsid w:val="00811592"/>
    <w:rsid w:val="00815D3C"/>
    <w:rsid w:val="00836354"/>
    <w:rsid w:val="008414EF"/>
    <w:rsid w:val="008437AF"/>
    <w:rsid w:val="008445F0"/>
    <w:rsid w:val="008574C8"/>
    <w:rsid w:val="0086326D"/>
    <w:rsid w:val="00864FB5"/>
    <w:rsid w:val="00865894"/>
    <w:rsid w:val="008673F3"/>
    <w:rsid w:val="00870879"/>
    <w:rsid w:val="00880AC7"/>
    <w:rsid w:val="008833E7"/>
    <w:rsid w:val="008902BA"/>
    <w:rsid w:val="00890CE3"/>
    <w:rsid w:val="00891ADC"/>
    <w:rsid w:val="00895291"/>
    <w:rsid w:val="008A304E"/>
    <w:rsid w:val="008B7FE8"/>
    <w:rsid w:val="008C32D9"/>
    <w:rsid w:val="008C50F3"/>
    <w:rsid w:val="008D2402"/>
    <w:rsid w:val="008D4FD4"/>
    <w:rsid w:val="008D53D7"/>
    <w:rsid w:val="008E0BAA"/>
    <w:rsid w:val="008F6E0D"/>
    <w:rsid w:val="008F749A"/>
    <w:rsid w:val="009029E0"/>
    <w:rsid w:val="00903A82"/>
    <w:rsid w:val="00903BD0"/>
    <w:rsid w:val="009118F8"/>
    <w:rsid w:val="009171CC"/>
    <w:rsid w:val="009238A7"/>
    <w:rsid w:val="009356B6"/>
    <w:rsid w:val="00940B49"/>
    <w:rsid w:val="00946D2A"/>
    <w:rsid w:val="00960650"/>
    <w:rsid w:val="0098236F"/>
    <w:rsid w:val="009862C1"/>
    <w:rsid w:val="00987720"/>
    <w:rsid w:val="00994F5D"/>
    <w:rsid w:val="00996485"/>
    <w:rsid w:val="009A43D0"/>
    <w:rsid w:val="009A5056"/>
    <w:rsid w:val="009D454C"/>
    <w:rsid w:val="009D5FB2"/>
    <w:rsid w:val="009F42CD"/>
    <w:rsid w:val="00A001FE"/>
    <w:rsid w:val="00A01E5A"/>
    <w:rsid w:val="00A050F5"/>
    <w:rsid w:val="00A148F2"/>
    <w:rsid w:val="00A16E8E"/>
    <w:rsid w:val="00A26D5C"/>
    <w:rsid w:val="00A33628"/>
    <w:rsid w:val="00A35C2E"/>
    <w:rsid w:val="00A40C14"/>
    <w:rsid w:val="00A522E2"/>
    <w:rsid w:val="00A57BE5"/>
    <w:rsid w:val="00A64E6F"/>
    <w:rsid w:val="00A66149"/>
    <w:rsid w:val="00A6678A"/>
    <w:rsid w:val="00A70FAB"/>
    <w:rsid w:val="00A7198A"/>
    <w:rsid w:val="00A766D8"/>
    <w:rsid w:val="00A773D9"/>
    <w:rsid w:val="00A87DB0"/>
    <w:rsid w:val="00AA7B7C"/>
    <w:rsid w:val="00AD10AB"/>
    <w:rsid w:val="00AD7575"/>
    <w:rsid w:val="00AE1462"/>
    <w:rsid w:val="00AE2F76"/>
    <w:rsid w:val="00B028B9"/>
    <w:rsid w:val="00B07300"/>
    <w:rsid w:val="00B216E9"/>
    <w:rsid w:val="00B33F77"/>
    <w:rsid w:val="00B359E9"/>
    <w:rsid w:val="00B40CD1"/>
    <w:rsid w:val="00B52799"/>
    <w:rsid w:val="00B87A3F"/>
    <w:rsid w:val="00B91BD2"/>
    <w:rsid w:val="00B978E5"/>
    <w:rsid w:val="00BA5D96"/>
    <w:rsid w:val="00BA5FD9"/>
    <w:rsid w:val="00BB48CF"/>
    <w:rsid w:val="00BE6A4D"/>
    <w:rsid w:val="00BF3382"/>
    <w:rsid w:val="00C0464B"/>
    <w:rsid w:val="00C13BE4"/>
    <w:rsid w:val="00C15512"/>
    <w:rsid w:val="00C15533"/>
    <w:rsid w:val="00C469BA"/>
    <w:rsid w:val="00C5305C"/>
    <w:rsid w:val="00C6776B"/>
    <w:rsid w:val="00C67810"/>
    <w:rsid w:val="00C70227"/>
    <w:rsid w:val="00C756C7"/>
    <w:rsid w:val="00C8346D"/>
    <w:rsid w:val="00C841C4"/>
    <w:rsid w:val="00CA4BF8"/>
    <w:rsid w:val="00CA556E"/>
    <w:rsid w:val="00CA641C"/>
    <w:rsid w:val="00CC7807"/>
    <w:rsid w:val="00CE2F6C"/>
    <w:rsid w:val="00CE2F8B"/>
    <w:rsid w:val="00CF74C1"/>
    <w:rsid w:val="00D06349"/>
    <w:rsid w:val="00D13BA1"/>
    <w:rsid w:val="00D25A68"/>
    <w:rsid w:val="00D273A3"/>
    <w:rsid w:val="00D4775D"/>
    <w:rsid w:val="00D47998"/>
    <w:rsid w:val="00D5647E"/>
    <w:rsid w:val="00D63319"/>
    <w:rsid w:val="00D71584"/>
    <w:rsid w:val="00D82467"/>
    <w:rsid w:val="00D83139"/>
    <w:rsid w:val="00D976E3"/>
    <w:rsid w:val="00DB0CD9"/>
    <w:rsid w:val="00DB25F8"/>
    <w:rsid w:val="00DB4005"/>
    <w:rsid w:val="00DC5EF6"/>
    <w:rsid w:val="00DC7532"/>
    <w:rsid w:val="00DF0543"/>
    <w:rsid w:val="00DF3E4D"/>
    <w:rsid w:val="00E00E22"/>
    <w:rsid w:val="00E14A2E"/>
    <w:rsid w:val="00E26A9B"/>
    <w:rsid w:val="00E462C2"/>
    <w:rsid w:val="00E53DB9"/>
    <w:rsid w:val="00E56185"/>
    <w:rsid w:val="00E60467"/>
    <w:rsid w:val="00E7408B"/>
    <w:rsid w:val="00E75CCD"/>
    <w:rsid w:val="00E80C43"/>
    <w:rsid w:val="00E832ED"/>
    <w:rsid w:val="00E8468F"/>
    <w:rsid w:val="00E84730"/>
    <w:rsid w:val="00E8649E"/>
    <w:rsid w:val="00E906D1"/>
    <w:rsid w:val="00E91EF7"/>
    <w:rsid w:val="00EB1A95"/>
    <w:rsid w:val="00EB6403"/>
    <w:rsid w:val="00EC0E85"/>
    <w:rsid w:val="00EC31EE"/>
    <w:rsid w:val="00EC5D14"/>
    <w:rsid w:val="00ED1933"/>
    <w:rsid w:val="00ED2EA8"/>
    <w:rsid w:val="00EE2365"/>
    <w:rsid w:val="00EF47E9"/>
    <w:rsid w:val="00EF6BC0"/>
    <w:rsid w:val="00F06369"/>
    <w:rsid w:val="00F114F3"/>
    <w:rsid w:val="00F14741"/>
    <w:rsid w:val="00F21028"/>
    <w:rsid w:val="00F21F14"/>
    <w:rsid w:val="00F25801"/>
    <w:rsid w:val="00F42BFE"/>
    <w:rsid w:val="00F4732A"/>
    <w:rsid w:val="00F51A20"/>
    <w:rsid w:val="00F604C9"/>
    <w:rsid w:val="00F60FD7"/>
    <w:rsid w:val="00F7768E"/>
    <w:rsid w:val="00F876A9"/>
    <w:rsid w:val="00F9741B"/>
    <w:rsid w:val="00FA059F"/>
    <w:rsid w:val="00FA7E76"/>
    <w:rsid w:val="00FC5D64"/>
    <w:rsid w:val="00FE22FE"/>
    <w:rsid w:val="00FF49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9FDAA36-30C5-4EE4-8C31-E6167AF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D1"/>
    <w:pPr>
      <w:widowControl w:val="0"/>
    </w:pPr>
    <w:rPr>
      <w:snapToGrid w:val="0"/>
      <w:kern w:val="28"/>
      <w:sz w:val="22"/>
    </w:rPr>
  </w:style>
  <w:style w:type="paragraph" w:styleId="Heading1">
    <w:name w:val="heading 1"/>
    <w:basedOn w:val="Normal"/>
    <w:next w:val="ParaNum"/>
    <w:qFormat/>
    <w:rsid w:val="005A4A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4AD1"/>
    <w:pPr>
      <w:keepNext/>
      <w:numPr>
        <w:ilvl w:val="1"/>
        <w:numId w:val="3"/>
      </w:numPr>
      <w:spacing w:after="120"/>
      <w:outlineLvl w:val="1"/>
    </w:pPr>
    <w:rPr>
      <w:b/>
    </w:rPr>
  </w:style>
  <w:style w:type="paragraph" w:styleId="Heading3">
    <w:name w:val="heading 3"/>
    <w:basedOn w:val="Normal"/>
    <w:next w:val="ParaNum"/>
    <w:qFormat/>
    <w:rsid w:val="005A4AD1"/>
    <w:pPr>
      <w:keepNext/>
      <w:numPr>
        <w:ilvl w:val="2"/>
        <w:numId w:val="3"/>
      </w:numPr>
      <w:tabs>
        <w:tab w:val="left" w:pos="2160"/>
      </w:tabs>
      <w:spacing w:after="120"/>
      <w:outlineLvl w:val="2"/>
    </w:pPr>
    <w:rPr>
      <w:b/>
    </w:rPr>
  </w:style>
  <w:style w:type="paragraph" w:styleId="Heading4">
    <w:name w:val="heading 4"/>
    <w:basedOn w:val="Normal"/>
    <w:next w:val="ParaNum"/>
    <w:qFormat/>
    <w:rsid w:val="005A4AD1"/>
    <w:pPr>
      <w:keepNext/>
      <w:numPr>
        <w:ilvl w:val="3"/>
        <w:numId w:val="3"/>
      </w:numPr>
      <w:tabs>
        <w:tab w:val="left" w:pos="2880"/>
      </w:tabs>
      <w:spacing w:after="120"/>
      <w:outlineLvl w:val="3"/>
    </w:pPr>
    <w:rPr>
      <w:b/>
    </w:rPr>
  </w:style>
  <w:style w:type="paragraph" w:styleId="Heading5">
    <w:name w:val="heading 5"/>
    <w:basedOn w:val="Normal"/>
    <w:next w:val="ParaNum"/>
    <w:qFormat/>
    <w:rsid w:val="005A4A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4AD1"/>
    <w:pPr>
      <w:numPr>
        <w:ilvl w:val="5"/>
        <w:numId w:val="3"/>
      </w:numPr>
      <w:tabs>
        <w:tab w:val="left" w:pos="4320"/>
      </w:tabs>
      <w:spacing w:after="120"/>
      <w:outlineLvl w:val="5"/>
    </w:pPr>
    <w:rPr>
      <w:b/>
    </w:rPr>
  </w:style>
  <w:style w:type="paragraph" w:styleId="Heading7">
    <w:name w:val="heading 7"/>
    <w:basedOn w:val="Normal"/>
    <w:next w:val="ParaNum"/>
    <w:qFormat/>
    <w:rsid w:val="005A4A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4A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4A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4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AD1"/>
  </w:style>
  <w:style w:type="paragraph" w:styleId="Caption">
    <w:name w:val="caption"/>
    <w:basedOn w:val="Normal"/>
    <w:next w:val="Normal"/>
    <w:qFormat/>
    <w:rsid w:val="00A66149"/>
    <w:pPr>
      <w:spacing w:before="120" w:after="120"/>
    </w:pPr>
    <w:rPr>
      <w:b/>
    </w:rPr>
  </w:style>
  <w:style w:type="paragraph" w:customStyle="1" w:styleId="ParaNum">
    <w:name w:val="ParaNum"/>
    <w:basedOn w:val="Normal"/>
    <w:link w:val="ParaNumChar"/>
    <w:rsid w:val="005A4AD1"/>
    <w:pPr>
      <w:numPr>
        <w:numId w:val="2"/>
      </w:numPr>
      <w:tabs>
        <w:tab w:val="clear" w:pos="1080"/>
        <w:tab w:val="num" w:pos="1440"/>
      </w:tabs>
      <w:spacing w:after="120"/>
    </w:p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5A4AD1"/>
    <w:pPr>
      <w:spacing w:after="120"/>
    </w:pPr>
  </w:style>
  <w:style w:type="paragraph" w:customStyle="1" w:styleId="Bullet">
    <w:name w:val="Bullet"/>
    <w:basedOn w:val="Normal"/>
    <w:rsid w:val="005A4AD1"/>
    <w:pPr>
      <w:tabs>
        <w:tab w:val="left" w:pos="2160"/>
      </w:tabs>
      <w:spacing w:after="220"/>
      <w:ind w:left="2160" w:hanging="720"/>
    </w:pPr>
  </w:style>
  <w:style w:type="paragraph" w:styleId="BlockText">
    <w:name w:val="Block Text"/>
    <w:basedOn w:val="Normal"/>
    <w:rsid w:val="005A4AD1"/>
    <w:pPr>
      <w:spacing w:after="240"/>
      <w:ind w:left="1440" w:right="1440"/>
    </w:pPr>
  </w:style>
  <w:style w:type="paragraph" w:customStyle="1" w:styleId="TableFormat">
    <w:name w:val="TableFormat"/>
    <w:basedOn w:val="Bullet"/>
    <w:rsid w:val="005A4AD1"/>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A4AD1"/>
    <w:rPr>
      <w:rFonts w:ascii="Times New Roman" w:hAnsi="Times New Roman"/>
      <w:dstrike w:val="0"/>
      <w:color w:val="auto"/>
      <w:sz w:val="20"/>
      <w:vertAlign w:val="superscript"/>
    </w:rPr>
  </w:style>
  <w:style w:type="paragraph" w:styleId="Header">
    <w:name w:val="header"/>
    <w:basedOn w:val="Normal"/>
    <w:autoRedefine/>
    <w:rsid w:val="005A4AD1"/>
    <w:pPr>
      <w:tabs>
        <w:tab w:val="center" w:pos="4680"/>
        <w:tab w:val="right" w:pos="9360"/>
      </w:tabs>
    </w:pPr>
    <w:rPr>
      <w:b/>
    </w:rPr>
  </w:style>
  <w:style w:type="paragraph" w:styleId="Footer">
    <w:name w:val="footer"/>
    <w:basedOn w:val="Normal"/>
    <w:link w:val="FooterChar"/>
    <w:uiPriority w:val="99"/>
    <w:rsid w:val="005A4AD1"/>
    <w:pPr>
      <w:tabs>
        <w:tab w:val="center" w:pos="4320"/>
        <w:tab w:val="right" w:pos="8640"/>
      </w:tabs>
    </w:pPr>
  </w:style>
  <w:style w:type="paragraph" w:styleId="TOC2">
    <w:name w:val="toc 2"/>
    <w:basedOn w:val="Normal"/>
    <w:next w:val="Normal"/>
    <w:semiHidden/>
    <w:rsid w:val="005A4AD1"/>
    <w:pPr>
      <w:tabs>
        <w:tab w:val="left" w:pos="720"/>
        <w:tab w:val="right" w:leader="dot" w:pos="9360"/>
      </w:tabs>
      <w:suppressAutoHyphens/>
      <w:ind w:left="720" w:right="720" w:hanging="360"/>
    </w:pPr>
    <w:rPr>
      <w:noProof/>
    </w:rPr>
  </w:style>
  <w:style w:type="paragraph" w:customStyle="1" w:styleId="NumberedList">
    <w:name w:val="Numbered List"/>
    <w:basedOn w:val="Normal"/>
    <w:rsid w:val="00A66149"/>
    <w:pPr>
      <w:numPr>
        <w:numId w:val="1"/>
      </w:numPr>
      <w:tabs>
        <w:tab w:val="clear" w:pos="1080"/>
      </w:tabs>
      <w:spacing w:after="220"/>
      <w:ind w:firstLine="0"/>
    </w:pPr>
  </w:style>
  <w:style w:type="paragraph" w:styleId="TOC1">
    <w:name w:val="toc 1"/>
    <w:basedOn w:val="Normal"/>
    <w:next w:val="Normal"/>
    <w:semiHidden/>
    <w:rsid w:val="005A4AD1"/>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A4A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4A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4A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4A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4A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4A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4AD1"/>
    <w:pPr>
      <w:tabs>
        <w:tab w:val="left" w:pos="3240"/>
        <w:tab w:val="right" w:leader="dot" w:pos="9360"/>
      </w:tabs>
      <w:suppressAutoHyphens/>
      <w:ind w:left="3240" w:hanging="360"/>
    </w:pPr>
    <w:rPr>
      <w:noProof/>
    </w:rPr>
  </w:style>
  <w:style w:type="character" w:styleId="PageNumber">
    <w:name w:val="page number"/>
    <w:basedOn w:val="DefaultParagraphFont"/>
    <w:rsid w:val="005A4AD1"/>
  </w:style>
  <w:style w:type="paragraph" w:styleId="Title">
    <w:name w:val="Title"/>
    <w:basedOn w:val="Normal"/>
    <w:qFormat/>
    <w:rsid w:val="00A66149"/>
    <w:pPr>
      <w:jc w:val="center"/>
    </w:pPr>
    <w:rPr>
      <w:b/>
    </w:rPr>
  </w:style>
  <w:style w:type="paragraph" w:styleId="EndnoteText">
    <w:name w:val="endnote text"/>
    <w:basedOn w:val="Normal"/>
    <w:link w:val="EndnoteTextChar"/>
    <w:rsid w:val="005A4AD1"/>
    <w:rPr>
      <w:sz w:val="20"/>
    </w:rPr>
  </w:style>
  <w:style w:type="character" w:customStyle="1" w:styleId="EndnoteTextChar">
    <w:name w:val="Endnote Text Char"/>
    <w:basedOn w:val="DefaultParagraphFont"/>
    <w:link w:val="EndnoteText"/>
    <w:rsid w:val="00A66149"/>
    <w:rPr>
      <w:snapToGrid w:val="0"/>
      <w:kern w:val="28"/>
    </w:rPr>
  </w:style>
  <w:style w:type="character" w:styleId="EndnoteReference">
    <w:name w:val="endnote reference"/>
    <w:rsid w:val="005A4AD1"/>
    <w:rPr>
      <w:vertAlign w:val="superscript"/>
    </w:rPr>
  </w:style>
  <w:style w:type="paragraph" w:styleId="TOAHeading">
    <w:name w:val="toa heading"/>
    <w:basedOn w:val="Normal"/>
    <w:next w:val="Normal"/>
    <w:rsid w:val="005A4AD1"/>
    <w:pPr>
      <w:tabs>
        <w:tab w:val="right" w:pos="9360"/>
      </w:tabs>
      <w:suppressAutoHyphens/>
    </w:pPr>
  </w:style>
  <w:style w:type="character" w:customStyle="1" w:styleId="EquationCaption">
    <w:name w:val="_Equation Caption"/>
    <w:rsid w:val="005A4AD1"/>
  </w:style>
  <w:style w:type="paragraph" w:customStyle="1" w:styleId="Paratitle">
    <w:name w:val="Para title"/>
    <w:basedOn w:val="Normal"/>
    <w:rsid w:val="005A4AD1"/>
    <w:pPr>
      <w:tabs>
        <w:tab w:val="center" w:pos="9270"/>
      </w:tabs>
      <w:spacing w:after="240"/>
    </w:pPr>
    <w:rPr>
      <w:spacing w:val="-2"/>
    </w:rPr>
  </w:style>
  <w:style w:type="paragraph" w:customStyle="1" w:styleId="TOCTitle">
    <w:name w:val="TOC Title"/>
    <w:basedOn w:val="Normal"/>
    <w:rsid w:val="005A4A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4AD1"/>
    <w:pPr>
      <w:jc w:val="center"/>
    </w:pPr>
    <w:rPr>
      <w:rFonts w:ascii="Times New Roman Bold" w:hAnsi="Times New Roman Bold"/>
      <w:b/>
      <w:bCs/>
      <w:caps/>
      <w:szCs w:val="22"/>
    </w:rPr>
  </w:style>
  <w:style w:type="character" w:styleId="Hyperlink">
    <w:name w:val="Hyperlink"/>
    <w:rsid w:val="005A4AD1"/>
    <w:rPr>
      <w:color w:val="0000FF"/>
      <w:u w:val="single"/>
    </w:rPr>
  </w:style>
  <w:style w:type="character" w:styleId="CommentReference">
    <w:name w:val="annotation reference"/>
    <w:basedOn w:val="DefaultParagraphFont"/>
    <w:uiPriority w:val="99"/>
    <w:unhideWhenUsed/>
    <w:rsid w:val="00745A2D"/>
    <w:rPr>
      <w:sz w:val="16"/>
      <w:szCs w:val="16"/>
    </w:rPr>
  </w:style>
  <w:style w:type="paragraph" w:styleId="CommentText">
    <w:name w:val="annotation text"/>
    <w:basedOn w:val="Normal"/>
    <w:link w:val="CommentTextChar"/>
    <w:uiPriority w:val="99"/>
    <w:unhideWhenUsed/>
    <w:rsid w:val="00745A2D"/>
    <w:rPr>
      <w:sz w:val="20"/>
    </w:rPr>
  </w:style>
  <w:style w:type="character" w:customStyle="1" w:styleId="CommentTextChar">
    <w:name w:val="Comment Text Char"/>
    <w:basedOn w:val="DefaultParagraphFont"/>
    <w:link w:val="CommentText"/>
    <w:uiPriority w:val="99"/>
    <w:rsid w:val="00745A2D"/>
    <w:rPr>
      <w:snapToGrid w:val="0"/>
      <w:kern w:val="28"/>
    </w:rPr>
  </w:style>
  <w:style w:type="paragraph" w:styleId="CommentSubject">
    <w:name w:val="annotation subject"/>
    <w:basedOn w:val="CommentText"/>
    <w:next w:val="CommentText"/>
    <w:link w:val="CommentSubjectChar"/>
    <w:semiHidden/>
    <w:unhideWhenUsed/>
    <w:rsid w:val="00745A2D"/>
    <w:rPr>
      <w:b/>
      <w:bCs/>
    </w:rPr>
  </w:style>
  <w:style w:type="character" w:customStyle="1" w:styleId="CommentSubjectChar">
    <w:name w:val="Comment Subject Char"/>
    <w:basedOn w:val="CommentTextChar"/>
    <w:link w:val="CommentSubject"/>
    <w:semiHidden/>
    <w:rsid w:val="00745A2D"/>
    <w:rPr>
      <w:b/>
      <w:bCs/>
      <w:snapToGrid w:val="0"/>
      <w:kern w:val="28"/>
    </w:rPr>
  </w:style>
  <w:style w:type="paragraph" w:styleId="BalloonText">
    <w:name w:val="Balloon Text"/>
    <w:basedOn w:val="Normal"/>
    <w:link w:val="BalloonTextChar"/>
    <w:rsid w:val="00745A2D"/>
    <w:rPr>
      <w:rFonts w:ascii="Segoe UI" w:hAnsi="Segoe UI" w:cs="Segoe UI"/>
      <w:sz w:val="18"/>
      <w:szCs w:val="18"/>
    </w:rPr>
  </w:style>
  <w:style w:type="character" w:customStyle="1" w:styleId="BalloonTextChar">
    <w:name w:val="Balloon Text Char"/>
    <w:basedOn w:val="DefaultParagraphFont"/>
    <w:link w:val="BalloonText"/>
    <w:rsid w:val="00745A2D"/>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745A2D"/>
    <w:rPr>
      <w:color w:val="808080"/>
      <w:shd w:val="clear" w:color="auto" w:fill="E6E6E6"/>
    </w:rPr>
  </w:style>
  <w:style w:type="paragraph" w:styleId="ListParagraph">
    <w:name w:val="List Paragraph"/>
    <w:basedOn w:val="Normal"/>
    <w:uiPriority w:val="34"/>
    <w:qFormat/>
    <w:rsid w:val="00B978E5"/>
    <w:pPr>
      <w:ind w:left="720"/>
      <w:contextualSpacing/>
    </w:pPr>
  </w:style>
  <w:style w:type="paragraph" w:styleId="Revision">
    <w:name w:val="Revision"/>
    <w:hidden/>
    <w:uiPriority w:val="99"/>
    <w:semiHidden/>
    <w:rsid w:val="007A461B"/>
    <w:rPr>
      <w:snapToGrid w:val="0"/>
      <w:kern w:val="28"/>
      <w:sz w:val="22"/>
    </w:rPr>
  </w:style>
  <w:style w:type="character" w:customStyle="1" w:styleId="FooterChar">
    <w:name w:val="Footer Char"/>
    <w:link w:val="Footer"/>
    <w:uiPriority w:val="99"/>
    <w:rsid w:val="005A4AD1"/>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71584"/>
  </w:style>
  <w:style w:type="paragraph" w:customStyle="1" w:styleId="ParaNumSub">
    <w:name w:val="ParaNumSub"/>
    <w:basedOn w:val="Heading4"/>
    <w:qFormat/>
    <w:rsid w:val="005B0621"/>
    <w:pPr>
      <w:tabs>
        <w:tab w:val="clear" w:pos="2880"/>
      </w:tabs>
    </w:pPr>
    <w:rPr>
      <w:b w:val="0"/>
    </w:rPr>
  </w:style>
  <w:style w:type="character" w:customStyle="1" w:styleId="UnresolvedMention">
    <w:name w:val="Unresolved Mention"/>
    <w:basedOn w:val="DefaultParagraphFont"/>
    <w:rsid w:val="00E75CCD"/>
    <w:rPr>
      <w:color w:val="605E5C"/>
      <w:shd w:val="clear" w:color="auto" w:fill="E1DFDD"/>
    </w:rPr>
  </w:style>
  <w:style w:type="table" w:styleId="TableGrid">
    <w:name w:val="Table Grid"/>
    <w:basedOn w:val="TableNormal"/>
    <w:uiPriority w:val="39"/>
    <w:rsid w:val="00674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4B1D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