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4C2EE3" w14:paraId="35A28579" w14:textId="77777777">
      <w:pPr>
        <w:jc w:val="center"/>
        <w:rPr>
          <w:b/>
        </w:rPr>
      </w:pPr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P="00921803" w14:paraId="36E74AC6" w14:textId="77777777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P="00096D8C" w14:paraId="622C6345" w14:textId="77777777">
      <w:pPr>
        <w:pStyle w:val="StyleBoldCentered"/>
      </w:pPr>
      <w:r>
        <w:rPr>
          <w:caps w:val="0"/>
        </w:rPr>
        <w:t>Washington, D.C. 20554</w:t>
      </w:r>
    </w:p>
    <w:p w:rsidR="004C2EE3" w:rsidP="0070224F" w14:paraId="5BE949FF" w14:textId="77777777"/>
    <w:p w:rsidR="004C2EE3" w:rsidP="0070224F" w14:paraId="1FC8A61D" w14:textId="77777777"/>
    <w:tbl>
      <w:tblPr>
        <w:tblW w:w="0" w:type="auto"/>
        <w:tblLayout w:type="fixed"/>
        <w:tblLook w:val="0000"/>
      </w:tblPr>
      <w:tblGrid>
        <w:gridCol w:w="4698"/>
        <w:gridCol w:w="630"/>
        <w:gridCol w:w="4248"/>
      </w:tblGrid>
      <w:tr w14:paraId="552B935C" w14:textId="77777777"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A070C9" w:rsidRPr="00833EC9" w:rsidP="00A070C9" w14:paraId="23249265" w14:textId="77777777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 w:rsidRPr="00833EC9">
              <w:rPr>
                <w:spacing w:val="-2"/>
                <w:szCs w:val="22"/>
              </w:rPr>
              <w:t>In the Matter of</w:t>
            </w:r>
          </w:p>
          <w:p w:rsidR="00A070C9" w:rsidRPr="00833EC9" w:rsidP="00A070C9" w14:paraId="4D10EE54" w14:textId="77777777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A070C9" w:rsidRPr="007115F7" w:rsidP="00A070C9" w14:paraId="719B0412" w14:textId="1D93EADA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t>Improving Competitive Broadband Access to Multiple Tenant Environments</w:t>
            </w:r>
          </w:p>
        </w:tc>
        <w:tc>
          <w:tcPr>
            <w:tcW w:w="630" w:type="dxa"/>
          </w:tcPr>
          <w:p w:rsidR="00A070C9" w:rsidRPr="00833EC9" w:rsidP="00A070C9" w14:paraId="3D6B6AC3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833EC9">
              <w:rPr>
                <w:b/>
                <w:spacing w:val="-2"/>
                <w:szCs w:val="22"/>
              </w:rPr>
              <w:t>)</w:t>
            </w:r>
          </w:p>
          <w:p w:rsidR="00A070C9" w:rsidRPr="00833EC9" w:rsidP="00A070C9" w14:paraId="5CEB9F8B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833EC9">
              <w:rPr>
                <w:b/>
                <w:spacing w:val="-2"/>
                <w:szCs w:val="22"/>
              </w:rPr>
              <w:t>)</w:t>
            </w:r>
          </w:p>
          <w:p w:rsidR="00A070C9" w:rsidRPr="00833EC9" w:rsidP="00A070C9" w14:paraId="56547621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833EC9">
              <w:rPr>
                <w:b/>
                <w:spacing w:val="-2"/>
                <w:szCs w:val="22"/>
              </w:rPr>
              <w:t>)</w:t>
            </w:r>
          </w:p>
          <w:p w:rsidR="00A070C9" w:rsidP="00A070C9" w14:paraId="1C196031" w14:textId="0144B9A4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833EC9">
              <w:rPr>
                <w:b/>
                <w:spacing w:val="-2"/>
                <w:szCs w:val="22"/>
              </w:rPr>
              <w:t>)</w:t>
            </w:r>
          </w:p>
        </w:tc>
        <w:tc>
          <w:tcPr>
            <w:tcW w:w="4248" w:type="dxa"/>
          </w:tcPr>
          <w:p w:rsidR="00A070C9" w:rsidP="00A070C9" w14:paraId="148C05A7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A070C9" w:rsidP="00A070C9" w14:paraId="5AC1A6F1" w14:textId="77777777">
            <w:pPr>
              <w:pStyle w:val="TOAHeading"/>
              <w:tabs>
                <w:tab w:val="center" w:pos="4680"/>
                <w:tab w:val="clear" w:pos="9360"/>
              </w:tabs>
              <w:rPr>
                <w:spacing w:val="-2"/>
              </w:rPr>
            </w:pPr>
          </w:p>
          <w:p w:rsidR="00A070C9" w:rsidP="00A070C9" w14:paraId="522E4C22" w14:textId="1641F93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bookmarkStart w:id="0" w:name="_Hlk82523949"/>
            <w:r>
              <w:rPr>
                <w:spacing w:val="-2"/>
                <w:szCs w:val="22"/>
              </w:rPr>
              <w:t xml:space="preserve">GN </w:t>
            </w:r>
            <w:r w:rsidRPr="00833EC9">
              <w:rPr>
                <w:spacing w:val="-2"/>
                <w:szCs w:val="22"/>
              </w:rPr>
              <w:t xml:space="preserve">Docket No. </w:t>
            </w:r>
            <w:r>
              <w:rPr>
                <w:spacing w:val="-2"/>
                <w:szCs w:val="22"/>
              </w:rPr>
              <w:t>17</w:t>
            </w:r>
            <w:r w:rsidRPr="00833EC9"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</w:rPr>
              <w:t>142</w:t>
            </w:r>
            <w:bookmarkEnd w:id="0"/>
          </w:p>
        </w:tc>
      </w:tr>
    </w:tbl>
    <w:p w:rsidR="004C2EE3" w:rsidP="0070224F" w14:paraId="03C1168E" w14:textId="77777777"/>
    <w:p w:rsidR="00841AB1" w:rsidP="00F021FA" w14:paraId="218AE8CE" w14:textId="4D2CD0B5">
      <w:pPr>
        <w:pStyle w:val="StyleBoldCentered"/>
      </w:pPr>
      <w:r>
        <w:t>ORDER</w:t>
      </w:r>
    </w:p>
    <w:p w:rsidR="004C2EE3" w14:paraId="6911E88C" w14:textId="77777777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P="00133F79" w14:paraId="6F132829" w14:textId="47E11253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 xml:space="preserve">Adopted:  </w:t>
      </w:r>
      <w:r w:rsidR="00A070C9">
        <w:rPr>
          <w:b/>
          <w:spacing w:val="-2"/>
        </w:rPr>
        <w:t>November 3, 2021</w:t>
      </w:r>
      <w:r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="00A070C9">
        <w:rPr>
          <w:b/>
          <w:spacing w:val="-2"/>
        </w:rPr>
        <w:t>November 3, 2021</w:t>
      </w:r>
    </w:p>
    <w:p w:rsidR="00822CE0" w14:paraId="4CF89CE9" w14:textId="4CE08191"/>
    <w:p w:rsidR="00E83723" w:rsidRPr="00E83723" w14:paraId="5BD76A2C" w14:textId="7E05C96A">
      <w:pPr>
        <w:rPr>
          <w:b/>
          <w:bCs/>
        </w:rPr>
      </w:pPr>
      <w:r w:rsidRPr="0054091F">
        <w:rPr>
          <w:b/>
          <w:bCs/>
        </w:rPr>
        <w:t>Reply Comment Date:</w:t>
      </w:r>
      <w:r>
        <w:rPr>
          <w:b/>
          <w:bCs/>
        </w:rPr>
        <w:t xml:space="preserve"> </w:t>
      </w:r>
      <w:r w:rsidRPr="0054091F">
        <w:rPr>
          <w:b/>
          <w:bCs/>
        </w:rPr>
        <w:t xml:space="preserve"> </w:t>
      </w:r>
      <w:r>
        <w:rPr>
          <w:b/>
          <w:bCs/>
        </w:rPr>
        <w:t>November 19</w:t>
      </w:r>
      <w:r w:rsidRPr="0054091F">
        <w:rPr>
          <w:b/>
          <w:bCs/>
        </w:rPr>
        <w:t>, 2021</w:t>
      </w:r>
    </w:p>
    <w:p w:rsidR="00E83723" w14:paraId="22A27147" w14:textId="77777777"/>
    <w:p w:rsidR="004C2EE3" w14:paraId="78A885C3" w14:textId="34B7E2AD">
      <w:pPr>
        <w:rPr>
          <w:spacing w:val="-2"/>
        </w:rPr>
      </w:pPr>
      <w:r>
        <w:t xml:space="preserve">By </w:t>
      </w:r>
      <w:r w:rsidR="004E4A22">
        <w:t>the</w:t>
      </w:r>
      <w:r w:rsidR="002A2D2E">
        <w:t xml:space="preserve"> </w:t>
      </w:r>
      <w:r w:rsidR="00A070C9">
        <w:rPr>
          <w:spacing w:val="-2"/>
        </w:rPr>
        <w:t>Chief, Wireline Competition Bureau</w:t>
      </w:r>
      <w:r>
        <w:rPr>
          <w:spacing w:val="-2"/>
        </w:rPr>
        <w:t>:</w:t>
      </w:r>
    </w:p>
    <w:p w:rsidR="00822CE0" w14:paraId="742071FD" w14:textId="77777777">
      <w:pPr>
        <w:rPr>
          <w:spacing w:val="-2"/>
        </w:rPr>
      </w:pPr>
    </w:p>
    <w:p w:rsidR="00A070C9" w:rsidRPr="005C315C" w:rsidP="00A070C9" w14:paraId="0F6BCDF3" w14:textId="77777777">
      <w:pPr>
        <w:pStyle w:val="ParaNum"/>
        <w:rPr>
          <w:szCs w:val="22"/>
        </w:rPr>
      </w:pPr>
      <w:r w:rsidRPr="00833EC9">
        <w:rPr>
          <w:szCs w:val="22"/>
        </w:rPr>
        <w:t xml:space="preserve">By </w:t>
      </w:r>
      <w:r w:rsidRPr="0054091F">
        <w:t xml:space="preserve">this Order, the Wireline Competition Bureau (Bureau) grants </w:t>
      </w:r>
      <w:r>
        <w:t xml:space="preserve">a 15-day </w:t>
      </w:r>
      <w:r w:rsidRPr="0054091F">
        <w:t xml:space="preserve">extension of time for filing reply comments </w:t>
      </w:r>
      <w:r>
        <w:t>to</w:t>
      </w:r>
      <w:r w:rsidRPr="0054091F">
        <w:t xml:space="preserve"> the </w:t>
      </w:r>
      <w:r>
        <w:rPr>
          <w:i/>
          <w:iCs/>
        </w:rPr>
        <w:t>Public</w:t>
      </w:r>
      <w:r w:rsidRPr="0054091F">
        <w:rPr>
          <w:i/>
          <w:iCs/>
        </w:rPr>
        <w:t xml:space="preserve"> Notice </w:t>
      </w:r>
      <w:r>
        <w:t xml:space="preserve">seeking to refresh the record </w:t>
      </w:r>
      <w:r w:rsidRPr="0054091F">
        <w:t>in the above-captioned proceeding.</w:t>
      </w:r>
      <w:r>
        <w:rPr>
          <w:sz w:val="20"/>
          <w:vertAlign w:val="superscript"/>
        </w:rPr>
        <w:footnoteReference w:id="3"/>
      </w:r>
      <w:r w:rsidRPr="0054091F">
        <w:t xml:space="preserve">  As a result, reply comments are now due on</w:t>
      </w:r>
      <w:r>
        <w:t xml:space="preserve"> or before November 19</w:t>
      </w:r>
      <w:r w:rsidRPr="0054091F">
        <w:t xml:space="preserve">, </w:t>
      </w:r>
      <w:r>
        <w:t xml:space="preserve">2021. </w:t>
      </w:r>
    </w:p>
    <w:p w:rsidR="00A070C9" w:rsidP="00A070C9" w14:paraId="35C8916F" w14:textId="77777777">
      <w:pPr>
        <w:pStyle w:val="ParaNum"/>
        <w:rPr>
          <w:szCs w:val="22"/>
        </w:rPr>
      </w:pPr>
      <w:r>
        <w:rPr>
          <w:szCs w:val="22"/>
        </w:rPr>
        <w:t xml:space="preserve">On </w:t>
      </w:r>
      <w:r>
        <w:t>September 7</w:t>
      </w:r>
      <w:r w:rsidRPr="0054091F">
        <w:t xml:space="preserve">, 2021, the Commission released the </w:t>
      </w:r>
      <w:r>
        <w:rPr>
          <w:i/>
          <w:iCs/>
        </w:rPr>
        <w:t xml:space="preserve">Improving Competitive Broadband Access to Multiple Tenant Environments Public Notice </w:t>
      </w:r>
      <w:r>
        <w:t>(</w:t>
      </w:r>
      <w:r>
        <w:rPr>
          <w:i/>
          <w:iCs/>
        </w:rPr>
        <w:t>MTEs Public Notice</w:t>
      </w:r>
      <w:r>
        <w:t>),</w:t>
      </w:r>
      <w:r>
        <w:rPr>
          <w:i/>
          <w:iCs/>
        </w:rPr>
        <w:t xml:space="preserve"> </w:t>
      </w:r>
      <w:r>
        <w:t>seeking to refresh the record in this proceeding following a 2019 Notice of Proposed Rulemaking</w:t>
      </w:r>
      <w:r w:rsidRPr="0054091F">
        <w:t>.</w:t>
      </w:r>
      <w:r>
        <w:rPr>
          <w:sz w:val="20"/>
          <w:vertAlign w:val="superscript"/>
        </w:rPr>
        <w:footnoteReference w:id="4"/>
      </w:r>
      <w:r w:rsidRPr="0054091F">
        <w:t xml:space="preserve">  The </w:t>
      </w:r>
      <w:r>
        <w:rPr>
          <w:i/>
          <w:iCs/>
        </w:rPr>
        <w:t>MTEs Public Notice</w:t>
      </w:r>
      <w:r w:rsidRPr="0054091F">
        <w:t xml:space="preserve"> set deadlines for filing comments and reply comments at 30 and </w:t>
      </w:r>
      <w:r>
        <w:t>45</w:t>
      </w:r>
      <w:r w:rsidRPr="0054091F">
        <w:t xml:space="preserve"> days, respectively, after a summary of the item was published in the Federal Register.</w:t>
      </w:r>
      <w:r>
        <w:rPr>
          <w:sz w:val="20"/>
          <w:vertAlign w:val="superscript"/>
        </w:rPr>
        <w:footnoteReference w:id="5"/>
      </w:r>
      <w:r w:rsidRPr="0054091F">
        <w:t xml:space="preserve">  The Federal Register published that summary on </w:t>
      </w:r>
      <w:r>
        <w:t>September 20</w:t>
      </w:r>
      <w:r w:rsidRPr="0054091F">
        <w:t xml:space="preserve">, 2021, and established deadlines of </w:t>
      </w:r>
      <w:r>
        <w:t>October 20</w:t>
      </w:r>
      <w:r w:rsidRPr="0054091F">
        <w:t>, 2021</w:t>
      </w:r>
      <w:r>
        <w:t>,</w:t>
      </w:r>
      <w:r w:rsidRPr="0054091F">
        <w:t xml:space="preserve"> and </w:t>
      </w:r>
      <w:r>
        <w:t>November 4</w:t>
      </w:r>
      <w:r w:rsidRPr="0054091F">
        <w:t>, 2021</w:t>
      </w:r>
      <w:r>
        <w:t>,</w:t>
      </w:r>
      <w:r w:rsidRPr="0054091F">
        <w:t xml:space="preserve"> for filing comments and reply comments, </w:t>
      </w:r>
      <w:r>
        <w:t>respectively.</w:t>
      </w:r>
      <w:r>
        <w:rPr>
          <w:rStyle w:val="FootnoteReference"/>
        </w:rPr>
        <w:footnoteReference w:id="6"/>
      </w:r>
    </w:p>
    <w:p w:rsidR="00A070C9" w:rsidRPr="00840C21" w:rsidP="00A070C9" w14:paraId="6A8024F7" w14:textId="4D084E5C">
      <w:pPr>
        <w:pStyle w:val="ParaNum"/>
        <w:rPr>
          <w:szCs w:val="22"/>
        </w:rPr>
      </w:pPr>
      <w:r>
        <w:rPr>
          <w:szCs w:val="22"/>
        </w:rPr>
        <w:t xml:space="preserve"> On </w:t>
      </w:r>
      <w:r>
        <w:t>October 27</w:t>
      </w:r>
      <w:r w:rsidRPr="0054091F">
        <w:t xml:space="preserve">, 2021, </w:t>
      </w:r>
      <w:r>
        <w:t>NCTA</w:t>
      </w:r>
      <w:r w:rsidRPr="0054091F">
        <w:t xml:space="preserve"> filed a </w:t>
      </w:r>
      <w:r>
        <w:t>Request</w:t>
      </w:r>
      <w:r w:rsidRPr="0054091F">
        <w:t xml:space="preserve"> for Extension of Time seeking </w:t>
      </w:r>
      <w:r>
        <w:t xml:space="preserve">a </w:t>
      </w:r>
      <w:r w:rsidRPr="0054091F">
        <w:t xml:space="preserve">30-day extension of the reply </w:t>
      </w:r>
      <w:r>
        <w:t xml:space="preserve">comment </w:t>
      </w:r>
      <w:r w:rsidRPr="0054091F">
        <w:t>deadline.</w:t>
      </w:r>
      <w:r>
        <w:rPr>
          <w:sz w:val="20"/>
          <w:vertAlign w:val="superscript"/>
        </w:rPr>
        <w:footnoteReference w:id="7"/>
      </w:r>
      <w:r w:rsidRPr="0054091F">
        <w:t xml:space="preserve">  </w:t>
      </w:r>
      <w:r>
        <w:t>NCTA</w:t>
      </w:r>
      <w:r w:rsidRPr="0054091F">
        <w:t xml:space="preserve"> </w:t>
      </w:r>
      <w:r>
        <w:t xml:space="preserve">observes </w:t>
      </w:r>
      <w:r w:rsidRPr="0054091F">
        <w:t>that “</w:t>
      </w:r>
      <w:r w:rsidRPr="00E90447">
        <w:t>questions posed by the Public Notice</w:t>
      </w:r>
      <w:r>
        <w:t xml:space="preserve"> </w:t>
      </w:r>
      <w:r w:rsidRPr="00E90447">
        <w:t>raised complex and important issues regarding the broadband services in MTEs and how best to foster competition in that market, and a large array of stakeholders filed comments in response</w:t>
      </w:r>
      <w:r w:rsidRPr="0054091F">
        <w:t>.”</w:t>
      </w:r>
      <w:r>
        <w:rPr>
          <w:sz w:val="20"/>
          <w:vertAlign w:val="superscript"/>
        </w:rPr>
        <w:footnoteReference w:id="8"/>
      </w:r>
      <w:r w:rsidRPr="0054091F">
        <w:t xml:space="preserve">  </w:t>
      </w:r>
      <w:r>
        <w:t>It</w:t>
      </w:r>
      <w:r w:rsidRPr="0054091F">
        <w:t xml:space="preserve"> </w:t>
      </w:r>
      <w:r>
        <w:t>argues that due to the “volume and complexity of the record”—which includes numerous comments from a variety of different stakeholders that raise issues ranging from technical network configurations and the interplay between federal, state, and local regulatory schemes—more time is needed to review and respond.</w:t>
      </w:r>
      <w:r>
        <w:rPr>
          <w:rStyle w:val="FootnoteReference"/>
        </w:rPr>
        <w:footnoteReference w:id="9"/>
      </w:r>
      <w:r w:rsidRPr="0054091F">
        <w:t xml:space="preserve">  </w:t>
      </w:r>
      <w:bookmarkStart w:id="2" w:name="_Hlk86825685"/>
      <w:r>
        <w:t>NCTA</w:t>
      </w:r>
      <w:r w:rsidRPr="0054091F">
        <w:t xml:space="preserve"> assert</w:t>
      </w:r>
      <w:r>
        <w:t>s</w:t>
      </w:r>
      <w:r w:rsidRPr="0054091F">
        <w:t xml:space="preserve"> that “</w:t>
      </w:r>
      <w:r>
        <w:t>granting a modest extension” would provide “</w:t>
      </w:r>
      <w:r w:rsidRPr="000916D5">
        <w:t xml:space="preserve">sufficient opportunity for all interested </w:t>
      </w:r>
      <w:r w:rsidRPr="000916D5">
        <w:t>parties to fully assess the arguments raised by commenters</w:t>
      </w:r>
      <w:r w:rsidR="00E50D29">
        <w:t xml:space="preserve"> [which]</w:t>
      </w:r>
      <w:r w:rsidRPr="000916D5">
        <w:t xml:space="preserve"> is important to ensure the Commission has a complete record on which to act</w:t>
      </w:r>
      <w:r w:rsidRPr="0054091F">
        <w:t>.”</w:t>
      </w:r>
      <w:r>
        <w:rPr>
          <w:sz w:val="20"/>
          <w:vertAlign w:val="superscript"/>
        </w:rPr>
        <w:footnoteReference w:id="10"/>
      </w:r>
      <w:r>
        <w:t xml:space="preserve">  </w:t>
      </w:r>
      <w:bookmarkEnd w:id="2"/>
      <w:r>
        <w:t>NCTA also contends that allotting additional time “</w:t>
      </w:r>
      <w:r w:rsidRPr="000916D5">
        <w:t>will assist the Commission as it considers ways to advance its goals of bridging the digital divide and facilitating enhanced broadband deployment in MTEs</w:t>
      </w:r>
      <w:r>
        <w:t>.”</w:t>
      </w:r>
      <w:r>
        <w:rPr>
          <w:rStyle w:val="FootnoteReference"/>
        </w:rPr>
        <w:footnoteReference w:id="11"/>
      </w:r>
      <w:r w:rsidRPr="0054091F">
        <w:t xml:space="preserve">  No party has filed an opposition to </w:t>
      </w:r>
      <w:r>
        <w:t>NCTA’s</w:t>
      </w:r>
      <w:r w:rsidRPr="0054091F">
        <w:t xml:space="preserve"> </w:t>
      </w:r>
      <w:r>
        <w:t xml:space="preserve">request.  </w:t>
      </w:r>
    </w:p>
    <w:p w:rsidR="00A070C9" w:rsidRPr="00840C21" w:rsidP="00A070C9" w14:paraId="5117092C" w14:textId="77777777">
      <w:pPr>
        <w:pStyle w:val="ParaNum"/>
        <w:rPr>
          <w:szCs w:val="22"/>
        </w:rPr>
      </w:pPr>
      <w:r>
        <w:t xml:space="preserve">As </w:t>
      </w:r>
      <w:r w:rsidRPr="0054091F">
        <w:t>set forth in section 1.46 of the Commission’s rules, it is the policy of the Commission that extensions of time shall not be routinely granted.</w:t>
      </w:r>
      <w:r>
        <w:rPr>
          <w:sz w:val="20"/>
          <w:vertAlign w:val="superscript"/>
        </w:rPr>
        <w:footnoteReference w:id="12"/>
      </w:r>
      <w:r w:rsidRPr="0054091F">
        <w:t xml:space="preserve">  </w:t>
      </w:r>
      <w:r>
        <w:t>In this case, however, NCTA has demonstrated that a limited extension of time is warranted to allow interested parties to address the complex issues raised by commenters representing a diverse set of stakeholders.  Moreover, in refreshing the record, the Bureau sought to develop a more complete understanding of the issues previously raised in the 2019 Notice of Proposed Rulemaking.</w:t>
      </w:r>
      <w:r>
        <w:rPr>
          <w:rStyle w:val="FootnoteReference"/>
        </w:rPr>
        <w:footnoteReference w:id="13"/>
      </w:r>
      <w:r>
        <w:t xml:space="preserve">  Providing additional time for replies should improve the quality of reply comments and therefore strengthen the Bureau’s understanding of the relevant issues.  At the same time, we find the 30-day extension that NCTA requested would unduly delay Commission consideration of the important issues raised in this proceeding.  The 45-day reply period that NCTA requests would be unusual, and we find that a more typical 30-day reply period appropriately balances providing interested parties adequate time to prepare replies with allowing the proceeding to advance expeditiously.  We therefore</w:t>
      </w:r>
      <w:r w:rsidRPr="0054091F">
        <w:t xml:space="preserve"> find that </w:t>
      </w:r>
      <w:r>
        <w:t xml:space="preserve">there is </w:t>
      </w:r>
      <w:r w:rsidRPr="0054091F">
        <w:t>good cause for an extension of the reply comment deadline and that the public interest will be served by extending the reply comment deadline</w:t>
      </w:r>
      <w:r>
        <w:t xml:space="preserve"> by 15 days</w:t>
      </w:r>
      <w:r w:rsidRPr="0054091F">
        <w:t xml:space="preserve"> to </w:t>
      </w:r>
      <w:r>
        <w:t>November 19</w:t>
      </w:r>
      <w:r w:rsidRPr="0054091F">
        <w:t>,</w:t>
      </w:r>
      <w:r>
        <w:t xml:space="preserve"> 2021.</w:t>
      </w:r>
    </w:p>
    <w:p w:rsidR="00A070C9" w:rsidRPr="00833EC9" w:rsidP="00A070C9" w14:paraId="7BC7B6F8" w14:textId="77777777">
      <w:pPr>
        <w:pStyle w:val="ParaNum"/>
        <w:rPr>
          <w:szCs w:val="22"/>
        </w:rPr>
      </w:pPr>
      <w:r w:rsidRPr="00833EC9">
        <w:rPr>
          <w:szCs w:val="22"/>
        </w:rPr>
        <w:t xml:space="preserve">Accordingly, </w:t>
      </w:r>
      <w:r w:rsidRPr="00833EC9">
        <w:rPr>
          <w:b/>
          <w:bCs/>
          <w:szCs w:val="22"/>
        </w:rPr>
        <w:t>IT IS ORDERED</w:t>
      </w:r>
      <w:r w:rsidRPr="00833EC9">
        <w:rPr>
          <w:szCs w:val="22"/>
        </w:rPr>
        <w:t xml:space="preserve"> that, </w:t>
      </w:r>
      <w:r w:rsidRPr="0054091F">
        <w:t xml:space="preserve">pursuant to sections 0.204, 0.291, and 1.46 of the Commission’s rules, 47 CFR §§ 0.204, 0.291, 1.46, that the Motion for Extension of Time filed by the </w:t>
      </w:r>
      <w:r>
        <w:t>NCTA</w:t>
      </w:r>
      <w:r w:rsidRPr="0054091F">
        <w:t xml:space="preserve"> on </w:t>
      </w:r>
      <w:r>
        <w:t>October 27</w:t>
      </w:r>
      <w:r w:rsidRPr="0054091F">
        <w:t>, 2021</w:t>
      </w:r>
      <w:r>
        <w:t>,</w:t>
      </w:r>
      <w:r w:rsidRPr="0054091F">
        <w:t xml:space="preserve"> is</w:t>
      </w:r>
      <w:r w:rsidRPr="00833EC9">
        <w:rPr>
          <w:szCs w:val="22"/>
        </w:rPr>
        <w:t xml:space="preserve"> </w:t>
      </w:r>
      <w:r>
        <w:rPr>
          <w:szCs w:val="22"/>
        </w:rPr>
        <w:t>GRANTED to the extent described herein</w:t>
      </w:r>
      <w:r w:rsidRPr="00162F00">
        <w:rPr>
          <w:szCs w:val="22"/>
        </w:rPr>
        <w:t>.</w:t>
      </w:r>
    </w:p>
    <w:p w:rsidR="00A070C9" w:rsidP="00A070C9" w14:paraId="37C34E11" w14:textId="77777777">
      <w:pPr>
        <w:pStyle w:val="ParaNum"/>
        <w:rPr>
          <w:szCs w:val="22"/>
        </w:rPr>
      </w:pPr>
      <w:r w:rsidRPr="00833EC9">
        <w:rPr>
          <w:b/>
          <w:bCs/>
          <w:szCs w:val="22"/>
        </w:rPr>
        <w:t>IT IS FURTHER ORDERED</w:t>
      </w:r>
      <w:r>
        <w:rPr>
          <w:szCs w:val="22"/>
        </w:rPr>
        <w:t xml:space="preserve">, </w:t>
      </w:r>
      <w:r w:rsidRPr="0054091F">
        <w:t>that the date for filing</w:t>
      </w:r>
      <w:r>
        <w:t xml:space="preserve"> reply</w:t>
      </w:r>
      <w:r w:rsidRPr="0054091F">
        <w:t xml:space="preserve"> comments on the </w:t>
      </w:r>
      <w:r>
        <w:rPr>
          <w:i/>
          <w:iCs/>
        </w:rPr>
        <w:t>MTEs Public Notice</w:t>
      </w:r>
      <w:r w:rsidRPr="0054091F">
        <w:t xml:space="preserve"> is EXTENDED to </w:t>
      </w:r>
      <w:r>
        <w:t>November 19</w:t>
      </w:r>
      <w:r w:rsidRPr="0054091F">
        <w:t xml:space="preserve">, </w:t>
      </w:r>
      <w:r>
        <w:t>2021</w:t>
      </w:r>
      <w:r>
        <w:rPr>
          <w:szCs w:val="22"/>
        </w:rPr>
        <w:t>.</w:t>
      </w:r>
    </w:p>
    <w:p w:rsidR="00A070C9" w:rsidRPr="004D38A1" w:rsidP="00A070C9" w14:paraId="5A96B352" w14:textId="77777777">
      <w:pPr>
        <w:spacing w:after="240"/>
        <w:rPr>
          <w:szCs w:val="22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0"/>
        <w:gridCol w:w="5040"/>
      </w:tblGrid>
      <w:tr w14:paraId="57562FF7" w14:textId="77777777" w:rsidTr="002F6751">
        <w:tblPrEx>
          <w:tblW w:w="963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590" w:type="dxa"/>
          </w:tcPr>
          <w:p w:rsidR="00A070C9" w:rsidRPr="00833EC9" w:rsidP="002F6751" w14:paraId="626A4620" w14:textId="77777777">
            <w:pPr>
              <w:rPr>
                <w:szCs w:val="22"/>
              </w:rPr>
            </w:pPr>
          </w:p>
        </w:tc>
        <w:tc>
          <w:tcPr>
            <w:tcW w:w="5040" w:type="dxa"/>
          </w:tcPr>
          <w:p w:rsidR="00A070C9" w:rsidRPr="00833EC9" w:rsidP="002F6751" w14:paraId="221124B3" w14:textId="77777777">
            <w:pPr>
              <w:rPr>
                <w:szCs w:val="22"/>
              </w:rPr>
            </w:pPr>
            <w:r w:rsidRPr="00833EC9">
              <w:rPr>
                <w:szCs w:val="22"/>
              </w:rPr>
              <w:t>FEDERAL COMMUNICATIONS COMMISSION</w:t>
            </w:r>
          </w:p>
          <w:p w:rsidR="00A070C9" w:rsidRPr="00833EC9" w:rsidP="002F6751" w14:paraId="06B9B029" w14:textId="77777777">
            <w:pPr>
              <w:rPr>
                <w:szCs w:val="22"/>
              </w:rPr>
            </w:pPr>
          </w:p>
          <w:p w:rsidR="00A070C9" w:rsidRPr="00833EC9" w:rsidP="002F6751" w14:paraId="1CA7D32A" w14:textId="77777777">
            <w:pPr>
              <w:rPr>
                <w:szCs w:val="22"/>
              </w:rPr>
            </w:pPr>
          </w:p>
          <w:p w:rsidR="00A070C9" w:rsidRPr="00833EC9" w:rsidP="002F6751" w14:paraId="6D5CA38F" w14:textId="77777777">
            <w:pPr>
              <w:rPr>
                <w:szCs w:val="22"/>
              </w:rPr>
            </w:pPr>
          </w:p>
          <w:p w:rsidR="00A070C9" w:rsidRPr="00833EC9" w:rsidP="002F6751" w14:paraId="15FB92B9" w14:textId="77777777">
            <w:pPr>
              <w:rPr>
                <w:szCs w:val="22"/>
              </w:rPr>
            </w:pPr>
          </w:p>
          <w:p w:rsidR="00A070C9" w:rsidRPr="00833EC9" w:rsidP="002F6751" w14:paraId="6F387ABA" w14:textId="77777777">
            <w:pPr>
              <w:rPr>
                <w:szCs w:val="22"/>
              </w:rPr>
            </w:pPr>
            <w:r w:rsidRPr="00833EC9">
              <w:rPr>
                <w:szCs w:val="22"/>
              </w:rPr>
              <w:t>Kris A</w:t>
            </w:r>
            <w:r>
              <w:rPr>
                <w:szCs w:val="22"/>
              </w:rPr>
              <w:t>nne</w:t>
            </w:r>
            <w:r w:rsidRPr="00833EC9">
              <w:rPr>
                <w:szCs w:val="22"/>
              </w:rPr>
              <w:t xml:space="preserve"> Monte</w:t>
            </w:r>
            <w:r>
              <w:rPr>
                <w:szCs w:val="22"/>
              </w:rPr>
              <w:t>i</w:t>
            </w:r>
            <w:r w:rsidRPr="00833EC9">
              <w:rPr>
                <w:szCs w:val="22"/>
              </w:rPr>
              <w:t>th</w:t>
            </w:r>
          </w:p>
          <w:p w:rsidR="00A070C9" w:rsidP="002F6751" w14:paraId="64C92243" w14:textId="77777777">
            <w:pPr>
              <w:rPr>
                <w:szCs w:val="22"/>
              </w:rPr>
            </w:pPr>
            <w:r w:rsidRPr="00833EC9">
              <w:rPr>
                <w:szCs w:val="22"/>
              </w:rPr>
              <w:t>Chief</w:t>
            </w:r>
          </w:p>
          <w:p w:rsidR="00A070C9" w:rsidRPr="00833EC9" w:rsidP="002F6751" w14:paraId="13344560" w14:textId="77777777">
            <w:pPr>
              <w:rPr>
                <w:szCs w:val="22"/>
              </w:rPr>
            </w:pPr>
            <w:r w:rsidRPr="00833EC9">
              <w:rPr>
                <w:szCs w:val="22"/>
              </w:rPr>
              <w:t>Wireline Competition Bureau</w:t>
            </w:r>
          </w:p>
        </w:tc>
      </w:tr>
    </w:tbl>
    <w:p w:rsidR="00412FC5" w:rsidP="00A070C9" w14:paraId="1BC1E355" w14:textId="77777777">
      <w:pPr>
        <w:pStyle w:val="Heading1"/>
        <w:numPr>
          <w:ilvl w:val="0"/>
          <w:numId w:val="0"/>
        </w:numPr>
      </w:pPr>
    </w:p>
    <w:sectPr w:rsidSect="0055614C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3D74887D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3AA4EB0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E83723" w14:paraId="7B900C93" w14:textId="49DF88F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33BE8F7E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070C9" w14:paraId="783B076C" w14:textId="77777777">
      <w:r>
        <w:separator/>
      </w:r>
    </w:p>
  </w:footnote>
  <w:footnote w:type="continuationSeparator" w:id="1">
    <w:p w:rsidR="00A070C9" w:rsidP="00C721AC" w14:paraId="7A806BAC" w14:textId="77777777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A070C9" w:rsidP="00C721AC" w14:paraId="0DD5B2DB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A070C9" w:rsidP="00A070C9" w14:paraId="207B0A7F" w14:textId="77777777">
      <w:pPr>
        <w:pStyle w:val="FootnoteText"/>
      </w:pPr>
      <w:r>
        <w:rPr>
          <w:rStyle w:val="FootnoteReference"/>
        </w:rPr>
        <w:footnoteRef/>
      </w:r>
      <w:r>
        <w:t xml:space="preserve"> Federal Communications Commission, Improving Competitive Broadband Access to Multiple Tenant Environments, 86 Fed. Reg. 52120 (Sept. 20, 2021) (MTEs Federal Register Summary).</w:t>
      </w:r>
    </w:p>
  </w:footnote>
  <w:footnote w:id="4">
    <w:p w:rsidR="00A070C9" w:rsidP="00A070C9" w14:paraId="2B4E75F7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See Improving Competitive Broadband Access to Multiple Tenant </w:t>
      </w:r>
      <w:r>
        <w:rPr>
          <w:i/>
          <w:iCs/>
        </w:rPr>
        <w:t>Env’ts</w:t>
      </w:r>
      <w:r>
        <w:t xml:space="preserve">, GN Docket No. 17-142, Public Notice, DA 21-1114, </w:t>
      </w:r>
      <w:r w:rsidRPr="00F55775">
        <w:t>2021 WL 4429541, at *1</w:t>
      </w:r>
      <w:r>
        <w:t xml:space="preserve"> (WCB Sept. 7, 2021) (</w:t>
      </w:r>
      <w:r>
        <w:rPr>
          <w:i/>
          <w:iCs/>
        </w:rPr>
        <w:t>MTEs Public Notice</w:t>
      </w:r>
      <w:r w:rsidRPr="003865B5">
        <w:t>)</w:t>
      </w:r>
      <w:r>
        <w:t xml:space="preserve">; </w:t>
      </w:r>
      <w:r w:rsidRPr="007B1C9B">
        <w:rPr>
          <w:i/>
          <w:iCs/>
        </w:rPr>
        <w:t>Improving Competitive Broadband Access to Multiple Tenant Environments et al.</w:t>
      </w:r>
      <w:r w:rsidRPr="007B1C9B">
        <w:t>, GN Docket No. 17-142 et al., Notice of Proposed Rulemaking, 34 FCC 5702 (2019)</w:t>
      </w:r>
      <w:r>
        <w:t>.</w:t>
      </w:r>
    </w:p>
  </w:footnote>
  <w:footnote w:id="5">
    <w:p w:rsidR="00A070C9" w:rsidRPr="00E44FFC" w:rsidP="00A070C9" w14:paraId="7C1057AC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MTEs Public Notice</w:t>
      </w:r>
      <w:r>
        <w:t xml:space="preserve">, DA 21-1114, at 1.  </w:t>
      </w:r>
    </w:p>
  </w:footnote>
  <w:footnote w:id="6">
    <w:p w:rsidR="00A070C9" w:rsidP="00A070C9" w14:paraId="1A00649D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MTEs Federal Register Summary.</w:t>
      </w:r>
    </w:p>
  </w:footnote>
  <w:footnote w:id="7">
    <w:p w:rsidR="00A070C9" w:rsidP="00A070C9" w14:paraId="1C2089B8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NCTA, Motion for Extension of Time to Reply, GN Docket No. 17-142, at 1 (filed Oct. 27, 2021) (Motion for Extension of Time).</w:t>
      </w:r>
    </w:p>
  </w:footnote>
  <w:footnote w:id="8">
    <w:p w:rsidR="00A070C9" w:rsidP="00A070C9" w14:paraId="2750118A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1" w:name="_Hlk58854113"/>
      <w:r>
        <w:rPr>
          <w:i/>
        </w:rPr>
        <w:t>Id.</w:t>
      </w:r>
      <w:r>
        <w:t xml:space="preserve"> </w:t>
      </w:r>
      <w:bookmarkEnd w:id="1"/>
      <w:r>
        <w:t xml:space="preserve">at 1-2.  </w:t>
      </w:r>
    </w:p>
  </w:footnote>
  <w:footnote w:id="9">
    <w:p w:rsidR="00A070C9" w:rsidRPr="000916D5" w:rsidP="00A070C9" w14:paraId="45BDAFBA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Id. </w:t>
      </w:r>
      <w:r>
        <w:t>at 2.</w:t>
      </w:r>
    </w:p>
  </w:footnote>
  <w:footnote w:id="10">
    <w:p w:rsidR="00A070C9" w:rsidP="00A070C9" w14:paraId="190B4F2F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Id.</w:t>
      </w:r>
      <w:r>
        <w:t xml:space="preserve">  </w:t>
      </w:r>
    </w:p>
  </w:footnote>
  <w:footnote w:id="11">
    <w:p w:rsidR="00A070C9" w:rsidRPr="000916D5" w:rsidP="00A070C9" w14:paraId="61E98508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Id. </w:t>
      </w:r>
      <w:r>
        <w:t>at 2.</w:t>
      </w:r>
    </w:p>
  </w:footnote>
  <w:footnote w:id="12">
    <w:p w:rsidR="00A070C9" w:rsidP="00A070C9" w14:paraId="56A15E45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47 CFR § 1.46.  </w:t>
      </w:r>
    </w:p>
  </w:footnote>
  <w:footnote w:id="13">
    <w:p w:rsidR="00A070C9" w:rsidRPr="00252A4A" w:rsidP="00A070C9" w14:paraId="07AA5928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MTEs Public Notice</w:t>
      </w:r>
      <w:r>
        <w:t>, DA 21-1114, at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27B49978" w14:textId="7EFA2FE7">
    <w:pPr>
      <w:pStyle w:val="Header"/>
      <w:rPr>
        <w:b w:val="0"/>
      </w:rPr>
    </w:pPr>
    <w:r>
      <w:tab/>
    </w:r>
    <w:r>
      <w:t>Federal Communications Commission</w:t>
    </w:r>
    <w:r>
      <w:tab/>
    </w:r>
    <w:r w:rsidR="0027448B">
      <w:t>DA 21-1375</w:t>
    </w:r>
  </w:p>
  <w:p w:rsidR="00D25FB5" w14:paraId="56704D23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D25FB5" w14:paraId="2D4C0890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7A83E6FC" w14:textId="6E041F54">
    <w:pPr>
      <w:pStyle w:val="Header"/>
      <w:rPr>
        <w:b w:val="0"/>
      </w:rPr>
    </w:pPr>
    <w:r>
      <w:rPr>
        <w:noProof/>
      </w:rPr>
      <w:pict>
        <v:rect id="Rectangle 3" o:spid="_x0000_s2050" style="width:468pt;height:0.95pt;margin-top:12.65pt;margin-left:0.6pt;mso-position-horizontal-relative:margin;position:absolute;visibility:visible;z-index:-251657216" o:allowincell="f" fillcolor="black" stroked="f" strokeweight="0.05pt">
          <w10:wrap anchorx="margin"/>
        </v:rect>
      </w:pict>
    </w:r>
    <w:r>
      <w:tab/>
    </w:r>
    <w:r>
      <w:t>Federal Communications Commission</w:t>
    </w:r>
    <w:r>
      <w:tab/>
    </w:r>
    <w:r w:rsidR="0027448B">
      <w:rPr>
        <w:spacing w:val="-2"/>
      </w:rPr>
      <w:t>DA 21-1375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9F04A25"/>
    <w:multiLevelType w:val="hybridMultilevel"/>
    <w:tmpl w:val="5706140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C9"/>
    <w:rsid w:val="00036039"/>
    <w:rsid w:val="00037F90"/>
    <w:rsid w:val="000875BF"/>
    <w:rsid w:val="000916D5"/>
    <w:rsid w:val="00096D8C"/>
    <w:rsid w:val="000C0B65"/>
    <w:rsid w:val="000E05FE"/>
    <w:rsid w:val="000E3D42"/>
    <w:rsid w:val="00122BD5"/>
    <w:rsid w:val="00133F79"/>
    <w:rsid w:val="00162F00"/>
    <w:rsid w:val="00194A66"/>
    <w:rsid w:val="001D6BCF"/>
    <w:rsid w:val="001E01CA"/>
    <w:rsid w:val="00252A4A"/>
    <w:rsid w:val="0027448B"/>
    <w:rsid w:val="00275CF5"/>
    <w:rsid w:val="0028301F"/>
    <w:rsid w:val="00285017"/>
    <w:rsid w:val="002A2D2E"/>
    <w:rsid w:val="002C00E8"/>
    <w:rsid w:val="002F6751"/>
    <w:rsid w:val="00343749"/>
    <w:rsid w:val="003660ED"/>
    <w:rsid w:val="003865B5"/>
    <w:rsid w:val="003B0550"/>
    <w:rsid w:val="003B694F"/>
    <w:rsid w:val="003F171C"/>
    <w:rsid w:val="00412FC5"/>
    <w:rsid w:val="00422276"/>
    <w:rsid w:val="004242F1"/>
    <w:rsid w:val="00445A00"/>
    <w:rsid w:val="00451B0F"/>
    <w:rsid w:val="004720D9"/>
    <w:rsid w:val="004C2EE3"/>
    <w:rsid w:val="004D38A1"/>
    <w:rsid w:val="004E4A22"/>
    <w:rsid w:val="00511968"/>
    <w:rsid w:val="0054091F"/>
    <w:rsid w:val="0055614C"/>
    <w:rsid w:val="00566D06"/>
    <w:rsid w:val="005C315C"/>
    <w:rsid w:val="005E14C2"/>
    <w:rsid w:val="00607BA5"/>
    <w:rsid w:val="0061180A"/>
    <w:rsid w:val="00626EB6"/>
    <w:rsid w:val="00655D03"/>
    <w:rsid w:val="00683388"/>
    <w:rsid w:val="00683F84"/>
    <w:rsid w:val="006A6A81"/>
    <w:rsid w:val="006F7393"/>
    <w:rsid w:val="0070224F"/>
    <w:rsid w:val="007115F7"/>
    <w:rsid w:val="00785689"/>
    <w:rsid w:val="0079754B"/>
    <w:rsid w:val="007A1E6D"/>
    <w:rsid w:val="007B0EB2"/>
    <w:rsid w:val="007B1C9B"/>
    <w:rsid w:val="00810B6F"/>
    <w:rsid w:val="00822CE0"/>
    <w:rsid w:val="00833EC9"/>
    <w:rsid w:val="00840C21"/>
    <w:rsid w:val="00841AB1"/>
    <w:rsid w:val="008C68F1"/>
    <w:rsid w:val="00921803"/>
    <w:rsid w:val="00926503"/>
    <w:rsid w:val="009726D8"/>
    <w:rsid w:val="009D7308"/>
    <w:rsid w:val="009F76DB"/>
    <w:rsid w:val="00A070C9"/>
    <w:rsid w:val="00A32C3B"/>
    <w:rsid w:val="00A45F4F"/>
    <w:rsid w:val="00A600A9"/>
    <w:rsid w:val="00A80422"/>
    <w:rsid w:val="00AA55B7"/>
    <w:rsid w:val="00AA5B9E"/>
    <w:rsid w:val="00AB2407"/>
    <w:rsid w:val="00AB53DF"/>
    <w:rsid w:val="00B07E5C"/>
    <w:rsid w:val="00B811F7"/>
    <w:rsid w:val="00BA5DC6"/>
    <w:rsid w:val="00BA6196"/>
    <w:rsid w:val="00BC6D8C"/>
    <w:rsid w:val="00C34006"/>
    <w:rsid w:val="00C36B4C"/>
    <w:rsid w:val="00C426B1"/>
    <w:rsid w:val="00C66160"/>
    <w:rsid w:val="00C721AC"/>
    <w:rsid w:val="00C90D6A"/>
    <w:rsid w:val="00CA247E"/>
    <w:rsid w:val="00CA6D21"/>
    <w:rsid w:val="00CC72B6"/>
    <w:rsid w:val="00D0218D"/>
    <w:rsid w:val="00D25FB5"/>
    <w:rsid w:val="00D44223"/>
    <w:rsid w:val="00DA2529"/>
    <w:rsid w:val="00DB130A"/>
    <w:rsid w:val="00DB2EBB"/>
    <w:rsid w:val="00DC10A1"/>
    <w:rsid w:val="00DC655F"/>
    <w:rsid w:val="00DD0B59"/>
    <w:rsid w:val="00DD7EBD"/>
    <w:rsid w:val="00DF62B6"/>
    <w:rsid w:val="00E07225"/>
    <w:rsid w:val="00E44FFC"/>
    <w:rsid w:val="00E50D29"/>
    <w:rsid w:val="00E5409F"/>
    <w:rsid w:val="00E83723"/>
    <w:rsid w:val="00E90447"/>
    <w:rsid w:val="00EE6488"/>
    <w:rsid w:val="00F021FA"/>
    <w:rsid w:val="00F55775"/>
    <w:rsid w:val="00F62E97"/>
    <w:rsid w:val="00F64209"/>
    <w:rsid w:val="00F93B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DAD9CCC"/>
  <w15:chartTrackingRefBased/>
  <w15:docId w15:val="{97300FE4-1EBE-4320-9D97-89755B3C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D7308"/>
    <w:rPr>
      <w:snapToGrid w:val="0"/>
      <w:kern w:val="28"/>
      <w:sz w:val="22"/>
    </w:rPr>
  </w:style>
  <w:style w:type="table" w:styleId="TableGrid">
    <w:name w:val="Table Grid"/>
    <w:basedOn w:val="TableNormal"/>
    <w:rsid w:val="00A07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7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