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E80030" w:rsidP="00140750" w14:paraId="2310D2D0" w14:textId="1069736D">
            <w:pPr>
              <w:tabs>
                <w:tab w:val="center" w:pos="4680"/>
              </w:tabs>
              <w:suppressAutoHyphens/>
              <w:rPr>
                <w:b/>
                <w:bCs/>
                <w:spacing w:val="-2"/>
              </w:rPr>
            </w:pPr>
            <w:r>
              <w:rPr>
                <w:b/>
                <w:bCs/>
                <w:spacing w:val="-2"/>
              </w:rPr>
              <w:t>KAZT</w:t>
            </w:r>
            <w:r w:rsidR="00596F9E">
              <w:rPr>
                <w:b/>
                <w:bCs/>
                <w:spacing w:val="-2"/>
              </w:rPr>
              <w:t>, LLC</w:t>
            </w:r>
          </w:p>
          <w:p w:rsidR="00140750" w:rsidRPr="00E80030" w:rsidP="00140750" w14:paraId="57743B9F" w14:textId="77777777">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0A71AB93">
            <w:pPr>
              <w:tabs>
                <w:tab w:val="center" w:pos="4680"/>
              </w:tabs>
              <w:suppressAutoHyphens/>
              <w:rPr>
                <w:spacing w:val="-2"/>
              </w:rPr>
            </w:pPr>
            <w:r>
              <w:rPr>
                <w:spacing w:val="-2"/>
              </w:rPr>
              <w:t>Television Translator Station K30DT</w:t>
            </w:r>
          </w:p>
          <w:p w:rsidR="004C2EE3" w:rsidRPr="007115F7" w:rsidP="00140750" w14:paraId="310B4D25" w14:textId="0DD3224F">
            <w:pPr>
              <w:tabs>
                <w:tab w:val="center" w:pos="4680"/>
              </w:tabs>
              <w:suppressAutoHyphens/>
              <w:rPr>
                <w:spacing w:val="-2"/>
              </w:rPr>
            </w:pPr>
            <w:r>
              <w:rPr>
                <w:spacing w:val="-2"/>
              </w:rPr>
              <w:t>Flagstaff, AZ</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4EA273AE">
            <w:pPr>
              <w:pStyle w:val="TOAHeading"/>
              <w:tabs>
                <w:tab w:val="center" w:pos="4680"/>
              </w:tabs>
              <w:rPr>
                <w:spacing w:val="-2"/>
              </w:rPr>
            </w:pPr>
            <w:r w:rsidRPr="00140750">
              <w:rPr>
                <w:spacing w:val="-2"/>
              </w:rPr>
              <w:t xml:space="preserve">Facility ID No. </w:t>
            </w:r>
            <w:r w:rsidR="00DC5A5B">
              <w:rPr>
                <w:spacing w:val="-2"/>
              </w:rPr>
              <w:t>35809</w:t>
            </w:r>
          </w:p>
          <w:p w:rsidR="00140750" w:rsidRPr="00140750" w:rsidP="00140750" w14:paraId="31F6B7E1" w14:textId="15031D6B">
            <w:pPr>
              <w:pStyle w:val="TOAHeading"/>
              <w:tabs>
                <w:tab w:val="center" w:pos="4680"/>
              </w:tabs>
              <w:rPr>
                <w:spacing w:val="-2"/>
              </w:rPr>
            </w:pPr>
            <w:r w:rsidRPr="00140750">
              <w:rPr>
                <w:spacing w:val="-2"/>
              </w:rPr>
              <w:t xml:space="preserve">NAL/Acct. No. </w:t>
            </w:r>
            <w:r w:rsidRPr="006775D6" w:rsidR="006775D6">
              <w:rPr>
                <w:spacing w:val="-2"/>
              </w:rPr>
              <w:t>202141420022</w:t>
            </w:r>
          </w:p>
          <w:p w:rsidR="00140750" w:rsidRPr="00140750" w:rsidP="00140750" w14:paraId="60F8F9FE" w14:textId="1F435FAE">
            <w:pPr>
              <w:pStyle w:val="TOAHeading"/>
              <w:tabs>
                <w:tab w:val="center" w:pos="4680"/>
              </w:tabs>
              <w:rPr>
                <w:spacing w:val="-2"/>
              </w:rPr>
            </w:pPr>
            <w:r w:rsidRPr="00140750">
              <w:rPr>
                <w:spacing w:val="-2"/>
              </w:rPr>
              <w:t>FRN:</w:t>
            </w:r>
            <w:r w:rsidR="002172BD">
              <w:rPr>
                <w:spacing w:val="-2"/>
              </w:rPr>
              <w:t xml:space="preserve"> </w:t>
            </w:r>
            <w:r w:rsidRPr="006775D6" w:rsidR="006775D6">
              <w:rPr>
                <w:spacing w:val="-2"/>
              </w:rPr>
              <w:t>0006533111</w:t>
            </w:r>
          </w:p>
          <w:p w:rsidR="004C2EE3" w:rsidP="00140750" w14:paraId="0C593CF4" w14:textId="1AAEF6EB">
            <w:pPr>
              <w:tabs>
                <w:tab w:val="center" w:pos="4680"/>
              </w:tabs>
              <w:suppressAutoHyphens/>
              <w:rPr>
                <w:spacing w:val="-2"/>
              </w:rPr>
            </w:pPr>
            <w:r w:rsidRPr="00140750">
              <w:rPr>
                <w:spacing w:val="-2"/>
              </w:rPr>
              <w:t xml:space="preserve">File No. </w:t>
            </w:r>
            <w:r w:rsidR="00596F9E">
              <w:rPr>
                <w:spacing w:val="-2"/>
              </w:rPr>
              <w:t>0000</w:t>
            </w:r>
            <w:r w:rsidR="00DC5A5B">
              <w:rPr>
                <w:spacing w:val="-2"/>
              </w:rPr>
              <w:t>163742</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DC5A5B" w14:paraId="46331C01" w14:textId="25C0A7E8">
      <w:pPr>
        <w:tabs>
          <w:tab w:val="left" w:pos="720"/>
          <w:tab w:val="left" w:pos="5760"/>
          <w:tab w:val="right" w:pos="9360"/>
        </w:tabs>
        <w:suppressAutoHyphens/>
        <w:spacing w:line="227" w:lineRule="auto"/>
        <w:rPr>
          <w:spacing w:val="-2"/>
        </w:rPr>
      </w:pPr>
      <w:r w:rsidRPr="003F17E2">
        <w:rPr>
          <w:b/>
          <w:spacing w:val="-2"/>
        </w:rPr>
        <w:t xml:space="preserve">Adopted:  </w:t>
      </w:r>
      <w:r w:rsidR="006B0DC5">
        <w:rPr>
          <w:b/>
          <w:spacing w:val="-2"/>
        </w:rPr>
        <w:t>November 4, 2021</w:t>
      </w:r>
      <w:r w:rsidR="00DC5A5B">
        <w:rPr>
          <w:b/>
          <w:spacing w:val="-2"/>
        </w:rPr>
        <w:tab/>
      </w:r>
      <w:r w:rsidR="004F5657">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6B0DC5">
        <w:rPr>
          <w:b/>
          <w:spacing w:val="-2"/>
        </w:rPr>
        <w:t>November 5, 2021</w:t>
      </w:r>
    </w:p>
    <w:p w:rsidR="00822CE0" w:rsidRPr="003F17E2" w:rsidP="003F17E2" w14:paraId="31C63126" w14:textId="77777777"/>
    <w:p w:rsidR="004C2EE3" w:rsidP="003F17E2" w14:paraId="1B585008" w14:textId="52807F0A">
      <w:pPr>
        <w:rPr>
          <w:spacing w:val="-2"/>
        </w:rPr>
      </w:pPr>
      <w:r>
        <w:t xml:space="preserve">By </w:t>
      </w:r>
      <w:r w:rsidR="004E4A22">
        <w:t>the</w:t>
      </w:r>
      <w:r w:rsidR="002A2D2E">
        <w:t xml:space="preserve"> </w:t>
      </w:r>
      <w:r w:rsidRPr="003F17E2" w:rsidR="00140750">
        <w:rPr>
          <w:spacing w:val="-2"/>
        </w:rPr>
        <w:t xml:space="preserve">Chief, </w:t>
      </w:r>
      <w:r w:rsidR="00DC5A5B">
        <w:rPr>
          <w:spacing w:val="-2"/>
        </w:rPr>
        <w:t>Video</w:t>
      </w:r>
      <w:r w:rsidRPr="003F17E2" w:rsidR="00140750">
        <w:rPr>
          <w:spacing w:val="-2"/>
        </w:rPr>
        <w:t xml:space="preserve">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38881986">
      <w:pPr>
        <w:pStyle w:val="ParaNum"/>
        <w:rPr>
          <w:szCs w:val="22"/>
        </w:rPr>
      </w:pPr>
      <w:r>
        <w:t xml:space="preserve">The Media Bureau (Bureau) has before it the </w:t>
      </w:r>
      <w:r w:rsidR="00596F9E">
        <w:t xml:space="preserve">above-captioned </w:t>
      </w:r>
      <w:r>
        <w:t>application (Application)</w:t>
      </w:r>
      <w:r w:rsidR="00596F9E">
        <w:t xml:space="preserve"> of</w:t>
      </w:r>
      <w:r>
        <w:t xml:space="preserve"> </w:t>
      </w:r>
      <w:r w:rsidR="00DC5A5B">
        <w:t>KAZT, LLC</w:t>
      </w:r>
      <w:r w:rsidR="000F6468">
        <w:t xml:space="preserve"> </w:t>
      </w:r>
      <w:r w:rsidRPr="00DB10EE" w:rsidR="00DB10EE">
        <w:t>(</w:t>
      </w:r>
      <w:r w:rsidR="00596F9E">
        <w:t>Permittee</w:t>
      </w:r>
      <w:r w:rsidRPr="00DB10EE" w:rsidR="00DB10EE">
        <w:t>)</w:t>
      </w:r>
      <w:r w:rsidR="00221720">
        <w:t>,</w:t>
      </w:r>
      <w:r w:rsidRPr="00DB10EE" w:rsidR="00DB10EE">
        <w:t xml:space="preserve"> for </w:t>
      </w:r>
      <w:r w:rsidR="00596F9E">
        <w:t>a license to cover</w:t>
      </w:r>
      <w:r w:rsidRPr="00DB10EE" w:rsidR="00DB10EE">
        <w:t xml:space="preserve"> </w:t>
      </w:r>
      <w:r w:rsidR="00DC5A5B">
        <w:t>television</w:t>
      </w:r>
      <w:r w:rsidRPr="00DB10EE" w:rsidR="00DB10EE">
        <w:t xml:space="preserve"> translator station </w:t>
      </w:r>
      <w:r w:rsidR="00DC5A5B">
        <w:t>K30DT, Flagstaff, Arizona</w:t>
      </w:r>
      <w:r w:rsidRPr="00DB10EE" w:rsidR="00DB10EE">
        <w:t xml:space="preserve"> (</w:t>
      </w:r>
      <w:r w:rsidR="006255CA">
        <w:t>Translator</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w:t>
      </w:r>
      <w:r w:rsidR="00F27BC4">
        <w:t>4.788(</w:t>
      </w:r>
      <w:r w:rsidR="00B50636">
        <w:t>b</w:t>
      </w:r>
      <w:r w:rsidR="00F27BC4">
        <w:t>)</w:t>
      </w:r>
      <w:r>
        <w:rPr>
          <w:rStyle w:val="FootnoteReference"/>
          <w:color w:val="000000"/>
        </w:rPr>
        <w:footnoteReference w:id="4"/>
      </w:r>
      <w:r w:rsidR="00596F9E">
        <w:t xml:space="preserve"> of the Rules by failing to timely file a </w:t>
      </w:r>
      <w:r w:rsidR="00A27808">
        <w:t>l</w:t>
      </w:r>
      <w:r w:rsidR="00596F9E">
        <w:t xml:space="preserve">icense to </w:t>
      </w:r>
      <w:r w:rsidR="00A27808">
        <w:t>c</w:t>
      </w:r>
      <w:r w:rsidR="00596F9E">
        <w:t xml:space="preserve">over </w:t>
      </w:r>
      <w:r w:rsidR="00A27808">
        <w:t>a</w:t>
      </w:r>
      <w:r w:rsidR="00596F9E">
        <w:t>pplication, and willfully and repeatedly violated section 301 of the Act,</w:t>
      </w:r>
      <w:r>
        <w:rPr>
          <w:rStyle w:val="FootnoteReference"/>
          <w:color w:val="000000"/>
        </w:rPr>
        <w:footnoteReference w:id="5"/>
      </w:r>
      <w:r w:rsidR="00596F9E">
        <w:t xml:space="preserve"> by engaging in unauthorized operation of the Translator after </w:t>
      </w:r>
      <w:r w:rsidR="006255CA">
        <w:t>its</w:t>
      </w:r>
      <w:r w:rsidR="00596F9E">
        <w:t xml:space="preserve"> construction permit had expired.  Based upon our review of the facts and circumstances before us, we conclude that the Permittee </w:t>
      </w:r>
      <w:r w:rsidR="00C27060">
        <w:t xml:space="preserve">is </w:t>
      </w:r>
      <w:r w:rsidR="00596F9E">
        <w:t xml:space="preserve">apparently liable for a monetary forfeiture in the amount of </w:t>
      </w:r>
      <w:r w:rsidR="00C27060">
        <w:t>three</w:t>
      </w:r>
      <w:r w:rsidR="00596F9E">
        <w:t xml:space="preserve"> thousand </w:t>
      </w:r>
      <w:r w:rsidR="00C27060">
        <w:t>five hundred d</w:t>
      </w:r>
      <w:r w:rsidR="00596F9E">
        <w:t>ollars ($3,500)</w:t>
      </w:r>
      <w:r w:rsidR="00596F9E">
        <w:rPr>
          <w:szCs w:val="22"/>
        </w:rPr>
        <w:t>.</w:t>
      </w:r>
    </w:p>
    <w:p w:rsidR="00140750" w:rsidRPr="00146D8A" w:rsidP="00140750" w14:paraId="3DBF3911" w14:textId="77777777">
      <w:pPr>
        <w:pStyle w:val="Heading1"/>
      </w:pPr>
      <w:r w:rsidRPr="00947B4D">
        <w:t>BACKGROUN</w:t>
      </w:r>
      <w:r>
        <w:t>D</w:t>
      </w:r>
    </w:p>
    <w:p w:rsidR="006A1DAF" w:rsidRPr="00146D8A" w:rsidP="006A1DAF" w14:paraId="64883E53" w14:textId="39F63C09">
      <w:pPr>
        <w:pStyle w:val="ParaNum"/>
      </w:pPr>
      <w:r>
        <w:t xml:space="preserve">The Bureau issued Permittee a construction permit for the Translator on </w:t>
      </w:r>
      <w:r w:rsidR="00C30C7E">
        <w:t>April 12, 2021</w:t>
      </w:r>
      <w:r>
        <w:t>, with an expiration date of J</w:t>
      </w:r>
      <w:r w:rsidR="00C30C7E">
        <w:t>uly 13</w:t>
      </w:r>
      <w:r>
        <w:t>, 2021</w:t>
      </w:r>
      <w:r w:rsidR="00F94259">
        <w:t xml:space="preserve"> (Permit)</w:t>
      </w:r>
      <w:r>
        <w:t xml:space="preserve">. </w:t>
      </w:r>
      <w:r w:rsidR="00A41060">
        <w:t xml:space="preserve"> </w:t>
      </w:r>
      <w:r w:rsidR="00275A56">
        <w:t>However, Permittee</w:t>
      </w:r>
      <w:r w:rsidR="00C27060">
        <w:t xml:space="preserve"> </w:t>
      </w:r>
      <w:r w:rsidR="00275A56">
        <w:t xml:space="preserve">did </w:t>
      </w:r>
      <w:r w:rsidR="001E0A90">
        <w:t xml:space="preserve">not </w:t>
      </w:r>
      <w:r w:rsidR="00275A56">
        <w:t xml:space="preserve">file a covering license application by </w:t>
      </w:r>
      <w:r w:rsidR="007E569D">
        <w:t>J</w:t>
      </w:r>
      <w:r w:rsidR="00C30C7E">
        <w:t>uly 13</w:t>
      </w:r>
      <w:r w:rsidR="00275A56">
        <w:t>, 2021, and the</w:t>
      </w:r>
      <w:r w:rsidR="00A41060">
        <w:t xml:space="preserve"> Permit expired on its own terms that day</w:t>
      </w:r>
      <w:r w:rsidR="00275A56">
        <w:t xml:space="preserve"> </w:t>
      </w:r>
      <w:r w:rsidR="00AF350B">
        <w:t>pursuant</w:t>
      </w:r>
      <w:r w:rsidR="00275A56">
        <w:t xml:space="preserve"> to section 7</w:t>
      </w:r>
      <w:r w:rsidR="00C30C7E">
        <w:t>4.788(</w:t>
      </w:r>
      <w:r w:rsidR="00B50636">
        <w:t>b</w:t>
      </w:r>
      <w:r w:rsidR="00C30C7E">
        <w:t>)</w:t>
      </w:r>
      <w:r w:rsidR="00275A56">
        <w:t xml:space="preserve"> of the </w:t>
      </w:r>
      <w:r w:rsidR="00C30C7E">
        <w:t>r</w:t>
      </w:r>
      <w:r w:rsidR="00F92630">
        <w:t>ules</w:t>
      </w:r>
      <w:r w:rsidR="00A41060">
        <w:t>.</w:t>
      </w:r>
      <w:r>
        <w:rPr>
          <w:bCs/>
          <w:snapToGrid/>
          <w:kern w:val="0"/>
          <w:sz w:val="20"/>
          <w:vertAlign w:val="superscript"/>
        </w:rPr>
        <w:footnoteReference w:id="6"/>
      </w:r>
      <w:r w:rsidR="00A41060">
        <w:t xml:space="preserve"> </w:t>
      </w:r>
      <w:r w:rsidR="00025331">
        <w:t xml:space="preserve"> </w:t>
      </w:r>
      <w:bookmarkStart w:id="0" w:name="_Hlk80302111"/>
      <w:r w:rsidR="00D6392C">
        <w:t xml:space="preserve">Permittee filed the Application on </w:t>
      </w:r>
      <w:r w:rsidR="00C30C7E">
        <w:t>October 14</w:t>
      </w:r>
      <w:r w:rsidR="00D6392C">
        <w:t>, 2021</w:t>
      </w:r>
      <w:r w:rsidR="00C30C7E">
        <w:t xml:space="preserve">, more than </w:t>
      </w:r>
      <w:r w:rsidR="00276FFA">
        <w:t>six months after completing construction and three months after the Permit expired</w:t>
      </w:r>
      <w:r w:rsidR="00D6392C">
        <w:t>.</w:t>
      </w:r>
      <w:bookmarkEnd w:id="0"/>
      <w:r w:rsidR="0074036A">
        <w:t xml:space="preserve">  </w:t>
      </w:r>
      <w:r w:rsidRPr="0074036A" w:rsidR="0074036A">
        <w:t xml:space="preserve">On </w:t>
      </w:r>
      <w:r w:rsidR="0074036A">
        <w:t>October 19</w:t>
      </w:r>
      <w:r w:rsidRPr="0074036A" w:rsidR="0074036A">
        <w:t xml:space="preserve">, 2021, Permittee </w:t>
      </w:r>
      <w:r w:rsidR="0074036A">
        <w:t>amended its Application to include</w:t>
      </w:r>
      <w:r w:rsidRPr="0074036A" w:rsidR="0074036A">
        <w:t xml:space="preserve"> a </w:t>
      </w:r>
      <w:r w:rsidR="0074036A">
        <w:t>petition for waiver</w:t>
      </w:r>
      <w:r w:rsidRPr="0074036A" w:rsidR="0074036A">
        <w:t xml:space="preserve"> (Petition), </w:t>
      </w:r>
      <w:r w:rsidR="0074036A">
        <w:t xml:space="preserve">seeking </w:t>
      </w:r>
      <w:r w:rsidRPr="0074036A" w:rsidR="0074036A">
        <w:t>waiver of section 7</w:t>
      </w:r>
      <w:r w:rsidR="0074036A">
        <w:t>4.788(b)</w:t>
      </w:r>
      <w:r w:rsidRPr="0074036A" w:rsidR="0074036A">
        <w:t xml:space="preserve"> of the Rules</w:t>
      </w:r>
      <w:r w:rsidR="0074036A">
        <w:t xml:space="preserve"> and </w:t>
      </w:r>
      <w:r w:rsidRPr="0074036A" w:rsidR="0074036A">
        <w:t xml:space="preserve">demonstrating that the Translator was constructed prior to the expiration of the Permit.  </w:t>
      </w:r>
    </w:p>
    <w:p w:rsidR="00140750" w:rsidRPr="00146D8A" w:rsidP="007E5877" w14:paraId="663EEE6D" w14:textId="77777777">
      <w:pPr>
        <w:pStyle w:val="Heading1"/>
        <w:rPr>
          <w:szCs w:val="22"/>
        </w:rPr>
      </w:pPr>
      <w:r w:rsidRPr="00753410">
        <w:t>DISCUSSION</w:t>
      </w:r>
    </w:p>
    <w:p w:rsidR="00140750" w:rsidRPr="00146D8A" w:rsidP="00C2305A" w14:paraId="174DC642" w14:textId="366A0A80">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a covering license application as required by </w:t>
      </w:r>
      <w:r w:rsidR="00F94259">
        <w:t>s</w:t>
      </w:r>
      <w:r w:rsidR="000B44EA">
        <w:t>ection 7</w:t>
      </w:r>
      <w:r w:rsidR="00F50D67">
        <w:t>4.788(</w:t>
      </w:r>
      <w:r w:rsidR="000E5B45">
        <w:t>b</w:t>
      </w:r>
      <w:r w:rsidR="00F50D67">
        <w:t>)</w:t>
      </w:r>
      <w:r w:rsidR="000B44EA">
        <w:t xml:space="preserve"> of the Rules</w:t>
      </w:r>
      <w:r w:rsidR="00F94259">
        <w:t>, and</w:t>
      </w:r>
      <w:r w:rsidR="000B44EA">
        <w:t xml:space="preserve"> continued </w:t>
      </w:r>
      <w:r w:rsidR="006255CA">
        <w:t>Translator</w:t>
      </w:r>
      <w:r w:rsidR="000B44EA">
        <w:t xml:space="preserve"> operations with the permitted facilities after the </w:t>
      </w:r>
      <w:r w:rsidR="00F94259">
        <w:t>P</w:t>
      </w:r>
      <w:r w:rsidR="000B44EA">
        <w:t xml:space="preserve">ermit expired on </w:t>
      </w:r>
      <w:r w:rsidR="00F94259">
        <w:t>J</w:t>
      </w:r>
      <w:r w:rsidR="00C30C7E">
        <w:t>uly 13</w:t>
      </w:r>
      <w:r w:rsidR="00F94259">
        <w:t>, 2021</w:t>
      </w:r>
      <w:r w:rsidR="000B44EA">
        <w:t xml:space="preserve">, before attempting to file the appropriate covering license application, and did not seek </w:t>
      </w:r>
      <w:r w:rsidR="00F94259">
        <w:t>special temporary authority</w:t>
      </w:r>
      <w:r w:rsidR="000B44EA">
        <w:t xml:space="preserve"> to operate with those facilities. </w:t>
      </w:r>
      <w:r w:rsidR="006A1DAF">
        <w:t>In its Petition, Permittee stated that it completed construction of the Translator in accordance with the construction permit granted by the Commission and commenced operation of those facilities, on April 1</w:t>
      </w:r>
      <w:r w:rsidR="00EF5DBB">
        <w:t>2</w:t>
      </w:r>
      <w:r w:rsidR="006A1DAF">
        <w:t>, 2021.  Permittee states that</w:t>
      </w:r>
      <w:r w:rsidR="00EF5DBB">
        <w:t xml:space="preserve"> while</w:t>
      </w:r>
      <w:r w:rsidR="006A1DAF">
        <w:t xml:space="preserve"> it </w:t>
      </w:r>
      <w:r w:rsidR="00276FFA">
        <w:t xml:space="preserve">filled out the Application </w:t>
      </w:r>
      <w:r w:rsidR="006A1DAF">
        <w:t>in LM</w:t>
      </w:r>
      <w:r w:rsidR="00EF5DBB">
        <w:t xml:space="preserve">S, its administrative staff </w:t>
      </w:r>
      <w:r w:rsidR="00276FFA">
        <w:t>failed to file it</w:t>
      </w:r>
      <w:r w:rsidR="006A1DAF">
        <w:t xml:space="preserve">.  It was not until September 28, 2021, when Commission staff inquired as to the construction status of the station, that the Permittee discovered that </w:t>
      </w:r>
      <w:r w:rsidR="00276FFA">
        <w:t>the Application had not been filed in LMS</w:t>
      </w:r>
      <w:r w:rsidR="00EF5DBB">
        <w:t xml:space="preserve">.  </w:t>
      </w:r>
      <w:r w:rsidR="006A1DAF">
        <w:t>I</w:t>
      </w:r>
      <w:r w:rsidRPr="001D7A5D" w:rsidR="006A1DAF">
        <w:t>t is well settled that applicants and licensees are responsible for the errors of th</w:t>
      </w:r>
      <w:r w:rsidR="006A1DAF">
        <w:t>eir staff.</w:t>
      </w:r>
      <w:r>
        <w:rPr>
          <w:rStyle w:val="FootnoteReference"/>
        </w:rPr>
        <w:footnoteReference w:id="7"/>
      </w:r>
      <w:r w:rsidR="00276FFA">
        <w:t xml:space="preserve">  Further</w:t>
      </w:r>
      <w:r w:rsidRPr="00EF5DBB" w:rsidR="00EF5DBB">
        <w:t xml:space="preserve">, </w:t>
      </w:r>
      <w:r w:rsidR="00EF5DBB">
        <w:t xml:space="preserve">as a result of its late filing </w:t>
      </w:r>
      <w:r w:rsidRPr="00EF5DBB" w:rsidR="00EF5DBB">
        <w:t>Permittee</w:t>
      </w:r>
      <w:r w:rsidR="00EF5DBB">
        <w:t xml:space="preserve"> also</w:t>
      </w:r>
      <w:r w:rsidRPr="00EF5DBB" w:rsidR="00EF5DBB">
        <w:t xml:space="preserve"> engaged in unauthorized operation for </w:t>
      </w:r>
      <w:r w:rsidR="000B44EA">
        <w:t xml:space="preserve">in violation of </w:t>
      </w:r>
      <w:r w:rsidR="00D6392C">
        <w:t>s</w:t>
      </w:r>
      <w:r w:rsidR="000B44EA">
        <w:t>ection 301 of the Act</w:t>
      </w:r>
      <w:r w:rsidR="00EF5DBB">
        <w:t xml:space="preserve"> for approximately six months</w:t>
      </w:r>
      <w:r w:rsidR="000B44EA">
        <w:t>.</w:t>
      </w:r>
    </w:p>
    <w:p w:rsidR="00140750" w:rsidRPr="00146D8A" w:rsidP="000B44EA" w14:paraId="1DBB92B8" w14:textId="2A01DD01">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r w:rsidR="00BF575C">
        <w:rPr>
          <w:rFonts w:eastAsia="SimSun"/>
        </w:rPr>
        <w:t xml:space="preserve">  </w:t>
      </w:r>
      <w:r w:rsidRPr="008D30C5" w:rsidR="00BF575C">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2"/>
      </w:r>
      <w:r w:rsidRPr="008D30C5" w:rsidR="00BF575C">
        <w:t xml:space="preserve">  </w:t>
      </w:r>
    </w:p>
    <w:p w:rsidR="00D6392C" w:rsidRPr="004E079F" w:rsidP="002E5D87" w14:paraId="50057BAA" w14:textId="4138CF11">
      <w:pPr>
        <w:pStyle w:val="ParaNum"/>
        <w:widowControl/>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13"/>
      </w:r>
      <w:r w:rsidR="00BF575C">
        <w:t xml:space="preserve">  The guidelines also specify a base forfeiture amount of $10,000 for construction and/or operation without an instrument of authorization for the service.</w:t>
      </w:r>
      <w:r>
        <w:rPr>
          <w:rStyle w:val="FootnoteReference"/>
        </w:rPr>
        <w:footnoteReference w:id="14"/>
      </w:r>
      <w:r w:rsidR="00BF575C">
        <w:t xml:space="preserve">  </w:t>
      </w:r>
      <w:r>
        <w:t xml:space="preserve">In determining the appropriate forfeiture amount, we may adjust the base amount upward or downward by considering the factors enumerated in section 503(b)(2)(E) of the Act, including “the nature, circumstances, extent and gravity of the violation, and, with respect to the violator, </w:t>
      </w:r>
      <w:r>
        <w:t>the degree of culpability, any history of prior offenses, ability to pay, and such other matters as justice may require.”</w:t>
      </w:r>
      <w:r>
        <w:rPr>
          <w:rStyle w:val="FootnoteReference"/>
          <w:szCs w:val="22"/>
        </w:rPr>
        <w:footnoteReference w:id="15"/>
      </w:r>
      <w:r>
        <w:t xml:space="preserve">  </w:t>
      </w:r>
    </w:p>
    <w:p w:rsidR="00140750" w:rsidRPr="00221720" w:rsidP="00FF6072" w14:paraId="36D2D6B7" w14:textId="506D1A1A">
      <w:pPr>
        <w:pStyle w:val="ParaNum"/>
        <w:widowControl/>
        <w:rPr>
          <w:color w:val="000000"/>
        </w:rPr>
      </w:pPr>
      <w:r>
        <w:t>Based on our review of the facts and circumstances, we tentatively find that a $</w:t>
      </w:r>
      <w:r w:rsidR="00D6392C">
        <w:t>7,000</w:t>
      </w:r>
      <w:r>
        <w:t xml:space="preserve"> </w:t>
      </w:r>
      <w:r w:rsidR="006255CA">
        <w:t xml:space="preserve">base </w:t>
      </w:r>
      <w:r>
        <w:t>forfeiture is appropriate.</w:t>
      </w:r>
      <w:r>
        <w:rPr>
          <w:rStyle w:val="FootnoteReference"/>
        </w:rPr>
        <w:footnoteReference w:id="16"/>
      </w:r>
      <w:r>
        <w:t xml:space="preserve">  </w:t>
      </w:r>
      <w:r>
        <w:t xml:space="preserve">Licensee failed to file a </w:t>
      </w:r>
      <w:r w:rsidR="00BF575C">
        <w:t>timely covering license application</w:t>
      </w:r>
      <w:r>
        <w:t xml:space="preserve"> for the </w:t>
      </w:r>
      <w:r w:rsidR="006255CA">
        <w:t>Translator</w:t>
      </w:r>
      <w:r>
        <w:t xml:space="preserve"> </w:t>
      </w:r>
      <w:r>
        <w:t xml:space="preserve">and engaged in unauthorized operation of the </w:t>
      </w:r>
      <w:r w:rsidR="006255CA">
        <w:t>Translator</w:t>
      </w:r>
      <w:r>
        <w:t xml:space="preserve"> after the permit expired on J</w:t>
      </w:r>
      <w:r w:rsidR="00C30C7E">
        <w:t>uly 13</w:t>
      </w:r>
      <w:r>
        <w:t>, 2021</w:t>
      </w:r>
      <w:r>
        <w:t>.</w:t>
      </w:r>
      <w:r>
        <w:t xml:space="preserv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w:t>
      </w:r>
      <w:r w:rsidR="006255CA">
        <w:rPr>
          <w:szCs w:val="22"/>
        </w:rPr>
        <w:t>3</w:t>
      </w:r>
      <w:r>
        <w:rPr>
          <w:szCs w:val="22"/>
        </w:rPr>
        <w:t>,500 because, as a</w:t>
      </w:r>
      <w:r w:rsidR="00C30C7E">
        <w:rPr>
          <w:szCs w:val="22"/>
        </w:rPr>
        <w:t xml:space="preserve"> television</w:t>
      </w:r>
      <w:r>
        <w:rPr>
          <w:szCs w:val="22"/>
        </w:rPr>
        <w:t xml:space="preserve"> translator, the </w:t>
      </w:r>
      <w:r w:rsidR="006255CA">
        <w:rPr>
          <w:szCs w:val="22"/>
        </w:rPr>
        <w:t xml:space="preserve">Translator </w:t>
      </w:r>
      <w:r>
        <w:rPr>
          <w:szCs w:val="22"/>
        </w:rPr>
        <w:t>is providing a secondary service.</w:t>
      </w:r>
      <w:r>
        <w:rPr>
          <w:rStyle w:val="FootnoteReference"/>
          <w:szCs w:val="22"/>
        </w:rPr>
        <w:footnoteReference w:id="17"/>
      </w:r>
      <w:r>
        <w:t xml:space="preserve"> </w:t>
      </w:r>
      <w:r w:rsidR="006255CA">
        <w:t xml:space="preserve"> </w:t>
      </w:r>
      <w:r>
        <w:t>We</w:t>
      </w:r>
      <w:r w:rsidR="009373AE">
        <w:t xml:space="preserve"> also </w:t>
      </w:r>
      <w:r w:rsidRPr="009373AE" w:rsidR="009373AE">
        <w:t xml:space="preserve">grant the </w:t>
      </w:r>
      <w:r w:rsidR="009373AE">
        <w:t>Petition</w:t>
      </w:r>
      <w:r w:rsidRPr="009373AE" w:rsidR="009373AE">
        <w:t>,</w:t>
      </w:r>
      <w:r>
        <w:rPr>
          <w:rStyle w:val="FootnoteReference"/>
        </w:rPr>
        <w:footnoteReference w:id="18"/>
      </w:r>
      <w:r w:rsidRPr="009373AE" w:rsidR="009373AE">
        <w:t xml:space="preserve"> reinstate the Permit</w:t>
      </w:r>
      <w:r w:rsidR="007E5877">
        <w:t>,</w:t>
      </w:r>
      <w:r w:rsidR="009373AE">
        <w:t xml:space="preserve"> and </w:t>
      </w:r>
      <w:r>
        <w:t>will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40176DF9">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9"/>
      </w:r>
      <w:r w:rsidRPr="00947B4D">
        <w:t xml:space="preserve"> </w:t>
      </w:r>
      <w:r w:rsidR="00C30C7E">
        <w:t>KAZT</w:t>
      </w:r>
      <w:r w:rsidR="00221720">
        <w:t>, LLC</w:t>
      </w:r>
      <w:r w:rsidR="00943ACD">
        <w:t>,</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t xml:space="preserve"> </w:t>
      </w:r>
      <w:r w:rsidR="003946B0">
        <w:t xml:space="preserve">three </w:t>
      </w:r>
      <w:r>
        <w:t>thousand five hundred dollars (</w:t>
      </w:r>
      <w:r w:rsidRPr="00947B4D">
        <w:t>$</w:t>
      </w:r>
      <w:r w:rsidR="003946B0">
        <w:t>3</w:t>
      </w:r>
      <w:r>
        <w:t>,500)</w:t>
      </w:r>
      <w:r w:rsidRPr="00947B4D">
        <w:t xml:space="preserve"> for </w:t>
      </w:r>
      <w:r w:rsidR="00943ACD">
        <w:t>its</w:t>
      </w:r>
      <w:r w:rsidR="00F67AFF">
        <w:t xml:space="preserve"> </w:t>
      </w:r>
      <w:r>
        <w:t>apparent willful violation of section 7</w:t>
      </w:r>
      <w:r w:rsidR="00467CEE">
        <w:t>4.788(b)</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r>
        <w:rPr>
          <w:rStyle w:val="FootnoteReference"/>
        </w:rPr>
        <w:footnoteReference w:id="20"/>
      </w:r>
    </w:p>
    <w:p w:rsidR="00140750" w:rsidRPr="00146D8A" w:rsidP="002E5D87" w14:paraId="5C577B4F" w14:textId="4CBA1C20">
      <w:pPr>
        <w:pStyle w:val="ParaNum"/>
        <w:widowControl/>
      </w:pPr>
      <w:r w:rsidRPr="003F17E2">
        <w:rPr>
          <w:b/>
        </w:rPr>
        <w:t>IT IS FURTHER ORDERED</w:t>
      </w:r>
      <w:r w:rsidRPr="00947B4D">
        <w:t xml:space="preserve">, pursuant to </w:t>
      </w:r>
      <w:r>
        <w:t>s</w:t>
      </w:r>
      <w:r w:rsidRPr="00947B4D">
        <w:t xml:space="preserve">ection 1.80 of the Commission’s </w:t>
      </w:r>
      <w:r>
        <w:t>r</w:t>
      </w:r>
      <w:r w:rsidRPr="00947B4D">
        <w:t>ules,</w:t>
      </w:r>
      <w:r>
        <w:rPr>
          <w:rStyle w:val="FootnoteReference"/>
        </w:rPr>
        <w:footnoteReference w:id="21"/>
      </w:r>
      <w:r w:rsidRPr="00947B4D">
        <w:t xml:space="preserve"> that, within thirty (30) days of the release date of this </w:t>
      </w:r>
      <w:r w:rsidRPr="00947B4D">
        <w:rPr>
          <w:i/>
        </w:rPr>
        <w:t>NAL</w:t>
      </w:r>
      <w:r>
        <w:rPr>
          <w:i/>
        </w:rPr>
        <w:t>,</w:t>
      </w:r>
      <w:r w:rsidR="00F11399">
        <w:rPr>
          <w:i/>
        </w:rPr>
        <w:t xml:space="preserve"> </w:t>
      </w:r>
      <w:r w:rsidR="00C30C7E">
        <w:t>KAZT</w:t>
      </w:r>
      <w:r w:rsidR="00221720">
        <w:t>, LLC</w:t>
      </w:r>
      <w:r w:rsidR="008C6117">
        <w:t>,</w:t>
      </w:r>
      <w:r>
        <w:t xml:space="preserve"> </w:t>
      </w:r>
      <w:r w:rsidRPr="00C6145C">
        <w:rPr>
          <w:b/>
          <w:bCs/>
        </w:rPr>
        <w:t>SHALL PAY</w:t>
      </w:r>
      <w:r w:rsidRPr="00947B4D">
        <w:t xml:space="preserve"> the full amount of </w:t>
      </w:r>
      <w:r w:rsidRPr="00947B4D">
        <w:t xml:space="preserve">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6CFABFDE">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2"/>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3"/>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4"/>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5"/>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EF5DBB" w:rsidP="00EF5DBB" w14:paraId="3EEA7E39" w14:textId="4973F937">
      <w:pPr>
        <w:pStyle w:val="ParaNum"/>
        <w:rPr>
          <w:szCs w:val="22"/>
        </w:rPr>
      </w:pPr>
      <w:r w:rsidRPr="00EF5DBB">
        <w:rPr>
          <w:szCs w:val="22"/>
        </w:rPr>
        <w:t>Any written response seeking reduction or cancellation of the proposed forfeiture must include a detailed factual statement supported by appropriate documentation and affidavits pursuant to sections 1.16 and 1.80(</w:t>
      </w:r>
      <w:r w:rsidRPr="00EF5DBB" w:rsidR="001C5F2F">
        <w:rPr>
          <w:szCs w:val="22"/>
        </w:rPr>
        <w:t>g</w:t>
      </w:r>
      <w:r w:rsidRPr="00EF5DBB">
        <w:rPr>
          <w:szCs w:val="22"/>
        </w:rPr>
        <w:t>)(3) of the Commission’s rules.</w:t>
      </w:r>
      <w:r>
        <w:rPr>
          <w:rStyle w:val="FootnoteReference"/>
          <w:szCs w:val="22"/>
        </w:rPr>
        <w:footnoteReference w:id="26"/>
      </w:r>
      <w:r w:rsidRPr="00EF5DBB">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w:t>
      </w:r>
      <w:r w:rsidRPr="00947B4D">
        <w:t xml:space="preserve">ATTN: </w:t>
      </w:r>
      <w:r>
        <w:t>Shaun Maher, Attorney</w:t>
      </w:r>
      <w:r w:rsidRPr="00947B4D">
        <w:t xml:space="preserve">, </w:t>
      </w:r>
      <w:r>
        <w:t>Video</w:t>
      </w:r>
      <w:r w:rsidRPr="00947B4D">
        <w:t xml:space="preserve"> Division, Media Bureau, and </w:t>
      </w:r>
      <w:r w:rsidRPr="00EF5DBB">
        <w:rPr>
          <w:b/>
        </w:rPr>
        <w:t>MUST INCLUDE</w:t>
      </w:r>
      <w:r w:rsidRPr="00947B4D">
        <w:t xml:space="preserve"> the NAL/Acct. No. referenced above.</w:t>
      </w:r>
      <w:r>
        <w:t xml:space="preserve">  </w:t>
      </w:r>
      <w:r w:rsidRPr="00EF5DBB">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7"/>
      </w:r>
      <w:r>
        <w:t xml:space="preserve"> </w:t>
      </w:r>
      <w:r w:rsidRPr="00514C8E">
        <w:rPr>
          <w:szCs w:val="22"/>
        </w:rPr>
        <w:t xml:space="preserve">A courtesy copy </w:t>
      </w:r>
      <w:r>
        <w:rPr>
          <w:szCs w:val="22"/>
        </w:rPr>
        <w:t xml:space="preserve">should also be </w:t>
      </w:r>
      <w:r w:rsidRPr="00514C8E">
        <w:rPr>
          <w:szCs w:val="22"/>
        </w:rPr>
        <w:t xml:space="preserve">emailed to </w:t>
      </w:r>
      <w:hyperlink r:id="rId9" w:history="1">
        <w:r w:rsidRPr="007E5877">
          <w:rPr>
            <w:rStyle w:val="Hyperlink"/>
            <w:szCs w:val="22"/>
          </w:rPr>
          <w:t>Shaun.Maher@fcc.gov</w:t>
        </w:r>
      </w:hyperlink>
      <w:r w:rsidRPr="00514C8E">
        <w:rPr>
          <w:szCs w:val="22"/>
        </w:rPr>
        <w:t xml:space="preserve"> </w:t>
      </w:r>
      <w:r>
        <w:rPr>
          <w:szCs w:val="22"/>
        </w:rPr>
        <w:t>to</w:t>
      </w:r>
      <w:r w:rsidRPr="00514C8E">
        <w:rPr>
          <w:szCs w:val="22"/>
        </w:rPr>
        <w:t xml:space="preserve"> assist in processing the response.</w:t>
      </w:r>
    </w:p>
    <w:p w:rsidR="00C6145C" w:rsidRPr="00C6145C" w:rsidP="00C6145C" w14:paraId="68143363" w14:textId="77777777">
      <w:pPr>
        <w:pStyle w:val="ParaNum"/>
        <w:numPr>
          <w:ilvl w:val="0"/>
          <w:numId w:val="10"/>
        </w:numPr>
        <w:tabs>
          <w:tab w:val="num" w:pos="1440"/>
        </w:tabs>
      </w:pPr>
      <w:r w:rsidRPr="00C6145C">
        <w:t xml:space="preserve">Commercial overnight mail (other than U.S. Postal Service Express Mail and Priority Mail) must be sent to 9050 Junction Drive, Annapolis Junction, MD 20701. </w:t>
      </w:r>
    </w:p>
    <w:p w:rsidR="00140750" w:rsidP="00C6145C" w14:paraId="70F00440" w14:textId="116B0FAD">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8"/>
      </w:r>
      <w:r w:rsidRPr="005F7F74" w:rsidR="005F7F74">
        <w:t xml:space="preserve">  </w:t>
      </w:r>
    </w:p>
    <w:p w:rsidR="004E079F" w:rsidRPr="008D4F70" w:rsidP="004E079F" w14:paraId="108E6BD5" w14:textId="12DB5E7A">
      <w:pPr>
        <w:pStyle w:val="ParaNum"/>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w:t>
      </w:r>
      <w:r w:rsidR="00C30C7E">
        <w:t>KAZT, LLC, Attn: Ken Brown, 4343 E. Camelback Road, Suite 400, Phoenix, AZ 85018</w:t>
      </w:r>
      <w:r w:rsidR="00F11399">
        <w:t xml:space="preserve">, and to its </w:t>
      </w:r>
      <w:r w:rsidR="001C5F2F">
        <w:t xml:space="preserve">counsel, </w:t>
      </w:r>
      <w:r>
        <w:t>Paul A. Cicelski, Esq., Lerman Senter PLLC, 2001 L Street, NW, Suite 400, Washington , DC 20036</w:t>
      </w:r>
      <w:r w:rsidR="00F11399">
        <w:t>.</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3AA9803">
      <w:r>
        <w:tab/>
      </w:r>
      <w:r>
        <w:tab/>
      </w:r>
      <w:r>
        <w:tab/>
      </w:r>
      <w:r>
        <w:tab/>
      </w:r>
      <w:r>
        <w:tab/>
      </w:r>
      <w:r>
        <w:tab/>
      </w:r>
      <w:r w:rsidR="004E079F">
        <w:t>Barbara A. Kreisman</w:t>
      </w:r>
    </w:p>
    <w:p w:rsidR="00140750" w:rsidP="00140750" w14:paraId="4ED0A5C6" w14:textId="05935D0D">
      <w:r>
        <w:tab/>
      </w:r>
      <w:r>
        <w:tab/>
      </w:r>
      <w:r>
        <w:tab/>
      </w:r>
      <w:r>
        <w:tab/>
      </w:r>
      <w:r>
        <w:tab/>
      </w:r>
      <w:r>
        <w:tab/>
        <w:t xml:space="preserve">Chief, </w:t>
      </w:r>
      <w:r w:rsidR="00032C6A">
        <w:t>Video</w:t>
      </w:r>
      <w:r>
        <w:t xml:space="preserve"> Division</w:t>
      </w:r>
    </w:p>
    <w:p w:rsidR="00412FC5" w:rsidP="00140750" w14:paraId="5A1D65FF" w14:textId="4414A7C5">
      <w:r>
        <w:tab/>
      </w:r>
      <w:r>
        <w:tab/>
      </w:r>
      <w:r>
        <w:tab/>
      </w:r>
      <w:r>
        <w:tab/>
      </w:r>
      <w:r>
        <w:tab/>
      </w:r>
      <w:r>
        <w:tab/>
        <w:t>Media Bureau</w:t>
      </w:r>
    </w:p>
    <w:sectPr w:rsidSect="00DC5A5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4F5657" w:rsidP="003F17E2" w14:paraId="512D603B" w14:textId="75DC9899">
      <w:pPr>
        <w:pStyle w:val="FootnoteText"/>
        <w:widowControl w:val="0"/>
      </w:pPr>
      <w:r w:rsidRPr="004F5657">
        <w:rPr>
          <w:rStyle w:val="FootnoteReference"/>
        </w:rPr>
        <w:footnoteRef/>
      </w:r>
      <w:r w:rsidRPr="004F5657">
        <w:t xml:space="preserve"> This </w:t>
      </w:r>
      <w:r w:rsidRPr="004F5657">
        <w:rPr>
          <w:i/>
        </w:rPr>
        <w:t xml:space="preserve">NAL </w:t>
      </w:r>
      <w:r w:rsidRPr="004F5657">
        <w:t xml:space="preserve">is issued pursuant to sections 309(k) and 503(b) of the Communications Act of 1934, as amended (Act), and section 1.80 of the Commission’s rules (Rules).  </w:t>
      </w:r>
      <w:r w:rsidRPr="004F5657">
        <w:rPr>
          <w:i/>
        </w:rPr>
        <w:t>See</w:t>
      </w:r>
      <w:r w:rsidRPr="004F5657">
        <w:t xml:space="preserve"> 47 U.S.C. §§ 309(k), 503(b); 47 CFR § 1.80.  The Bureau has delegated authority to issue the NAL under section 0.283 of the </w:t>
      </w:r>
      <w:r w:rsidRPr="004F5657" w:rsidR="00C6145C">
        <w:t>Rules</w:t>
      </w:r>
      <w:r w:rsidRPr="004F5657">
        <w:t xml:space="preserve">.  </w:t>
      </w:r>
      <w:r w:rsidRPr="004F5657">
        <w:rPr>
          <w:i/>
        </w:rPr>
        <w:t>See</w:t>
      </w:r>
      <w:r w:rsidRPr="004F5657">
        <w:t xml:space="preserve"> 47 CFR § 0.283.</w:t>
      </w:r>
    </w:p>
  </w:footnote>
  <w:footnote w:id="4">
    <w:p w:rsidR="00596F9E" w:rsidRPr="004F5657" w:rsidP="00596F9E" w14:paraId="60B36F5A" w14:textId="5B82B098">
      <w:pPr>
        <w:shd w:val="clear" w:color="auto" w:fill="FFFFFF"/>
        <w:tabs>
          <w:tab w:val="left" w:pos="125"/>
        </w:tabs>
        <w:spacing w:after="120"/>
        <w:ind w:left="14"/>
        <w:rPr>
          <w:sz w:val="20"/>
        </w:rPr>
      </w:pPr>
      <w:r w:rsidRPr="004F5657">
        <w:rPr>
          <w:rStyle w:val="FootnoteReference"/>
        </w:rPr>
        <w:footnoteRef/>
      </w:r>
      <w:r w:rsidRPr="004F5657">
        <w:rPr>
          <w:sz w:val="20"/>
        </w:rPr>
        <w:t xml:space="preserve"> </w:t>
      </w:r>
      <w:r w:rsidRPr="004F5657">
        <w:rPr>
          <w:i/>
          <w:iCs/>
          <w:sz w:val="20"/>
        </w:rPr>
        <w:t xml:space="preserve">See </w:t>
      </w:r>
      <w:r w:rsidRPr="004F5657">
        <w:rPr>
          <w:sz w:val="20"/>
        </w:rPr>
        <w:t>47 C</w:t>
      </w:r>
      <w:r w:rsidRPr="004F5657" w:rsidR="00F27BC4">
        <w:rPr>
          <w:sz w:val="20"/>
        </w:rPr>
        <w:t>FR</w:t>
      </w:r>
      <w:r w:rsidRPr="004F5657">
        <w:rPr>
          <w:sz w:val="20"/>
        </w:rPr>
        <w:t xml:space="preserve"> § 7</w:t>
      </w:r>
      <w:r w:rsidRPr="004F5657" w:rsidR="00F27BC4">
        <w:rPr>
          <w:sz w:val="20"/>
        </w:rPr>
        <w:t>4.788(</w:t>
      </w:r>
      <w:r w:rsidRPr="004F5657" w:rsidR="00B50636">
        <w:rPr>
          <w:sz w:val="20"/>
        </w:rPr>
        <w:t>b</w:t>
      </w:r>
      <w:r w:rsidRPr="004F5657" w:rsidR="00F27BC4">
        <w:rPr>
          <w:sz w:val="20"/>
        </w:rPr>
        <w:t>)</w:t>
      </w:r>
      <w:r w:rsidRPr="004F5657">
        <w:rPr>
          <w:sz w:val="20"/>
        </w:rPr>
        <w:t>.</w:t>
      </w:r>
    </w:p>
  </w:footnote>
  <w:footnote w:id="5">
    <w:p w:rsidR="00596F9E" w:rsidRPr="004F5657" w:rsidP="00596F9E" w14:paraId="180E879C" w14:textId="28E6B4E0">
      <w:pPr>
        <w:shd w:val="clear" w:color="auto" w:fill="FFFFFF"/>
        <w:tabs>
          <w:tab w:val="left" w:pos="125"/>
        </w:tabs>
        <w:spacing w:after="120"/>
        <w:ind w:left="14"/>
        <w:rPr>
          <w:sz w:val="20"/>
        </w:rPr>
      </w:pPr>
      <w:r w:rsidRPr="004F5657">
        <w:rPr>
          <w:rStyle w:val="FootnoteReference"/>
        </w:rPr>
        <w:footnoteRef/>
      </w:r>
      <w:r w:rsidRPr="004F5657">
        <w:rPr>
          <w:sz w:val="20"/>
        </w:rPr>
        <w:t xml:space="preserve"> </w:t>
      </w:r>
      <w:r w:rsidRPr="004F5657">
        <w:rPr>
          <w:i/>
          <w:sz w:val="20"/>
        </w:rPr>
        <w:t>See</w:t>
      </w:r>
      <w:r w:rsidRPr="004F5657">
        <w:rPr>
          <w:sz w:val="20"/>
        </w:rPr>
        <w:t xml:space="preserve"> 47 U.S.C. § 301.</w:t>
      </w:r>
    </w:p>
  </w:footnote>
  <w:footnote w:id="6">
    <w:p w:rsidR="00276FFA" w:rsidRPr="004F5657" w:rsidP="00276FFA" w14:paraId="47BAAC2C" w14:textId="77777777">
      <w:pPr>
        <w:pStyle w:val="FootnoteText"/>
      </w:pPr>
      <w:r w:rsidRPr="004F5657">
        <w:rPr>
          <w:rStyle w:val="FootnoteReference"/>
        </w:rPr>
        <w:footnoteRef/>
      </w:r>
      <w:r w:rsidRPr="004F5657">
        <w:t xml:space="preserve"> 47 CFR § 7</w:t>
      </w:r>
      <w:r w:rsidRPr="004F5657" w:rsidR="00C30C7E">
        <w:t>4.788(</w:t>
      </w:r>
      <w:r w:rsidRPr="004F5657" w:rsidR="00B50636">
        <w:t>b</w:t>
      </w:r>
      <w:r w:rsidRPr="004F5657" w:rsidR="00C30C7E">
        <w:t>)</w:t>
      </w:r>
      <w:r w:rsidRPr="004F5657">
        <w:t>.</w:t>
      </w:r>
      <w:r>
        <w:t xml:space="preserve">  </w:t>
      </w:r>
      <w:r w:rsidRPr="004F5657">
        <w:t xml:space="preserve">We note that because the construction permit had not yet been canceled in LMS the Station was able to file a license to cover application against its expired permit.  Cancellation of a station’s construction permit and deletion of its call sign by Media Bureau (Bureau) staff in the Licensing and Management System (LMS) is an administerial function and does not constitute an official Commission action nor require any affirmative cancellation by the Commission.  </w:t>
      </w:r>
      <w:r w:rsidRPr="004F5657">
        <w:rPr>
          <w:i/>
          <w:iCs/>
        </w:rPr>
        <w:t>See</w:t>
      </w:r>
      <w:r w:rsidRPr="004F5657">
        <w:t xml:space="preserve"> </w:t>
      </w:r>
      <w:r w:rsidRPr="00CF6A0E">
        <w:rPr>
          <w:i/>
          <w:iCs/>
        </w:rPr>
        <w:t>Media Bureau Reminds Remaining Low Power Television and Television Translator Stations that the July 13, 2021 Digital Transition Date and Oher Important Deadlines are One Week Away</w:t>
      </w:r>
      <w:r w:rsidRPr="004F5657">
        <w:t>, Public Notice, DA 21-786 (rel. July 6, 2021); 47 CFR §74.788(b).  As a result, failure by Bureau staff to cancel a construction permit in LMS does not result in an expired construction permit remaining valid.</w:t>
      </w:r>
    </w:p>
    <w:p w:rsidR="00A41060" w:rsidRPr="004F5657" w:rsidP="00A41060" w14:paraId="4353A7E7" w14:textId="5F6BF850">
      <w:pPr>
        <w:pStyle w:val="FootnoteText"/>
      </w:pPr>
    </w:p>
  </w:footnote>
  <w:footnote w:id="7">
    <w:p w:rsidR="00276FFA" w:rsidRPr="004F5657" w:rsidP="00276FFA" w14:paraId="0CAC5F9F" w14:textId="77777777">
      <w:pPr>
        <w:pStyle w:val="FootnoteText"/>
      </w:pPr>
      <w:r w:rsidRPr="004F5657">
        <w:rPr>
          <w:rStyle w:val="FootnoteReference"/>
        </w:rPr>
        <w:footnoteRef/>
      </w:r>
      <w:r w:rsidRPr="004F5657">
        <w:t xml:space="preserve"> </w:t>
      </w:r>
      <w:r w:rsidRPr="004F5657">
        <w:rPr>
          <w:i/>
          <w:iCs/>
        </w:rPr>
        <w:t>See, e.g., Roy E. Henderson</w:t>
      </w:r>
      <w:r w:rsidRPr="004F5657">
        <w:t>, Memorandum Opinion and Order, 33 FCC Rcd 3385, 3387-88, para. 6 (2018) (rejecting argument that licensee's engineer was to blame for station's unauthorized operations).</w:t>
      </w:r>
    </w:p>
  </w:footnote>
  <w:footnote w:id="8">
    <w:p w:rsidR="00140750" w:rsidRPr="004F5657" w:rsidP="003F17E2" w14:paraId="3B0A197D" w14:textId="77777777">
      <w:pPr>
        <w:pStyle w:val="FootnoteText"/>
        <w:widowControl w:val="0"/>
      </w:pPr>
      <w:r w:rsidRPr="004F5657">
        <w:rPr>
          <w:rStyle w:val="FootnoteReference"/>
        </w:rPr>
        <w:footnoteRef/>
      </w:r>
      <w:r w:rsidRPr="004F5657">
        <w:t xml:space="preserve"> 47 U.S.C. § 503(b)(1)(B).  </w:t>
      </w:r>
      <w:r w:rsidRPr="004F5657">
        <w:rPr>
          <w:i/>
        </w:rPr>
        <w:t>S</w:t>
      </w:r>
      <w:r w:rsidRPr="004F5657">
        <w:rPr>
          <w:i/>
          <w:iCs/>
        </w:rPr>
        <w:t>ee also</w:t>
      </w:r>
      <w:r w:rsidRPr="004F5657">
        <w:t xml:space="preserve"> 47 CFR § 1.80(a)(1).</w:t>
      </w:r>
    </w:p>
  </w:footnote>
  <w:footnote w:id="9">
    <w:p w:rsidR="00140750" w:rsidRPr="004F5657" w:rsidP="003F17E2" w14:paraId="0D80A9A7" w14:textId="77777777">
      <w:pPr>
        <w:pStyle w:val="FootnoteText"/>
        <w:widowControl w:val="0"/>
      </w:pPr>
      <w:r w:rsidRPr="004F5657">
        <w:rPr>
          <w:rStyle w:val="FootnoteReference"/>
        </w:rPr>
        <w:footnoteRef/>
      </w:r>
      <w:r w:rsidRPr="004F5657">
        <w:t xml:space="preserve"> 47 U.S.C. § 312(f)(1).</w:t>
      </w:r>
    </w:p>
  </w:footnote>
  <w:footnote w:id="10">
    <w:p w:rsidR="00140750" w:rsidRPr="004F5657" w:rsidP="003F17E2" w14:paraId="1BF92BF5" w14:textId="77777777">
      <w:pPr>
        <w:pStyle w:val="FootnoteText"/>
        <w:widowControl w:val="0"/>
      </w:pPr>
      <w:r w:rsidRPr="004F5657">
        <w:rPr>
          <w:rStyle w:val="FootnoteReference"/>
        </w:rPr>
        <w:footnoteRef/>
      </w:r>
      <w:r w:rsidRPr="004F5657">
        <w:rPr>
          <w:i/>
        </w:rPr>
        <w:t xml:space="preserve"> See</w:t>
      </w:r>
      <w:r w:rsidRPr="004F5657">
        <w:t xml:space="preserve"> H.R. Rep. No. 97-765, 97</w:t>
      </w:r>
      <w:r w:rsidRPr="004F5657">
        <w:rPr>
          <w:vertAlign w:val="superscript"/>
        </w:rPr>
        <w:t>th</w:t>
      </w:r>
      <w:r w:rsidRPr="004F5657">
        <w:t xml:space="preserve"> Cong. 2d Sess. 51 (1982).</w:t>
      </w:r>
    </w:p>
  </w:footnote>
  <w:footnote w:id="11">
    <w:p w:rsidR="00140750" w:rsidRPr="004F5657" w:rsidP="003F17E2" w14:paraId="41182A00" w14:textId="27375176">
      <w:pPr>
        <w:pStyle w:val="FootnoteText"/>
        <w:widowControl w:val="0"/>
      </w:pPr>
      <w:r w:rsidRPr="004F5657">
        <w:rPr>
          <w:rStyle w:val="FootnoteReference"/>
        </w:rPr>
        <w:footnoteRef/>
      </w:r>
      <w:r w:rsidRPr="004F5657">
        <w:rPr>
          <w:i/>
          <w:iCs/>
        </w:rPr>
        <w:t xml:space="preserve"> See Southern California Broad. Co.</w:t>
      </w:r>
      <w:r w:rsidRPr="004F5657">
        <w:t xml:space="preserve">, Memorandum Opinion and Order, 6 FCC Rcd 4387, 4388, para. 5 (1991), </w:t>
      </w:r>
      <w:r w:rsidRPr="004F5657">
        <w:rPr>
          <w:i/>
        </w:rPr>
        <w:t>recon. denied</w:t>
      </w:r>
      <w:r w:rsidRPr="004F5657">
        <w:t xml:space="preserve">, </w:t>
      </w:r>
      <w:r w:rsidRPr="004F5657" w:rsidR="002172BD">
        <w:t xml:space="preserve">Memorandum Opinion and Order, </w:t>
      </w:r>
      <w:r w:rsidRPr="004F5657">
        <w:t>7 FCC Rcd 3454 (1992).</w:t>
      </w:r>
    </w:p>
  </w:footnote>
  <w:footnote w:id="12">
    <w:p w:rsidR="00BF575C" w:rsidRPr="004F5657" w:rsidP="00BF575C" w14:paraId="331B20AE" w14:textId="77777777">
      <w:pPr>
        <w:pStyle w:val="Footer"/>
        <w:spacing w:after="120"/>
        <w:rPr>
          <w:sz w:val="20"/>
        </w:rPr>
      </w:pPr>
      <w:r w:rsidRPr="004F5657">
        <w:rPr>
          <w:rStyle w:val="FootnoteReference"/>
        </w:rPr>
        <w:footnoteRef/>
      </w:r>
      <w:r w:rsidRPr="004F5657">
        <w:rPr>
          <w:sz w:val="20"/>
        </w:rPr>
        <w:t xml:space="preserve"> 47 U.S.C. § 312(f)(2). </w:t>
      </w:r>
    </w:p>
  </w:footnote>
  <w:footnote w:id="13">
    <w:p w:rsidR="00140750" w:rsidRPr="004F5657" w:rsidP="00140750" w14:paraId="57100D3A" w14:textId="4D7364C1">
      <w:pPr>
        <w:pStyle w:val="Footer"/>
        <w:spacing w:after="120"/>
        <w:rPr>
          <w:sz w:val="20"/>
        </w:rPr>
      </w:pPr>
      <w:r w:rsidRPr="004F5657">
        <w:rPr>
          <w:rStyle w:val="FootnoteReference"/>
        </w:rPr>
        <w:footnoteRef/>
      </w:r>
      <w:r w:rsidRPr="004F5657">
        <w:rPr>
          <w:sz w:val="20"/>
        </w:rPr>
        <w:t xml:space="preserve"> </w:t>
      </w:r>
      <w:r w:rsidRPr="004F5657">
        <w:rPr>
          <w:i/>
          <w:sz w:val="20"/>
        </w:rPr>
        <w:t>See Forfeiture Policy Statement and Amendment of Section 1.80(b) of the Rules to Incorporate the Forfeiture Guidelines</w:t>
      </w:r>
      <w:r w:rsidRPr="004F5657">
        <w:rPr>
          <w:sz w:val="20"/>
        </w:rPr>
        <w:t>,</w:t>
      </w:r>
      <w:r w:rsidRPr="004F5657">
        <w:rPr>
          <w:i/>
          <w:sz w:val="20"/>
        </w:rPr>
        <w:t xml:space="preserve"> </w:t>
      </w:r>
      <w:r w:rsidRPr="004F5657">
        <w:rPr>
          <w:sz w:val="20"/>
        </w:rPr>
        <w:t>Report and Order, 12 FCC Rcd 17087, 17113-15 (1997) (</w:t>
      </w:r>
      <w:r w:rsidRPr="004F5657">
        <w:rPr>
          <w:i/>
          <w:sz w:val="20"/>
        </w:rPr>
        <w:t>Forfeiture Policy Statement</w:t>
      </w:r>
      <w:r w:rsidRPr="004F5657">
        <w:rPr>
          <w:sz w:val="20"/>
        </w:rPr>
        <w:t xml:space="preserve">), </w:t>
      </w:r>
      <w:r w:rsidRPr="004F5657">
        <w:rPr>
          <w:i/>
          <w:sz w:val="20"/>
        </w:rPr>
        <w:t>recon. denied</w:t>
      </w:r>
      <w:r w:rsidRPr="004F5657">
        <w:rPr>
          <w:sz w:val="20"/>
        </w:rPr>
        <w:t xml:space="preserve">, </w:t>
      </w:r>
      <w:r w:rsidRPr="004F5657" w:rsidR="007B357C">
        <w:rPr>
          <w:sz w:val="20"/>
        </w:rPr>
        <w:t xml:space="preserve">Memorandum Opinion and Order, </w:t>
      </w:r>
      <w:r w:rsidRPr="004F5657">
        <w:rPr>
          <w:sz w:val="20"/>
        </w:rPr>
        <w:t>15 FCC Rcd 303 (1999); 47 CFR § 1.80(b)(</w:t>
      </w:r>
      <w:r w:rsidRPr="004F5657" w:rsidR="000B44EA">
        <w:rPr>
          <w:sz w:val="20"/>
        </w:rPr>
        <w:t>10</w:t>
      </w:r>
      <w:r w:rsidRPr="004F5657">
        <w:rPr>
          <w:sz w:val="20"/>
        </w:rPr>
        <w:t>), note to paragraph (b)(</w:t>
      </w:r>
      <w:r w:rsidRPr="004F5657" w:rsidR="000B44EA">
        <w:rPr>
          <w:sz w:val="20"/>
        </w:rPr>
        <w:t>10</w:t>
      </w:r>
      <w:r w:rsidRPr="004F5657">
        <w:rPr>
          <w:sz w:val="20"/>
        </w:rPr>
        <w:t>), Section I.</w:t>
      </w:r>
    </w:p>
  </w:footnote>
  <w:footnote w:id="14">
    <w:p w:rsidR="00BF575C" w:rsidRPr="004F5657" w:rsidP="00BF575C" w14:paraId="55F9CE8D" w14:textId="77777777">
      <w:pPr>
        <w:shd w:val="clear" w:color="auto" w:fill="FFFFFF"/>
        <w:spacing w:after="120"/>
        <w:rPr>
          <w:color w:val="000000"/>
          <w:sz w:val="20"/>
        </w:rPr>
      </w:pPr>
      <w:r w:rsidRPr="004F5657">
        <w:rPr>
          <w:rStyle w:val="FootnoteReference"/>
        </w:rPr>
        <w:footnoteRef/>
      </w:r>
      <w:r w:rsidRPr="00276FFA">
        <w:rPr>
          <w:sz w:val="20"/>
        </w:rPr>
        <w:t xml:space="preserve"> </w:t>
      </w:r>
      <w:r w:rsidRPr="004F5657">
        <w:rPr>
          <w:color w:val="000000"/>
          <w:sz w:val="20"/>
        </w:rPr>
        <w:t xml:space="preserve">A broadcast station requires an authorization from the Commission to operate.  </w:t>
      </w:r>
      <w:r w:rsidRPr="004F5657">
        <w:rPr>
          <w:i/>
          <w:iCs/>
          <w:color w:val="000000"/>
          <w:sz w:val="20"/>
        </w:rPr>
        <w:t>See</w:t>
      </w:r>
      <w:r w:rsidRPr="004F5657">
        <w:rPr>
          <w:color w:val="000000"/>
          <w:sz w:val="20"/>
        </w:rPr>
        <w:t xml:space="preserve"> 47 U.S.C. § 301.</w:t>
      </w:r>
    </w:p>
  </w:footnote>
  <w:footnote w:id="15">
    <w:p w:rsidR="00140750" w:rsidRPr="004F5657" w:rsidP="003F17E2" w14:paraId="1DD85200" w14:textId="77777777">
      <w:pPr>
        <w:pStyle w:val="FootnoteText"/>
        <w:widowControl w:val="0"/>
      </w:pPr>
      <w:r w:rsidRPr="004F5657">
        <w:rPr>
          <w:rStyle w:val="FootnoteReference"/>
        </w:rPr>
        <w:footnoteRef/>
      </w:r>
      <w:r w:rsidRPr="004F5657">
        <w:t xml:space="preserve"> 47 U.S.C. § 503(b)(2)(E); </w:t>
      </w:r>
      <w:r w:rsidRPr="004F5657">
        <w:rPr>
          <w:i/>
        </w:rPr>
        <w:t>see also Forfeiture Policy Statement</w:t>
      </w:r>
      <w:r w:rsidRPr="004F5657">
        <w:t>,</w:t>
      </w:r>
      <w:r w:rsidRPr="004F5657">
        <w:rPr>
          <w:i/>
        </w:rPr>
        <w:t xml:space="preserve"> </w:t>
      </w:r>
      <w:r w:rsidRPr="004F5657">
        <w:t xml:space="preserve">12 FCC Rcd at 17100; 47 CFR § 1.80(b)(4). </w:t>
      </w:r>
    </w:p>
  </w:footnote>
  <w:footnote w:id="16">
    <w:p w:rsidR="00D6392C" w:rsidRPr="004F5657" w14:paraId="7726822B" w14:textId="249D7F84">
      <w:pPr>
        <w:pStyle w:val="FootnoteText"/>
      </w:pPr>
      <w:r w:rsidRPr="004F5657">
        <w:rPr>
          <w:rStyle w:val="FootnoteReference"/>
        </w:rPr>
        <w:footnoteRef/>
      </w:r>
      <w:r w:rsidRPr="004F5657">
        <w:t xml:space="preserve"> </w:t>
      </w:r>
      <w:r w:rsidRPr="004F5657">
        <w:rPr>
          <w:i/>
          <w:iCs/>
        </w:rPr>
        <w:t>See, e.g.,</w:t>
      </w:r>
      <w:r w:rsidRPr="004F5657">
        <w:t xml:space="preserve"> </w:t>
      </w:r>
      <w:r w:rsidRPr="004F5657">
        <w:rPr>
          <w:i/>
          <w:iCs/>
        </w:rPr>
        <w:t>WKLC, Inc.</w:t>
      </w:r>
      <w:r w:rsidRPr="004F5657">
        <w:t>, Memorandum Opinion and Order and Notice of Apparent Liability</w:t>
      </w:r>
      <w:r w:rsidRPr="004F5657" w:rsidR="00FC0CFA">
        <w:t xml:space="preserve">, 26 FCC Rcd 11001 (MB 2011) (proposing $7,000 </w:t>
      </w:r>
      <w:r w:rsidRPr="004F5657" w:rsidR="004B5D3F">
        <w:t>forfeiture</w:t>
      </w:r>
      <w:r w:rsidRPr="004F5657" w:rsidR="00FC0CFA">
        <w:t xml:space="preserve"> for violation of section 73.3598 of the Rules and section 301 of the Act)</w:t>
      </w:r>
      <w:r w:rsidRPr="004F5657" w:rsidR="001C5F2F">
        <w:t xml:space="preserve">.  </w:t>
      </w:r>
      <w:r w:rsidRPr="004F5657" w:rsidR="001C5F2F">
        <w:rPr>
          <w:i/>
          <w:iCs/>
        </w:rPr>
        <w:t>See also Clear Channel</w:t>
      </w:r>
      <w:r w:rsidRPr="004F5657" w:rsidR="001C5F2F">
        <w:t xml:space="preserve">, 26 FCC Rcd at 7157 </w:t>
      </w:r>
      <w:r w:rsidRPr="004F5657" w:rsidR="001C5F2F">
        <w:rPr>
          <w:color w:val="000000" w:themeColor="text1"/>
        </w:rPr>
        <w:t>(“</w:t>
      </w:r>
      <w:r w:rsidRPr="004F5657" w:rsidR="001C5F2F">
        <w:rPr>
          <w:color w:val="000000" w:themeColor="text1"/>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17">
    <w:p w:rsidR="00140750" w:rsidRPr="004F5657" w:rsidP="003F17E2" w14:paraId="0ECE7B02" w14:textId="1EC0526F">
      <w:pPr>
        <w:pStyle w:val="FootnoteText"/>
        <w:widowControl w:val="0"/>
      </w:pPr>
      <w:r w:rsidRPr="004F5657">
        <w:rPr>
          <w:rStyle w:val="FootnoteReference"/>
        </w:rPr>
        <w:footnoteRef/>
      </w:r>
      <w:r w:rsidRPr="004F5657">
        <w:t xml:space="preserve"> </w:t>
      </w:r>
      <w:r w:rsidRPr="004F5657">
        <w:rPr>
          <w:i/>
          <w:iCs/>
        </w:rPr>
        <w:t>See, e.g.</w:t>
      </w:r>
      <w:r w:rsidRPr="004F5657">
        <w:t xml:space="preserve">, </w:t>
      </w:r>
      <w:r w:rsidRPr="004F5657">
        <w:rPr>
          <w:i/>
          <w:iCs/>
        </w:rPr>
        <w:t>Pirate Media Group, LLC</w:t>
      </w:r>
      <w:r w:rsidRPr="004F5657">
        <w:t>,</w:t>
      </w:r>
      <w:r w:rsidRPr="004F5657">
        <w:rPr>
          <w:i/>
          <w:iCs/>
        </w:rPr>
        <w:t xml:space="preserve"> </w:t>
      </w:r>
      <w:r w:rsidRPr="004F5657">
        <w:t>Memorandum Opinion and Order and Notice of Apparent Liability, 34 FCC Rcd 12280 (MB 2019) (</w:t>
      </w:r>
      <w:r w:rsidRPr="004F5657" w:rsidR="006255CA">
        <w:t>reducing $3,000 base forfeiture to</w:t>
      </w:r>
      <w:r w:rsidRPr="004F5657">
        <w:t xml:space="preserve"> $1,500 for untimely filed renewal application </w:t>
      </w:r>
      <w:r w:rsidRPr="004F5657" w:rsidR="006255CA">
        <w:t>filed by</w:t>
      </w:r>
      <w:r w:rsidRPr="004F5657">
        <w:t xml:space="preserve"> FM translator station).</w:t>
      </w:r>
    </w:p>
  </w:footnote>
  <w:footnote w:id="18">
    <w:p w:rsidR="007E5877" w:rsidRPr="004F5657" w:rsidP="007E5877" w14:paraId="46E5FBEC" w14:textId="0E06BDF7">
      <w:pPr>
        <w:pStyle w:val="FootnoteText"/>
        <w:widowControl w:val="0"/>
      </w:pPr>
      <w:r w:rsidRPr="004F5657">
        <w:rPr>
          <w:rStyle w:val="FootnoteReference"/>
        </w:rPr>
        <w:footnoteRef/>
      </w:r>
      <w:r w:rsidRPr="004F5657">
        <w:t xml:space="preserve"> </w:t>
      </w:r>
      <w:r w:rsidRPr="004F5657">
        <w:rPr>
          <w:iCs/>
        </w:rPr>
        <w:t xml:space="preserve">A waiver is appropriate where the particular facts would make strict compliance inconsistent with the public interest and deviation from the general rule would relieve hardship, promote equity, or produce a more effective implementation of overall policy on an individual basis.  </w:t>
      </w:r>
      <w:r w:rsidRPr="004F5657">
        <w:rPr>
          <w:i/>
        </w:rPr>
        <w:t>Northeast Cellular Telephone Co. v. FCC</w:t>
      </w:r>
      <w:r w:rsidRPr="004F5657">
        <w:t xml:space="preserve">, 897 F.2d 1164, 1166 (D.C. Cir. 1990) and </w:t>
      </w:r>
      <w:r w:rsidRPr="004F5657">
        <w:rPr>
          <w:i/>
        </w:rPr>
        <w:t>WAIT Radio v. FCC</w:t>
      </w:r>
      <w:r w:rsidRPr="004F5657">
        <w:t>, 418 F.2d 1153, 1159 (D.C. Cir. 1969),</w:t>
      </w:r>
      <w:r w:rsidRPr="004F5657">
        <w:rPr>
          <w:i/>
        </w:rPr>
        <w:t xml:space="preserve"> cert. denied</w:t>
      </w:r>
      <w:r w:rsidRPr="004F5657">
        <w:t>, 409 U.S. 1072 (1972); 47 CFR § 1.3 (waiver for good cause shown</w:t>
      </w:r>
      <w:r w:rsidRPr="004F5657" w:rsidR="00387112">
        <w:t xml:space="preserve">).  Providing relief in instances where a licensee has failed to file an application for license to cover, but clearly completed construction prior to its authorized facility prior to the construction expiration date is consistent with Commission precedent.  </w:t>
      </w:r>
      <w:r w:rsidRPr="004F5657" w:rsidR="00387112">
        <w:rPr>
          <w:i/>
          <w:iCs/>
        </w:rPr>
        <w:t>See e.g.,</w:t>
      </w:r>
      <w:r w:rsidRPr="004F5657" w:rsidR="00387112">
        <w:t xml:space="preserve"> </w:t>
      </w:r>
      <w:r w:rsidRPr="004F5657">
        <w:rPr>
          <w:i/>
          <w:iCs/>
        </w:rPr>
        <w:t>Clear Channel Broadcasting Licenses, Inc.</w:t>
      </w:r>
      <w:r w:rsidRPr="004F5657">
        <w:t xml:space="preserve">, Memorandum Opinion and Order, </w:t>
      </w:r>
      <w:bookmarkStart w:id="1" w:name="_Hlk78178508"/>
      <w:r w:rsidRPr="004F5657">
        <w:t>26 FCC Rcd 7153</w:t>
      </w:r>
      <w:bookmarkEnd w:id="1"/>
      <w:r w:rsidRPr="004F5657">
        <w:t xml:space="preserve">, 7157, para 11 (2011) (upholding as proper the Bureau’s practice of processing a late-filed covering license application for facilities fully completed by the construction deadline through the waiver process); </w:t>
      </w:r>
      <w:r w:rsidRPr="004F5657">
        <w:rPr>
          <w:i/>
          <w:iCs/>
        </w:rPr>
        <w:t>Cranesville Block Company, Inc.</w:t>
      </w:r>
      <w:r w:rsidRPr="004F5657">
        <w:t>, Letter Order, 27 FCC Rcd 2018, 2019-20 (MB 2012) (dismissing a petition for reconsideration of an expired construction permit as procedurally improper and treating it instead as a request for waiver).</w:t>
      </w:r>
      <w:r w:rsidRPr="004F5657" w:rsidR="00387112">
        <w:t xml:space="preserve">  We find that based on the specific facts and circumstances presented here waiver is warranted.  Notably, the </w:t>
      </w:r>
      <w:r w:rsidRPr="004F5657" w:rsidR="007F655F">
        <w:t>Translator</w:t>
      </w:r>
      <w:r w:rsidRPr="004F5657" w:rsidR="00387112">
        <w:t xml:space="preserve"> was </w:t>
      </w:r>
      <w:r w:rsidRPr="004F5657" w:rsidR="007F655F">
        <w:t xml:space="preserve">previously a licensed analog facility and </w:t>
      </w:r>
      <w:r w:rsidRPr="004F5657" w:rsidR="00387112">
        <w:t xml:space="preserve">required by Commission rule to convert to digital operations.  </w:t>
      </w:r>
      <w:r w:rsidRPr="004F5657" w:rsidR="007F655F">
        <w:t>Not only did the Translator complete construction prior to its construction deadline, but according to Commission records the</w:t>
      </w:r>
      <w:r w:rsidRPr="004F5657" w:rsidR="00387112">
        <w:t xml:space="preserve"> </w:t>
      </w:r>
      <w:r w:rsidRPr="004F5657" w:rsidR="007F655F">
        <w:t>Translator</w:t>
      </w:r>
      <w:r w:rsidRPr="004F5657" w:rsidR="00387112">
        <w:t xml:space="preserve"> </w:t>
      </w:r>
      <w:r w:rsidRPr="004F5657" w:rsidR="007F655F">
        <w:t xml:space="preserve">has been continuously operational.  Strict </w:t>
      </w:r>
      <w:r w:rsidRPr="004F5657" w:rsidR="00387112">
        <w:t>compliance with the rule would result in a loss of service to the public</w:t>
      </w:r>
      <w:r w:rsidRPr="004F5657" w:rsidR="007F655F">
        <w:t xml:space="preserve"> and be inconsistent with the public interest</w:t>
      </w:r>
      <w:r w:rsidRPr="004F5657" w:rsidR="00387112">
        <w:t>.</w:t>
      </w:r>
      <w:r w:rsidRPr="004F5657" w:rsidR="007F655F">
        <w:t xml:space="preserve">  </w:t>
      </w:r>
      <w:r w:rsidR="008F4EFF">
        <w:t>We note that d</w:t>
      </w:r>
      <w:r w:rsidRPr="004F5657" w:rsidR="007F655F">
        <w:t>ifferent facts</w:t>
      </w:r>
      <w:r w:rsidR="00F5268E">
        <w:t xml:space="preserve"> </w:t>
      </w:r>
      <w:r w:rsidRPr="004F5657" w:rsidR="007F655F">
        <w:t xml:space="preserve">could result in a different finding. </w:t>
      </w:r>
    </w:p>
  </w:footnote>
  <w:footnote w:id="19">
    <w:p w:rsidR="005F7F74" w:rsidRPr="004F5657" w14:paraId="6DDA34AA" w14:textId="3F385F2D">
      <w:pPr>
        <w:pStyle w:val="FootnoteText"/>
      </w:pPr>
      <w:r w:rsidRPr="004F5657">
        <w:rPr>
          <w:rStyle w:val="FootnoteReference"/>
        </w:rPr>
        <w:footnoteRef/>
      </w:r>
      <w:r w:rsidRPr="004F5657">
        <w:t xml:space="preserve"> </w:t>
      </w:r>
      <w:bookmarkStart w:id="2" w:name="_Hlk63415835"/>
      <w:r w:rsidRPr="004F5657">
        <w:t>47 U.S.C. § 503(b); 47 CFR § 1.80.</w:t>
      </w:r>
      <w:bookmarkEnd w:id="2"/>
    </w:p>
  </w:footnote>
  <w:footnote w:id="20">
    <w:p w:rsidR="00EF5DBB" w:rsidRPr="004F5657" w14:paraId="5DE2BE59" w14:textId="6F5937AF">
      <w:pPr>
        <w:pStyle w:val="FootnoteText"/>
      </w:pPr>
      <w:r w:rsidRPr="004F5657">
        <w:rPr>
          <w:rStyle w:val="FootnoteReference"/>
        </w:rPr>
        <w:footnoteRef/>
      </w:r>
      <w:r w:rsidRPr="004F5657">
        <w:t xml:space="preserve"> 47 CFR § 74.788(b); 47 U.S.C. § 301.</w:t>
      </w:r>
    </w:p>
  </w:footnote>
  <w:footnote w:id="21">
    <w:p w:rsidR="00EF5DBB" w:rsidRPr="004F5657" w14:paraId="1AD5D2AA" w14:textId="12FE0B64">
      <w:pPr>
        <w:pStyle w:val="FootnoteText"/>
      </w:pPr>
      <w:r w:rsidRPr="004F5657">
        <w:rPr>
          <w:rStyle w:val="FootnoteReference"/>
        </w:rPr>
        <w:footnoteRef/>
      </w:r>
      <w:r w:rsidRPr="004F5657">
        <w:t xml:space="preserve"> 47 CFR § 1.80.</w:t>
      </w:r>
    </w:p>
  </w:footnote>
  <w:footnote w:id="22">
    <w:p w:rsidR="00140750" w:rsidRPr="004F5657" w:rsidP="003F17E2" w14:paraId="2469170A" w14:textId="77777777">
      <w:pPr>
        <w:pStyle w:val="FootnoteText"/>
        <w:widowControl w:val="0"/>
      </w:pPr>
      <w:r w:rsidRPr="004F5657">
        <w:rPr>
          <w:rStyle w:val="FootnoteReference"/>
        </w:rPr>
        <w:footnoteRef/>
      </w:r>
      <w:r w:rsidRPr="004F5657">
        <w:t xml:space="preserve"> Payments made using the Commission’s Fee Filer system do not require the submission of an FCC Form 159.</w:t>
      </w:r>
    </w:p>
  </w:footnote>
  <w:footnote w:id="23">
    <w:p w:rsidR="00140750" w:rsidRPr="004F5657" w:rsidP="003F17E2" w14:paraId="6EA5A40F" w14:textId="77777777">
      <w:pPr>
        <w:pStyle w:val="FootnoteText"/>
        <w:widowControl w:val="0"/>
      </w:pPr>
      <w:r w:rsidRPr="004F5657">
        <w:rPr>
          <w:rStyle w:val="FootnoteReference"/>
        </w:rPr>
        <w:footnoteRef/>
      </w:r>
      <w:r w:rsidRPr="004F5657">
        <w:t xml:space="preserve"> For questions regarding payment procedures, please contact the Financial Operations Group Help Desk by phone at 1-877-480-3201 (option #6), or by e-mail at </w:t>
      </w:r>
      <w:hyperlink r:id="rId1" w:history="1">
        <w:r w:rsidRPr="004F5657">
          <w:rPr>
            <w:rStyle w:val="Hyperlink"/>
          </w:rPr>
          <w:t>ARINQUIRIES@fcc.gov</w:t>
        </w:r>
      </w:hyperlink>
      <w:r w:rsidRPr="004F5657">
        <w:t xml:space="preserve">.  </w:t>
      </w:r>
    </w:p>
  </w:footnote>
  <w:footnote w:id="24">
    <w:p w:rsidR="00140750" w:rsidRPr="004F5657" w:rsidP="003F17E2" w14:paraId="6393D3F3" w14:textId="77777777">
      <w:pPr>
        <w:pStyle w:val="FootnoteText"/>
        <w:widowControl w:val="0"/>
      </w:pPr>
      <w:r w:rsidRPr="004F5657">
        <w:rPr>
          <w:rStyle w:val="FootnoteReference"/>
        </w:rPr>
        <w:footnoteRef/>
      </w:r>
      <w:r w:rsidRPr="004F5657">
        <w:t xml:space="preserve"> Instructions for completing the form may be obtained at </w:t>
      </w:r>
      <w:hyperlink r:id="rId2" w:history="1">
        <w:r w:rsidRPr="004F5657">
          <w:rPr>
            <w:rStyle w:val="Hyperlink"/>
          </w:rPr>
          <w:t>https://www.fcc.gov/Forms/Form159/159.pdf</w:t>
        </w:r>
      </w:hyperlink>
      <w:r w:rsidRPr="004F5657">
        <w:t xml:space="preserve">. </w:t>
      </w:r>
    </w:p>
  </w:footnote>
  <w:footnote w:id="25">
    <w:p w:rsidR="00140750" w:rsidRPr="004F5657" w:rsidP="003F17E2" w14:paraId="3936FEE6" w14:textId="77777777">
      <w:pPr>
        <w:pStyle w:val="FootnoteText"/>
        <w:widowControl w:val="0"/>
      </w:pPr>
      <w:r w:rsidRPr="004F5657">
        <w:rPr>
          <w:rStyle w:val="FootnoteReference"/>
        </w:rPr>
        <w:footnoteRef/>
      </w:r>
      <w:r w:rsidRPr="004F5657">
        <w:t xml:space="preserve"> </w:t>
      </w:r>
      <w:r w:rsidRPr="004F5657">
        <w:rPr>
          <w:i/>
        </w:rPr>
        <w:t>See</w:t>
      </w:r>
      <w:r w:rsidRPr="004F5657">
        <w:t xml:space="preserve"> 47 CFR § 1.1914.</w:t>
      </w:r>
    </w:p>
  </w:footnote>
  <w:footnote w:id="26">
    <w:p w:rsidR="00C6145C" w:rsidRPr="004F5657" w:rsidP="00C6145C" w14:paraId="21D533EE" w14:textId="1970BB38">
      <w:pPr>
        <w:pStyle w:val="FootnoteText"/>
        <w:widowControl w:val="0"/>
      </w:pPr>
      <w:r w:rsidRPr="004F5657">
        <w:rPr>
          <w:rStyle w:val="FootnoteReference"/>
        </w:rPr>
        <w:footnoteRef/>
      </w:r>
      <w:r w:rsidRPr="004F5657">
        <w:t xml:space="preserve"> 47 CFR §§ 1.16 and 1.80(</w:t>
      </w:r>
      <w:r w:rsidRPr="004F5657" w:rsidR="001C5F2F">
        <w:t>g</w:t>
      </w:r>
      <w:r w:rsidRPr="004F5657">
        <w:t>)(3).</w:t>
      </w:r>
    </w:p>
  </w:footnote>
  <w:footnote w:id="27">
    <w:p w:rsidR="00C6145C" w:rsidRPr="004F5657" w:rsidP="00C6145C" w14:paraId="0B35FA38" w14:textId="77777777">
      <w:pPr>
        <w:pStyle w:val="FootnoteText"/>
        <w:widowControl w:val="0"/>
      </w:pPr>
      <w:r w:rsidRPr="004F5657">
        <w:rPr>
          <w:rStyle w:val="FootnoteReference"/>
        </w:rPr>
        <w:footnoteRef/>
      </w:r>
      <w:r w:rsidRPr="004F5657">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4F5657">
        <w:rPr>
          <w:i/>
          <w:iCs/>
        </w:rPr>
        <w:t>See</w:t>
      </w:r>
      <w:r w:rsidRPr="004F5657">
        <w:t xml:space="preserve"> </w:t>
      </w:r>
      <w:r w:rsidRPr="004F5657">
        <w:rPr>
          <w:i/>
          <w:iCs/>
        </w:rPr>
        <w:t>FCC Announces Closure of FCC Headquarters Open Window and Change in Hand-Delivery Filing</w:t>
      </w:r>
      <w:r w:rsidRPr="004F5657">
        <w:t>, Public Notice, 35 FCC Rcd 2788 (2020).</w:t>
      </w:r>
    </w:p>
  </w:footnote>
  <w:footnote w:id="28">
    <w:p w:rsidR="005F7F74" w:rsidRPr="004F5657" w:rsidP="005F7F74" w14:paraId="42D7EDAE" w14:textId="14C7058F">
      <w:pPr>
        <w:pStyle w:val="FootnoteText"/>
        <w:widowControl w:val="0"/>
      </w:pPr>
      <w:r w:rsidRPr="004F5657">
        <w:rPr>
          <w:rStyle w:val="FootnoteReference"/>
        </w:rPr>
        <w:footnoteRef/>
      </w:r>
      <w:r w:rsidRPr="004F5657">
        <w:t xml:space="preserve"> </w:t>
      </w:r>
      <w:r w:rsidRPr="004F5657">
        <w:rPr>
          <w:i/>
          <w:iCs/>
        </w:rPr>
        <w:t xml:space="preserve">See </w:t>
      </w:r>
      <w:r w:rsidRPr="004F5657">
        <w:t xml:space="preserve">47 U.S.C. 503(b)(2)(E); </w:t>
      </w:r>
      <w:r w:rsidRPr="004F5657">
        <w:rPr>
          <w:i/>
          <w:iCs/>
        </w:rPr>
        <w:t>Adrian Abramovich</w:t>
      </w:r>
      <w:r w:rsidRPr="004F5657">
        <w:t>, Forfeiture Order, 33 FCC Rcd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0DC5" w14:paraId="033814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2ED3BD43">
    <w:pPr>
      <w:pStyle w:val="Header"/>
      <w:rPr>
        <w:b w:val="0"/>
      </w:rPr>
    </w:pPr>
    <w:r>
      <w:tab/>
      <w:t>Federal Communications Commission</w:t>
    </w:r>
    <w:r>
      <w:tab/>
    </w:r>
    <w:r w:rsidR="00140750">
      <w:t>DA 2</w:t>
    </w:r>
    <w:r w:rsidR="00F02727">
      <w:t>1</w:t>
    </w:r>
    <w:r w:rsidR="00140750">
      <w:t>-</w:t>
    </w:r>
    <w:r w:rsidR="006B0DC5">
      <w:t>1386</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6686E9C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6B0DC5">
      <w:rPr>
        <w:spacing w:val="-2"/>
      </w:rPr>
      <w:t>1386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25331"/>
    <w:rsid w:val="00025BF3"/>
    <w:rsid w:val="00032C6A"/>
    <w:rsid w:val="00036039"/>
    <w:rsid w:val="00037F90"/>
    <w:rsid w:val="00044E42"/>
    <w:rsid w:val="000634FA"/>
    <w:rsid w:val="000725CB"/>
    <w:rsid w:val="000875BF"/>
    <w:rsid w:val="00096D8C"/>
    <w:rsid w:val="000A65AC"/>
    <w:rsid w:val="000B44EA"/>
    <w:rsid w:val="000C0B65"/>
    <w:rsid w:val="000C4D69"/>
    <w:rsid w:val="000D2FDB"/>
    <w:rsid w:val="000E05FE"/>
    <w:rsid w:val="000E3D42"/>
    <w:rsid w:val="000E5B45"/>
    <w:rsid w:val="000F3DE4"/>
    <w:rsid w:val="000F6468"/>
    <w:rsid w:val="0010399E"/>
    <w:rsid w:val="00122BD5"/>
    <w:rsid w:val="00124FB3"/>
    <w:rsid w:val="00132193"/>
    <w:rsid w:val="00133F79"/>
    <w:rsid w:val="00140750"/>
    <w:rsid w:val="001416FB"/>
    <w:rsid w:val="00146D8A"/>
    <w:rsid w:val="00152E4C"/>
    <w:rsid w:val="00152F4B"/>
    <w:rsid w:val="00175910"/>
    <w:rsid w:val="00194A66"/>
    <w:rsid w:val="001C5F2F"/>
    <w:rsid w:val="001D5BAF"/>
    <w:rsid w:val="001D6BCF"/>
    <w:rsid w:val="001D7A5D"/>
    <w:rsid w:val="001E01CA"/>
    <w:rsid w:val="001E0A90"/>
    <w:rsid w:val="002172BD"/>
    <w:rsid w:val="00221720"/>
    <w:rsid w:val="00244DA3"/>
    <w:rsid w:val="00245789"/>
    <w:rsid w:val="002476A5"/>
    <w:rsid w:val="00250597"/>
    <w:rsid w:val="002546D1"/>
    <w:rsid w:val="00257770"/>
    <w:rsid w:val="00264220"/>
    <w:rsid w:val="00275A56"/>
    <w:rsid w:val="00275CF5"/>
    <w:rsid w:val="00276FFA"/>
    <w:rsid w:val="00282655"/>
    <w:rsid w:val="0028301F"/>
    <w:rsid w:val="00285017"/>
    <w:rsid w:val="002A2D2E"/>
    <w:rsid w:val="002C00E8"/>
    <w:rsid w:val="002D3301"/>
    <w:rsid w:val="002E5D87"/>
    <w:rsid w:val="002F4279"/>
    <w:rsid w:val="00343749"/>
    <w:rsid w:val="003577E1"/>
    <w:rsid w:val="003660ED"/>
    <w:rsid w:val="003664DA"/>
    <w:rsid w:val="00387112"/>
    <w:rsid w:val="003946B0"/>
    <w:rsid w:val="003B0550"/>
    <w:rsid w:val="003B694F"/>
    <w:rsid w:val="003F171C"/>
    <w:rsid w:val="003F17E2"/>
    <w:rsid w:val="00412FC5"/>
    <w:rsid w:val="00422276"/>
    <w:rsid w:val="004242F1"/>
    <w:rsid w:val="00434675"/>
    <w:rsid w:val="004450EA"/>
    <w:rsid w:val="00445A00"/>
    <w:rsid w:val="00451B0F"/>
    <w:rsid w:val="00460B7A"/>
    <w:rsid w:val="00467CEE"/>
    <w:rsid w:val="004711FC"/>
    <w:rsid w:val="00476992"/>
    <w:rsid w:val="004B33E9"/>
    <w:rsid w:val="004B5D3F"/>
    <w:rsid w:val="004C2CAB"/>
    <w:rsid w:val="004C2EE3"/>
    <w:rsid w:val="004E079F"/>
    <w:rsid w:val="004E40F1"/>
    <w:rsid w:val="004E4A22"/>
    <w:rsid w:val="004F5657"/>
    <w:rsid w:val="00511968"/>
    <w:rsid w:val="00512D18"/>
    <w:rsid w:val="00513883"/>
    <w:rsid w:val="00514C8E"/>
    <w:rsid w:val="005373CC"/>
    <w:rsid w:val="00555D44"/>
    <w:rsid w:val="0055614C"/>
    <w:rsid w:val="00566D06"/>
    <w:rsid w:val="00596F9E"/>
    <w:rsid w:val="005B2CE7"/>
    <w:rsid w:val="005B6CC4"/>
    <w:rsid w:val="005E14C2"/>
    <w:rsid w:val="005F0307"/>
    <w:rsid w:val="005F5ACF"/>
    <w:rsid w:val="005F7F74"/>
    <w:rsid w:val="00600AB4"/>
    <w:rsid w:val="00607BA5"/>
    <w:rsid w:val="0061180A"/>
    <w:rsid w:val="00614D11"/>
    <w:rsid w:val="006255CA"/>
    <w:rsid w:val="00626EB6"/>
    <w:rsid w:val="00655D03"/>
    <w:rsid w:val="006775D6"/>
    <w:rsid w:val="00683388"/>
    <w:rsid w:val="00683F84"/>
    <w:rsid w:val="006A1DAF"/>
    <w:rsid w:val="006A6A81"/>
    <w:rsid w:val="006B0DC5"/>
    <w:rsid w:val="006F7393"/>
    <w:rsid w:val="0070224F"/>
    <w:rsid w:val="0071139E"/>
    <w:rsid w:val="007115F7"/>
    <w:rsid w:val="0074036A"/>
    <w:rsid w:val="00753410"/>
    <w:rsid w:val="0075730F"/>
    <w:rsid w:val="0077399F"/>
    <w:rsid w:val="007743C9"/>
    <w:rsid w:val="00785689"/>
    <w:rsid w:val="0079754B"/>
    <w:rsid w:val="007A1E6D"/>
    <w:rsid w:val="007A2495"/>
    <w:rsid w:val="007A502A"/>
    <w:rsid w:val="007B0EB2"/>
    <w:rsid w:val="007B357C"/>
    <w:rsid w:val="007B767F"/>
    <w:rsid w:val="007C476C"/>
    <w:rsid w:val="007E569D"/>
    <w:rsid w:val="007E5877"/>
    <w:rsid w:val="007F223C"/>
    <w:rsid w:val="007F42C5"/>
    <w:rsid w:val="007F655F"/>
    <w:rsid w:val="00810B6F"/>
    <w:rsid w:val="00822CE0"/>
    <w:rsid w:val="00823FF9"/>
    <w:rsid w:val="00841AB1"/>
    <w:rsid w:val="00874E66"/>
    <w:rsid w:val="008C6117"/>
    <w:rsid w:val="008C68F1"/>
    <w:rsid w:val="008D30C5"/>
    <w:rsid w:val="008D4F70"/>
    <w:rsid w:val="008F4EFF"/>
    <w:rsid w:val="00921803"/>
    <w:rsid w:val="00926503"/>
    <w:rsid w:val="009373AE"/>
    <w:rsid w:val="009377D8"/>
    <w:rsid w:val="00943ACD"/>
    <w:rsid w:val="00947B4D"/>
    <w:rsid w:val="009726D8"/>
    <w:rsid w:val="00982BF9"/>
    <w:rsid w:val="009D7308"/>
    <w:rsid w:val="009F76DB"/>
    <w:rsid w:val="00A069B5"/>
    <w:rsid w:val="00A27808"/>
    <w:rsid w:val="00A32C3B"/>
    <w:rsid w:val="00A41060"/>
    <w:rsid w:val="00A45F4F"/>
    <w:rsid w:val="00A600A9"/>
    <w:rsid w:val="00A8013F"/>
    <w:rsid w:val="00AA120E"/>
    <w:rsid w:val="00AA55B7"/>
    <w:rsid w:val="00AA5B9E"/>
    <w:rsid w:val="00AB2407"/>
    <w:rsid w:val="00AB53DF"/>
    <w:rsid w:val="00AF350B"/>
    <w:rsid w:val="00AF64B2"/>
    <w:rsid w:val="00B07E5C"/>
    <w:rsid w:val="00B10690"/>
    <w:rsid w:val="00B3712A"/>
    <w:rsid w:val="00B4063A"/>
    <w:rsid w:val="00B50636"/>
    <w:rsid w:val="00B811F7"/>
    <w:rsid w:val="00B913E9"/>
    <w:rsid w:val="00B945BD"/>
    <w:rsid w:val="00BA5DC6"/>
    <w:rsid w:val="00BA6196"/>
    <w:rsid w:val="00BA78EA"/>
    <w:rsid w:val="00BB73A7"/>
    <w:rsid w:val="00BC6D8C"/>
    <w:rsid w:val="00BF575C"/>
    <w:rsid w:val="00BF7164"/>
    <w:rsid w:val="00BF7B55"/>
    <w:rsid w:val="00C2305A"/>
    <w:rsid w:val="00C23825"/>
    <w:rsid w:val="00C27060"/>
    <w:rsid w:val="00C30C7E"/>
    <w:rsid w:val="00C34006"/>
    <w:rsid w:val="00C36B4C"/>
    <w:rsid w:val="00C426B1"/>
    <w:rsid w:val="00C55A17"/>
    <w:rsid w:val="00C6145C"/>
    <w:rsid w:val="00C66160"/>
    <w:rsid w:val="00C721AC"/>
    <w:rsid w:val="00C90D6A"/>
    <w:rsid w:val="00CA247E"/>
    <w:rsid w:val="00CA4CE7"/>
    <w:rsid w:val="00CA6D21"/>
    <w:rsid w:val="00CC72B6"/>
    <w:rsid w:val="00CF6A0E"/>
    <w:rsid w:val="00D0218D"/>
    <w:rsid w:val="00D16857"/>
    <w:rsid w:val="00D25FB5"/>
    <w:rsid w:val="00D423B0"/>
    <w:rsid w:val="00D44223"/>
    <w:rsid w:val="00D6392C"/>
    <w:rsid w:val="00D64E57"/>
    <w:rsid w:val="00D8571E"/>
    <w:rsid w:val="00D975B7"/>
    <w:rsid w:val="00DA2529"/>
    <w:rsid w:val="00DB10EE"/>
    <w:rsid w:val="00DB130A"/>
    <w:rsid w:val="00DB2EBB"/>
    <w:rsid w:val="00DC10A1"/>
    <w:rsid w:val="00DC5A5B"/>
    <w:rsid w:val="00DC655F"/>
    <w:rsid w:val="00DD0B59"/>
    <w:rsid w:val="00DD7EBD"/>
    <w:rsid w:val="00DF62B6"/>
    <w:rsid w:val="00E07225"/>
    <w:rsid w:val="00E1189A"/>
    <w:rsid w:val="00E15AFA"/>
    <w:rsid w:val="00E26139"/>
    <w:rsid w:val="00E4519B"/>
    <w:rsid w:val="00E5409F"/>
    <w:rsid w:val="00E66756"/>
    <w:rsid w:val="00E80030"/>
    <w:rsid w:val="00EE4177"/>
    <w:rsid w:val="00EE6488"/>
    <w:rsid w:val="00EF5DBB"/>
    <w:rsid w:val="00F021FA"/>
    <w:rsid w:val="00F02727"/>
    <w:rsid w:val="00F11399"/>
    <w:rsid w:val="00F27BC4"/>
    <w:rsid w:val="00F36DD9"/>
    <w:rsid w:val="00F50D67"/>
    <w:rsid w:val="00F5268E"/>
    <w:rsid w:val="00F62E97"/>
    <w:rsid w:val="00F64209"/>
    <w:rsid w:val="00F67AFF"/>
    <w:rsid w:val="00F92630"/>
    <w:rsid w:val="00F93BF5"/>
    <w:rsid w:val="00F94259"/>
    <w:rsid w:val="00FC0CFA"/>
    <w:rsid w:val="00FD6AD8"/>
    <w:rsid w:val="00FE0253"/>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32C6A"/>
    <w:pPr>
      <w:widowControl w:val="0"/>
    </w:pPr>
    <w:rPr>
      <w:snapToGrid w:val="0"/>
      <w:kern w:val="28"/>
      <w:sz w:val="22"/>
    </w:rPr>
  </w:style>
  <w:style w:type="paragraph" w:styleId="Heading1">
    <w:name w:val="heading 1"/>
    <w:basedOn w:val="Normal"/>
    <w:next w:val="ParaNum"/>
    <w:link w:val="Heading1Char"/>
    <w:qFormat/>
    <w:rsid w:val="00032C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32C6A"/>
    <w:pPr>
      <w:keepNext/>
      <w:numPr>
        <w:ilvl w:val="1"/>
        <w:numId w:val="3"/>
      </w:numPr>
      <w:spacing w:after="120"/>
      <w:outlineLvl w:val="1"/>
    </w:pPr>
    <w:rPr>
      <w:b/>
    </w:rPr>
  </w:style>
  <w:style w:type="paragraph" w:styleId="Heading3">
    <w:name w:val="heading 3"/>
    <w:basedOn w:val="Normal"/>
    <w:next w:val="ParaNum"/>
    <w:qFormat/>
    <w:rsid w:val="00032C6A"/>
    <w:pPr>
      <w:keepNext/>
      <w:numPr>
        <w:ilvl w:val="2"/>
        <w:numId w:val="3"/>
      </w:numPr>
      <w:tabs>
        <w:tab w:val="left" w:pos="2160"/>
      </w:tabs>
      <w:spacing w:after="120"/>
      <w:outlineLvl w:val="2"/>
    </w:pPr>
    <w:rPr>
      <w:b/>
    </w:rPr>
  </w:style>
  <w:style w:type="paragraph" w:styleId="Heading4">
    <w:name w:val="heading 4"/>
    <w:basedOn w:val="Normal"/>
    <w:next w:val="ParaNum"/>
    <w:qFormat/>
    <w:rsid w:val="00032C6A"/>
    <w:pPr>
      <w:keepNext/>
      <w:numPr>
        <w:ilvl w:val="3"/>
        <w:numId w:val="3"/>
      </w:numPr>
      <w:tabs>
        <w:tab w:val="left" w:pos="2880"/>
      </w:tabs>
      <w:spacing w:after="120"/>
      <w:outlineLvl w:val="3"/>
    </w:pPr>
    <w:rPr>
      <w:b/>
    </w:rPr>
  </w:style>
  <w:style w:type="paragraph" w:styleId="Heading5">
    <w:name w:val="heading 5"/>
    <w:basedOn w:val="Normal"/>
    <w:next w:val="ParaNum"/>
    <w:qFormat/>
    <w:rsid w:val="00032C6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2C6A"/>
    <w:pPr>
      <w:numPr>
        <w:ilvl w:val="5"/>
        <w:numId w:val="3"/>
      </w:numPr>
      <w:tabs>
        <w:tab w:val="left" w:pos="4320"/>
      </w:tabs>
      <w:spacing w:after="120"/>
      <w:outlineLvl w:val="5"/>
    </w:pPr>
    <w:rPr>
      <w:b/>
    </w:rPr>
  </w:style>
  <w:style w:type="paragraph" w:styleId="Heading7">
    <w:name w:val="heading 7"/>
    <w:basedOn w:val="Normal"/>
    <w:next w:val="ParaNum"/>
    <w:qFormat/>
    <w:rsid w:val="00032C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2C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32C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2C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2C6A"/>
  </w:style>
  <w:style w:type="paragraph" w:customStyle="1" w:styleId="ParaNum">
    <w:name w:val="ParaNum"/>
    <w:basedOn w:val="Normal"/>
    <w:link w:val="ParaNumChar"/>
    <w:rsid w:val="00032C6A"/>
    <w:pPr>
      <w:numPr>
        <w:numId w:val="2"/>
      </w:numPr>
      <w:tabs>
        <w:tab w:val="clear" w:pos="1080"/>
        <w:tab w:val="num" w:pos="1440"/>
      </w:tabs>
      <w:spacing w:after="120"/>
    </w:pPr>
  </w:style>
  <w:style w:type="paragraph" w:styleId="EndnoteText">
    <w:name w:val="endnote text"/>
    <w:basedOn w:val="Normal"/>
    <w:semiHidden/>
    <w:rsid w:val="00032C6A"/>
    <w:rPr>
      <w:sz w:val="20"/>
    </w:rPr>
  </w:style>
  <w:style w:type="character" w:styleId="EndnoteReference">
    <w:name w:val="endnote reference"/>
    <w:semiHidden/>
    <w:rsid w:val="00032C6A"/>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32C6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32C6A"/>
    <w:rPr>
      <w:rFonts w:ascii="Times New Roman" w:hAnsi="Times New Roman"/>
      <w:dstrike w:val="0"/>
      <w:color w:val="auto"/>
      <w:sz w:val="20"/>
      <w:vertAlign w:val="superscript"/>
    </w:rPr>
  </w:style>
  <w:style w:type="paragraph" w:styleId="TOC1">
    <w:name w:val="toc 1"/>
    <w:basedOn w:val="Normal"/>
    <w:next w:val="Normal"/>
    <w:semiHidden/>
    <w:rsid w:val="00032C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32C6A"/>
    <w:pPr>
      <w:tabs>
        <w:tab w:val="left" w:pos="720"/>
        <w:tab w:val="right" w:leader="dot" w:pos="9360"/>
      </w:tabs>
      <w:suppressAutoHyphens/>
      <w:ind w:left="720" w:right="720" w:hanging="360"/>
    </w:pPr>
    <w:rPr>
      <w:noProof/>
    </w:rPr>
  </w:style>
  <w:style w:type="paragraph" w:styleId="TOC3">
    <w:name w:val="toc 3"/>
    <w:basedOn w:val="Normal"/>
    <w:next w:val="Normal"/>
    <w:semiHidden/>
    <w:rsid w:val="00032C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2C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2C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2C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2C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2C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2C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2C6A"/>
    <w:pPr>
      <w:tabs>
        <w:tab w:val="right" w:pos="9360"/>
      </w:tabs>
      <w:suppressAutoHyphens/>
    </w:pPr>
  </w:style>
  <w:style w:type="character" w:customStyle="1" w:styleId="EquationCaption">
    <w:name w:val="_Equation Caption"/>
    <w:rsid w:val="00032C6A"/>
  </w:style>
  <w:style w:type="paragraph" w:styleId="Header">
    <w:name w:val="header"/>
    <w:basedOn w:val="Normal"/>
    <w:autoRedefine/>
    <w:rsid w:val="00032C6A"/>
    <w:pPr>
      <w:tabs>
        <w:tab w:val="center" w:pos="4680"/>
        <w:tab w:val="right" w:pos="9360"/>
      </w:tabs>
    </w:pPr>
    <w:rPr>
      <w:b/>
    </w:rPr>
  </w:style>
  <w:style w:type="paragraph" w:styleId="Footer">
    <w:name w:val="footer"/>
    <w:basedOn w:val="Normal"/>
    <w:link w:val="FooterChar"/>
    <w:uiPriority w:val="99"/>
    <w:rsid w:val="00032C6A"/>
    <w:pPr>
      <w:tabs>
        <w:tab w:val="center" w:pos="4320"/>
        <w:tab w:val="right" w:pos="8640"/>
      </w:tabs>
    </w:pPr>
  </w:style>
  <w:style w:type="character" w:styleId="PageNumber">
    <w:name w:val="page number"/>
    <w:basedOn w:val="DefaultParagraphFont"/>
    <w:rsid w:val="00032C6A"/>
  </w:style>
  <w:style w:type="paragraph" w:styleId="BlockText">
    <w:name w:val="Block Text"/>
    <w:basedOn w:val="Normal"/>
    <w:rsid w:val="00032C6A"/>
    <w:pPr>
      <w:spacing w:after="240"/>
      <w:ind w:left="1440" w:right="1440"/>
    </w:pPr>
  </w:style>
  <w:style w:type="paragraph" w:customStyle="1" w:styleId="Paratitle">
    <w:name w:val="Para title"/>
    <w:basedOn w:val="Normal"/>
    <w:rsid w:val="00032C6A"/>
    <w:pPr>
      <w:tabs>
        <w:tab w:val="center" w:pos="9270"/>
      </w:tabs>
      <w:spacing w:after="240"/>
    </w:pPr>
    <w:rPr>
      <w:spacing w:val="-2"/>
    </w:rPr>
  </w:style>
  <w:style w:type="paragraph" w:customStyle="1" w:styleId="Bullet">
    <w:name w:val="Bullet"/>
    <w:basedOn w:val="Normal"/>
    <w:rsid w:val="00032C6A"/>
    <w:pPr>
      <w:tabs>
        <w:tab w:val="left" w:pos="2160"/>
      </w:tabs>
      <w:spacing w:after="220"/>
      <w:ind w:left="2160" w:hanging="720"/>
    </w:pPr>
  </w:style>
  <w:style w:type="paragraph" w:customStyle="1" w:styleId="TableFormat">
    <w:name w:val="TableFormat"/>
    <w:basedOn w:val="Bullet"/>
    <w:rsid w:val="00032C6A"/>
    <w:pPr>
      <w:tabs>
        <w:tab w:val="clear" w:pos="2160"/>
        <w:tab w:val="left" w:pos="5040"/>
      </w:tabs>
      <w:ind w:left="5040" w:hanging="3600"/>
    </w:pPr>
  </w:style>
  <w:style w:type="paragraph" w:customStyle="1" w:styleId="TOCTitle">
    <w:name w:val="TOC Title"/>
    <w:basedOn w:val="Normal"/>
    <w:rsid w:val="00032C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2C6A"/>
    <w:pPr>
      <w:jc w:val="center"/>
    </w:pPr>
    <w:rPr>
      <w:rFonts w:ascii="Times New Roman Bold" w:hAnsi="Times New Roman Bold"/>
      <w:b/>
      <w:bCs/>
      <w:caps/>
      <w:szCs w:val="22"/>
    </w:rPr>
  </w:style>
  <w:style w:type="character" w:styleId="Hyperlink">
    <w:name w:val="Hyperlink"/>
    <w:rsid w:val="00032C6A"/>
    <w:rPr>
      <w:color w:val="0000FF"/>
      <w:u w:val="single"/>
    </w:rPr>
  </w:style>
  <w:style w:type="character" w:customStyle="1" w:styleId="FooterChar">
    <w:name w:val="Footer Char"/>
    <w:link w:val="Footer"/>
    <w:uiPriority w:val="99"/>
    <w:rsid w:val="00032C6A"/>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uiPriority w:val="99"/>
    <w:locked/>
    <w:rsid w:val="007E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Shaun.Mah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