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6E15863F" w14:textId="083B8AEE">
      <w:pPr>
        <w:pStyle w:val="Header"/>
        <w:tabs>
          <w:tab w:val="clear" w:pos="4320"/>
          <w:tab w:val="clear" w:pos="8640"/>
        </w:tabs>
        <w:rPr>
          <w:szCs w:val="22"/>
        </w:rPr>
        <w:sectPr>
          <w:footerReference w:type="even" r:id="rId5"/>
          <w:footerReference w:type="default" r:id="rId6"/>
          <w:headerReference w:type="first" r:id="rId7"/>
          <w:footerReference w:type="first" r:id="rId8"/>
          <w:pgSz w:w="12240" w:h="15840" w:code="1"/>
          <w:pgMar w:top="720" w:right="720" w:bottom="1440" w:left="720" w:header="720" w:footer="1440" w:gutter="0"/>
          <w:cols w:space="720"/>
          <w:titlePg/>
        </w:sectPr>
      </w:pPr>
      <w:r>
        <w:rPr>
          <w:szCs w:val="22"/>
        </w:rPr>
        <w:t xml:space="preserve"> </w:t>
      </w:r>
      <w:r w:rsidR="00D03A66">
        <w:rPr>
          <w:szCs w:val="22"/>
        </w:rPr>
        <w:t xml:space="preserve"> </w:t>
      </w:r>
      <w:r w:rsidR="00AC2031">
        <w:rPr>
          <w:szCs w:val="22"/>
        </w:rPr>
        <w:t xml:space="preserve">  </w:t>
      </w:r>
    </w:p>
    <w:p w:rsidR="00E7033D" w:rsidRPr="00AF2955" w14:paraId="4ACC22D6" w14:textId="5B8DC023">
      <w:pPr>
        <w:jc w:val="right"/>
        <w:rPr>
          <w:b/>
          <w:szCs w:val="22"/>
        </w:rPr>
      </w:pPr>
      <w:bookmarkStart w:id="1" w:name="_Hlk26280526"/>
      <w:bookmarkStart w:id="2" w:name="_Hlk75331933"/>
      <w:r w:rsidRPr="00AF2955">
        <w:rPr>
          <w:b/>
          <w:szCs w:val="22"/>
        </w:rPr>
        <w:t>DA 2</w:t>
      </w:r>
      <w:r w:rsidRPr="00AF2955" w:rsidR="00670CC1">
        <w:rPr>
          <w:b/>
          <w:szCs w:val="22"/>
        </w:rPr>
        <w:t>1</w:t>
      </w:r>
      <w:r w:rsidRPr="00AF2955" w:rsidR="002D09E2">
        <w:rPr>
          <w:b/>
          <w:szCs w:val="22"/>
        </w:rPr>
        <w:t>-</w:t>
      </w:r>
      <w:r w:rsidR="00A50E6F">
        <w:rPr>
          <w:b/>
          <w:szCs w:val="22"/>
        </w:rPr>
        <w:t>1391</w:t>
      </w:r>
    </w:p>
    <w:p w:rsidR="00E7033D" w14:paraId="146140A4" w14:textId="668B669C">
      <w:pPr>
        <w:spacing w:before="60"/>
        <w:jc w:val="right"/>
        <w:rPr>
          <w:b/>
          <w:szCs w:val="22"/>
        </w:rPr>
      </w:pPr>
      <w:r>
        <w:rPr>
          <w:b/>
          <w:szCs w:val="22"/>
        </w:rPr>
        <w:t xml:space="preserve">November </w:t>
      </w:r>
      <w:r w:rsidR="004E4681">
        <w:rPr>
          <w:b/>
          <w:szCs w:val="22"/>
        </w:rPr>
        <w:t>5</w:t>
      </w:r>
      <w:r w:rsidR="00830743">
        <w:rPr>
          <w:b/>
          <w:szCs w:val="22"/>
        </w:rPr>
        <w:t>, 2021</w:t>
      </w:r>
    </w:p>
    <w:p w:rsidR="00E7033D" w14:paraId="71F97F55" w14:textId="77777777">
      <w:pPr>
        <w:tabs>
          <w:tab w:val="left" w:pos="5900"/>
        </w:tabs>
        <w:rPr>
          <w:szCs w:val="22"/>
        </w:rPr>
      </w:pPr>
      <w:r>
        <w:rPr>
          <w:szCs w:val="22"/>
        </w:rPr>
        <w:tab/>
      </w:r>
    </w:p>
    <w:p w:rsidR="00E7033D" w:rsidP="00AA5B82" w14:paraId="0B96E315" w14:textId="6E9EC082">
      <w:pPr>
        <w:jc w:val="center"/>
        <w:rPr>
          <w:b/>
          <w:bCs/>
          <w:szCs w:val="22"/>
        </w:rPr>
      </w:pPr>
      <w:bookmarkStart w:id="3" w:name="_Hlk519509475"/>
      <w:bookmarkStart w:id="4" w:name="_Hlk502044717"/>
      <w:bookmarkStart w:id="5" w:name="_Hlk516578398"/>
      <w:r>
        <w:rPr>
          <w:b/>
          <w:bCs/>
          <w:szCs w:val="22"/>
        </w:rPr>
        <w:t xml:space="preserve">DOMESTIC SECTION 214 </w:t>
      </w:r>
      <w:r w:rsidRPr="00D96301" w:rsidR="00830743">
        <w:rPr>
          <w:b/>
          <w:bCs/>
          <w:szCs w:val="22"/>
        </w:rPr>
        <w:t xml:space="preserve">APPLICATION FILED FOR THE </w:t>
      </w:r>
      <w:r w:rsidR="007C3551">
        <w:rPr>
          <w:b/>
          <w:bCs/>
          <w:szCs w:val="22"/>
        </w:rPr>
        <w:t xml:space="preserve">TRANSFER OF </w:t>
      </w:r>
      <w:r w:rsidR="00C430CD">
        <w:rPr>
          <w:b/>
          <w:bCs/>
          <w:szCs w:val="22"/>
        </w:rPr>
        <w:t xml:space="preserve">CONTROL OF </w:t>
      </w:r>
      <w:bookmarkEnd w:id="3"/>
      <w:bookmarkEnd w:id="4"/>
      <w:bookmarkEnd w:id="5"/>
      <w:r w:rsidR="00D03A66">
        <w:rPr>
          <w:b/>
          <w:bCs/>
          <w:szCs w:val="22"/>
        </w:rPr>
        <w:t xml:space="preserve">ASPIRE NETWORKS 1, LLC TO ITC BROADBAND OPERATING, LLC </w:t>
      </w:r>
    </w:p>
    <w:p w:rsidR="00541FF2" w:rsidP="00541FF2" w14:paraId="36925234" w14:textId="77777777">
      <w:pPr>
        <w:jc w:val="center"/>
        <w:rPr>
          <w:b/>
          <w:bCs/>
          <w:szCs w:val="22"/>
        </w:rPr>
      </w:pPr>
    </w:p>
    <w:p w:rsidR="00E7033D" w14:paraId="266869DC" w14:textId="77777777">
      <w:pPr>
        <w:jc w:val="center"/>
        <w:rPr>
          <w:b/>
          <w:szCs w:val="22"/>
        </w:rPr>
      </w:pPr>
      <w:r w:rsidRPr="00A464DC">
        <w:rPr>
          <w:b/>
          <w:bCs/>
          <w:szCs w:val="22"/>
        </w:rPr>
        <w:t>NON-</w:t>
      </w:r>
      <w:r w:rsidRPr="00A464DC" w:rsidR="00066D12">
        <w:rPr>
          <w:b/>
          <w:bCs/>
          <w:szCs w:val="22"/>
        </w:rPr>
        <w:t>STREA</w:t>
      </w:r>
      <w:r w:rsidRPr="00A464DC" w:rsidR="00066D12">
        <w:rPr>
          <w:b/>
          <w:szCs w:val="22"/>
        </w:rPr>
        <w:t>MLINED</w:t>
      </w:r>
      <w:r w:rsidR="00066D12">
        <w:rPr>
          <w:b/>
          <w:szCs w:val="22"/>
        </w:rPr>
        <w:t xml:space="preserve"> PLEADING CYCLE ESTABLISHED</w:t>
      </w:r>
    </w:p>
    <w:p w:rsidR="00E7033D" w14:paraId="0EB1F604" w14:textId="77777777">
      <w:pPr>
        <w:jc w:val="center"/>
        <w:rPr>
          <w:b/>
          <w:szCs w:val="22"/>
        </w:rPr>
      </w:pPr>
    </w:p>
    <w:p w:rsidR="00E7033D" w14:paraId="5C37A9CE" w14:textId="43544A80">
      <w:pPr>
        <w:jc w:val="center"/>
        <w:rPr>
          <w:b/>
          <w:szCs w:val="22"/>
        </w:rPr>
      </w:pPr>
      <w:r w:rsidRPr="00AB369C">
        <w:rPr>
          <w:b/>
          <w:szCs w:val="22"/>
        </w:rPr>
        <w:t>WC Docket No. 21-</w:t>
      </w:r>
      <w:r w:rsidR="00D03A66">
        <w:rPr>
          <w:b/>
          <w:szCs w:val="22"/>
        </w:rPr>
        <w:t>415</w:t>
      </w:r>
    </w:p>
    <w:p w:rsidR="00E7033D" w14:paraId="5E7A2012" w14:textId="77777777">
      <w:pPr>
        <w:jc w:val="center"/>
        <w:rPr>
          <w:szCs w:val="22"/>
        </w:rPr>
      </w:pPr>
    </w:p>
    <w:bookmarkEnd w:id="1"/>
    <w:p w:rsidR="00AB369C" w:rsidRPr="006F586C" w:rsidP="00AB369C" w14:paraId="0E2D4362" w14:textId="4D18FFE4">
      <w:pPr>
        <w:tabs>
          <w:tab w:val="left" w:pos="6221"/>
        </w:tabs>
        <w:autoSpaceDE w:val="0"/>
        <w:autoSpaceDN w:val="0"/>
        <w:adjustRightInd w:val="0"/>
        <w:rPr>
          <w:b/>
          <w:szCs w:val="22"/>
        </w:rPr>
      </w:pPr>
      <w:r w:rsidRPr="006F586C">
        <w:rPr>
          <w:b/>
          <w:szCs w:val="22"/>
        </w:rPr>
        <w:t xml:space="preserve">Comments Due:  </w:t>
      </w:r>
      <w:r w:rsidR="00D03A66">
        <w:rPr>
          <w:b/>
          <w:szCs w:val="22"/>
        </w:rPr>
        <w:t xml:space="preserve">November </w:t>
      </w:r>
      <w:r w:rsidR="004E4681">
        <w:rPr>
          <w:b/>
          <w:szCs w:val="22"/>
        </w:rPr>
        <w:t>19</w:t>
      </w:r>
      <w:r w:rsidRPr="006F586C">
        <w:rPr>
          <w:b/>
          <w:szCs w:val="22"/>
        </w:rPr>
        <w:t>, 2021</w:t>
      </w:r>
    </w:p>
    <w:p w:rsidR="00C869E8" w:rsidP="00AB369C" w14:paraId="797ECF34" w14:textId="63B62216">
      <w:pPr>
        <w:tabs>
          <w:tab w:val="left" w:pos="6221"/>
        </w:tabs>
        <w:autoSpaceDE w:val="0"/>
        <w:autoSpaceDN w:val="0"/>
        <w:adjustRightInd w:val="0"/>
        <w:rPr>
          <w:b/>
          <w:szCs w:val="22"/>
        </w:rPr>
      </w:pPr>
      <w:r w:rsidRPr="006F586C">
        <w:rPr>
          <w:b/>
          <w:szCs w:val="22"/>
        </w:rPr>
        <w:t xml:space="preserve">Reply Comments Due:  </w:t>
      </w:r>
      <w:r w:rsidR="00D03A66">
        <w:rPr>
          <w:b/>
          <w:szCs w:val="22"/>
        </w:rPr>
        <w:t xml:space="preserve">November </w:t>
      </w:r>
      <w:r w:rsidR="004E4681">
        <w:rPr>
          <w:b/>
          <w:szCs w:val="22"/>
        </w:rPr>
        <w:t>26</w:t>
      </w:r>
      <w:r w:rsidR="00FD3D14">
        <w:rPr>
          <w:b/>
          <w:szCs w:val="22"/>
        </w:rPr>
        <w:t>,</w:t>
      </w:r>
      <w:r w:rsidRPr="006F586C">
        <w:rPr>
          <w:b/>
          <w:szCs w:val="22"/>
        </w:rPr>
        <w:t xml:space="preserve"> 2021</w:t>
      </w:r>
    </w:p>
    <w:bookmarkEnd w:id="2"/>
    <w:p w:rsidR="00760269" w:rsidRPr="005B2105" w:rsidP="00AB369C" w14:paraId="10DFFE79" w14:textId="77777777">
      <w:pPr>
        <w:tabs>
          <w:tab w:val="left" w:pos="6221"/>
        </w:tabs>
        <w:autoSpaceDE w:val="0"/>
        <w:autoSpaceDN w:val="0"/>
        <w:adjustRightInd w:val="0"/>
        <w:rPr>
          <w:szCs w:val="22"/>
        </w:rPr>
      </w:pPr>
      <w:r w:rsidRPr="005B2105">
        <w:rPr>
          <w:szCs w:val="22"/>
        </w:rPr>
        <w:tab/>
      </w:r>
    </w:p>
    <w:p w:rsidR="00680D6E" w:rsidP="00B80934" w14:paraId="7C320FBE" w14:textId="1E880817">
      <w:pPr>
        <w:autoSpaceDE w:val="0"/>
        <w:autoSpaceDN w:val="0"/>
        <w:adjustRightInd w:val="0"/>
        <w:spacing w:after="120"/>
        <w:ind w:firstLine="720"/>
        <w:rPr>
          <w:szCs w:val="22"/>
        </w:rPr>
      </w:pPr>
      <w:r w:rsidRPr="00B26F81">
        <w:rPr>
          <w:szCs w:val="22"/>
        </w:rPr>
        <w:t xml:space="preserve">By this Public Notice, the Wireline Competition Bureau </w:t>
      </w:r>
      <w:r w:rsidR="008A5E3E">
        <w:rPr>
          <w:szCs w:val="22"/>
        </w:rPr>
        <w:t xml:space="preserve">(Bureau) </w:t>
      </w:r>
      <w:r w:rsidRPr="00B26F81">
        <w:rPr>
          <w:szCs w:val="22"/>
        </w:rPr>
        <w:t>seek</w:t>
      </w:r>
      <w:r w:rsidRPr="00B26F81" w:rsidR="00E82CF0">
        <w:rPr>
          <w:szCs w:val="22"/>
        </w:rPr>
        <w:t>s</w:t>
      </w:r>
      <w:r w:rsidRPr="00B26F81">
        <w:rPr>
          <w:szCs w:val="22"/>
        </w:rPr>
        <w:t xml:space="preserve"> comment from interested parties</w:t>
      </w:r>
      <w:r w:rsidR="007572E5">
        <w:rPr>
          <w:szCs w:val="22"/>
        </w:rPr>
        <w:t xml:space="preserve"> </w:t>
      </w:r>
      <w:r w:rsidR="00EA6114">
        <w:rPr>
          <w:szCs w:val="22"/>
        </w:rPr>
        <w:t>on an application,</w:t>
      </w:r>
      <w:r>
        <w:rPr>
          <w:rStyle w:val="FootnoteReference"/>
          <w:szCs w:val="22"/>
        </w:rPr>
        <w:footnoteReference w:id="3"/>
      </w:r>
      <w:r w:rsidR="00EA6114">
        <w:rPr>
          <w:szCs w:val="22"/>
        </w:rPr>
        <w:t xml:space="preserve"> </w:t>
      </w:r>
      <w:r w:rsidRPr="00B26F81" w:rsidR="00876514">
        <w:rPr>
          <w:szCs w:val="22"/>
        </w:rPr>
        <w:t xml:space="preserve">filed </w:t>
      </w:r>
      <w:r w:rsidRPr="00B26F81" w:rsidR="00EC10D1">
        <w:rPr>
          <w:szCs w:val="22"/>
        </w:rPr>
        <w:t xml:space="preserve">pursuant to </w:t>
      </w:r>
      <w:r w:rsidRPr="00B26F81" w:rsidR="008036BB">
        <w:rPr>
          <w:szCs w:val="22"/>
        </w:rPr>
        <w:t>s</w:t>
      </w:r>
      <w:r w:rsidRPr="00B26F81" w:rsidR="00EC10D1">
        <w:rPr>
          <w:szCs w:val="22"/>
        </w:rPr>
        <w:t>ection 214 of the Communications Act of 1934, as amended, and sections 63.03-04</w:t>
      </w:r>
      <w:r w:rsidRPr="00B26F81" w:rsidR="008B4FC7">
        <w:rPr>
          <w:szCs w:val="22"/>
        </w:rPr>
        <w:t xml:space="preserve"> </w:t>
      </w:r>
      <w:r w:rsidRPr="00B26F81" w:rsidR="00EC10D1">
        <w:rPr>
          <w:szCs w:val="22"/>
        </w:rPr>
        <w:t>of the Commission’s rules, to transfer control</w:t>
      </w:r>
      <w:r w:rsidR="009E2CB1">
        <w:rPr>
          <w:szCs w:val="22"/>
        </w:rPr>
        <w:t xml:space="preserve"> of</w:t>
      </w:r>
      <w:r w:rsidRPr="00B26F81" w:rsidR="00EC10D1">
        <w:rPr>
          <w:szCs w:val="22"/>
        </w:rPr>
        <w:t xml:space="preserve"> </w:t>
      </w:r>
      <w:r w:rsidR="00D03A66">
        <w:rPr>
          <w:szCs w:val="22"/>
        </w:rPr>
        <w:t>Aspire Networks 1, LLC (Aspire), an indirect, wholly</w:t>
      </w:r>
      <w:r w:rsidR="00BD1B88">
        <w:rPr>
          <w:szCs w:val="22"/>
        </w:rPr>
        <w:t xml:space="preserve"> </w:t>
      </w:r>
      <w:r w:rsidR="00D03A66">
        <w:rPr>
          <w:szCs w:val="22"/>
        </w:rPr>
        <w:t xml:space="preserve">owned subsidiary of Atlantic Engineering Group, Inc. (AEG), </w:t>
      </w:r>
      <w:r w:rsidR="0079265D">
        <w:rPr>
          <w:szCs w:val="22"/>
        </w:rPr>
        <w:t xml:space="preserve">to </w:t>
      </w:r>
      <w:r w:rsidR="00D03A66">
        <w:rPr>
          <w:szCs w:val="22"/>
        </w:rPr>
        <w:t>ITC Broadband Operating</w:t>
      </w:r>
      <w:r w:rsidR="004E4681">
        <w:rPr>
          <w:szCs w:val="22"/>
        </w:rPr>
        <w:t>,</w:t>
      </w:r>
      <w:r w:rsidR="00D03A66">
        <w:rPr>
          <w:szCs w:val="22"/>
        </w:rPr>
        <w:t xml:space="preserve"> LLC (ITC Operating</w:t>
      </w:r>
      <w:r w:rsidR="0051626B">
        <w:rPr>
          <w:szCs w:val="22"/>
        </w:rPr>
        <w:t>) (ITC Operating</w:t>
      </w:r>
      <w:r w:rsidR="0079265D">
        <w:rPr>
          <w:szCs w:val="22"/>
        </w:rPr>
        <w:t xml:space="preserve">, together with </w:t>
      </w:r>
      <w:r w:rsidR="0051626B">
        <w:rPr>
          <w:szCs w:val="22"/>
        </w:rPr>
        <w:t>AEG and Aspire</w:t>
      </w:r>
      <w:r w:rsidR="0079265D">
        <w:rPr>
          <w:szCs w:val="22"/>
        </w:rPr>
        <w:t>, Applicants)</w:t>
      </w:r>
      <w:r w:rsidR="007572E5">
        <w:rPr>
          <w:szCs w:val="22"/>
        </w:rPr>
        <w:t>.</w:t>
      </w:r>
      <w:r>
        <w:rPr>
          <w:rStyle w:val="FootnoteReference"/>
          <w:szCs w:val="22"/>
        </w:rPr>
        <w:footnoteReference w:id="4"/>
      </w:r>
      <w:r w:rsidRPr="00B26F81" w:rsidR="005320B5">
        <w:rPr>
          <w:szCs w:val="22"/>
        </w:rPr>
        <w:t xml:space="preserve"> </w:t>
      </w:r>
      <w:r w:rsidRPr="00B26F81" w:rsidR="0028555C">
        <w:rPr>
          <w:szCs w:val="22"/>
        </w:rPr>
        <w:t xml:space="preserve"> </w:t>
      </w:r>
    </w:p>
    <w:p w:rsidR="00C540A1" w:rsidRPr="00F85C74" w:rsidP="00C540A1" w14:paraId="26100615" w14:textId="7645CFFC">
      <w:pPr>
        <w:autoSpaceDE w:val="0"/>
        <w:autoSpaceDN w:val="0"/>
        <w:adjustRightInd w:val="0"/>
        <w:spacing w:after="120"/>
        <w:ind w:firstLine="720"/>
        <w:rPr>
          <w:szCs w:val="22"/>
        </w:rPr>
      </w:pPr>
      <w:r>
        <w:rPr>
          <w:szCs w:val="22"/>
        </w:rPr>
        <w:t>AEG, a Georgia corporation, is the ultimate parent company of Aspire, a Delaware limited liability company that is authorized as a competitive local exchange carrier (LEC) and eligible telecommunications carrier in Michigan.</w:t>
      </w:r>
      <w:r>
        <w:rPr>
          <w:rStyle w:val="FootnoteReference"/>
          <w:szCs w:val="22"/>
        </w:rPr>
        <w:footnoteReference w:id="5"/>
      </w:r>
      <w:r>
        <w:rPr>
          <w:szCs w:val="22"/>
        </w:rPr>
        <w:t xml:space="preserve">  </w:t>
      </w:r>
      <w:r w:rsidR="002D4FF9">
        <w:rPr>
          <w:szCs w:val="22"/>
        </w:rPr>
        <w:t xml:space="preserve">AEG, as part of a consortium, </w:t>
      </w:r>
      <w:r w:rsidR="00E71440">
        <w:rPr>
          <w:szCs w:val="22"/>
        </w:rPr>
        <w:t xml:space="preserve">participated in and won the rights to provide service to </w:t>
      </w:r>
      <w:r w:rsidR="002D4FF9">
        <w:rPr>
          <w:szCs w:val="22"/>
        </w:rPr>
        <w:t xml:space="preserve">48,449 locations in Michigan </w:t>
      </w:r>
      <w:r w:rsidR="00460544">
        <w:rPr>
          <w:szCs w:val="22"/>
        </w:rPr>
        <w:t xml:space="preserve">through </w:t>
      </w:r>
      <w:r w:rsidR="0079265D">
        <w:rPr>
          <w:szCs w:val="22"/>
        </w:rPr>
        <w:t xml:space="preserve">Phase I of the Rural Digital Opportunity Fund (RDOF) </w:t>
      </w:r>
      <w:r w:rsidR="00E71440">
        <w:rPr>
          <w:szCs w:val="22"/>
        </w:rPr>
        <w:t>Auction</w:t>
      </w:r>
      <w:r w:rsidR="00E0490E">
        <w:rPr>
          <w:szCs w:val="22"/>
        </w:rPr>
        <w:t>.</w:t>
      </w:r>
      <w:r w:rsidRPr="00E0490E" w:rsidR="00E0490E">
        <w:rPr>
          <w:rStyle w:val="FootnoteReference"/>
          <w:szCs w:val="22"/>
        </w:rPr>
        <w:t xml:space="preserve"> </w:t>
      </w:r>
      <w:r>
        <w:rPr>
          <w:rStyle w:val="FootnoteReference"/>
          <w:szCs w:val="22"/>
        </w:rPr>
        <w:footnoteReference w:id="6"/>
      </w:r>
      <w:r w:rsidR="00E0490E">
        <w:rPr>
          <w:szCs w:val="22"/>
        </w:rPr>
        <w:t xml:space="preserve"> </w:t>
      </w:r>
      <w:r w:rsidR="002D4FF9">
        <w:rPr>
          <w:szCs w:val="22"/>
        </w:rPr>
        <w:t xml:space="preserve"> </w:t>
      </w:r>
      <w:r w:rsidR="00E0490E">
        <w:rPr>
          <w:szCs w:val="22"/>
        </w:rPr>
        <w:t>The consortium assigned its winning RDOF bids to</w:t>
      </w:r>
      <w:r w:rsidR="002D4FF9">
        <w:rPr>
          <w:szCs w:val="22"/>
        </w:rPr>
        <w:t xml:space="preserve"> Aspire</w:t>
      </w:r>
      <w:r w:rsidR="00460544">
        <w:rPr>
          <w:szCs w:val="22"/>
        </w:rPr>
        <w:t>.</w:t>
      </w:r>
      <w:r>
        <w:rPr>
          <w:rStyle w:val="FootnoteReference"/>
          <w:szCs w:val="22"/>
        </w:rPr>
        <w:footnoteReference w:id="7"/>
      </w:r>
      <w:r>
        <w:rPr>
          <w:szCs w:val="22"/>
        </w:rPr>
        <w:t xml:space="preserve">  </w:t>
      </w:r>
      <w:r w:rsidRPr="00F85C74">
        <w:rPr>
          <w:szCs w:val="22"/>
        </w:rPr>
        <w:t xml:space="preserve">Applicants state that upon consummation of the proposed transaction and construction of network facilities, Aspire will provide </w:t>
      </w:r>
      <w:r w:rsidRPr="00F85C74" w:rsidR="00AC2031">
        <w:rPr>
          <w:szCs w:val="22"/>
        </w:rPr>
        <w:t>“</w:t>
      </w:r>
      <w:r w:rsidRPr="00F85C74">
        <w:rPr>
          <w:szCs w:val="22"/>
        </w:rPr>
        <w:t>gigabit-speed broadband and VoIP service to residential end-user customers in census blocks in the Upper Peninsula of Michigan, including within the Tribal lands of the Hannahville Indian Community.</w:t>
      </w:r>
      <w:r w:rsidRPr="00F85C74" w:rsidR="00AC2031">
        <w:rPr>
          <w:szCs w:val="22"/>
        </w:rPr>
        <w:t>”</w:t>
      </w:r>
      <w:r>
        <w:rPr>
          <w:rStyle w:val="FootnoteReference"/>
          <w:szCs w:val="22"/>
        </w:rPr>
        <w:footnoteReference w:id="8"/>
      </w:r>
      <w:r w:rsidRPr="00F85C74">
        <w:rPr>
          <w:szCs w:val="22"/>
        </w:rPr>
        <w:t xml:space="preserve"> </w:t>
      </w:r>
    </w:p>
    <w:p w:rsidR="001264E8" w:rsidRPr="00F85C74" w:rsidP="004842E4" w14:paraId="4755833C" w14:textId="7E1DFE2A">
      <w:pPr>
        <w:autoSpaceDE w:val="0"/>
        <w:autoSpaceDN w:val="0"/>
        <w:adjustRightInd w:val="0"/>
        <w:spacing w:after="120"/>
        <w:ind w:firstLine="720"/>
        <w:rPr>
          <w:szCs w:val="22"/>
        </w:rPr>
      </w:pPr>
      <w:r w:rsidRPr="00F85C74">
        <w:rPr>
          <w:szCs w:val="22"/>
        </w:rPr>
        <w:t>ITC Operating</w:t>
      </w:r>
      <w:r w:rsidR="00BD1B88">
        <w:rPr>
          <w:szCs w:val="22"/>
        </w:rPr>
        <w:t>,</w:t>
      </w:r>
      <w:r w:rsidRPr="00F85C74" w:rsidR="00C540A1">
        <w:rPr>
          <w:szCs w:val="22"/>
        </w:rPr>
        <w:t xml:space="preserve"> </w:t>
      </w:r>
      <w:r w:rsidRPr="00F85C74">
        <w:rPr>
          <w:szCs w:val="22"/>
        </w:rPr>
        <w:t xml:space="preserve">a </w:t>
      </w:r>
      <w:r w:rsidRPr="00F85C74" w:rsidR="00C540A1">
        <w:rPr>
          <w:szCs w:val="22"/>
        </w:rPr>
        <w:t>Delaware limited liability company</w:t>
      </w:r>
      <w:r w:rsidR="00BD1B88">
        <w:rPr>
          <w:szCs w:val="22"/>
        </w:rPr>
        <w:t>, is an</w:t>
      </w:r>
      <w:r w:rsidRPr="00F85C74" w:rsidR="00C540A1">
        <w:rPr>
          <w:szCs w:val="22"/>
        </w:rPr>
        <w:t xml:space="preserve"> investment entity owned by ITC Broadband Holdings, LLC (ITC Holdings), a U.S. entity.  ITC </w:t>
      </w:r>
      <w:r w:rsidR="003B547B">
        <w:rPr>
          <w:szCs w:val="22"/>
        </w:rPr>
        <w:t xml:space="preserve">Operating is affiliated with </w:t>
      </w:r>
      <w:r w:rsidRPr="00F85C74" w:rsidR="00C540A1">
        <w:rPr>
          <w:szCs w:val="22"/>
        </w:rPr>
        <w:t xml:space="preserve">incumbent LEC </w:t>
      </w:r>
      <w:r w:rsidR="003B547B">
        <w:rPr>
          <w:szCs w:val="22"/>
        </w:rPr>
        <w:t xml:space="preserve">and other </w:t>
      </w:r>
      <w:r w:rsidRPr="00F85C74" w:rsidR="00C540A1">
        <w:rPr>
          <w:szCs w:val="22"/>
        </w:rPr>
        <w:t>telecommunications service</w:t>
      </w:r>
      <w:r w:rsidR="003B547B">
        <w:rPr>
          <w:szCs w:val="22"/>
        </w:rPr>
        <w:t xml:space="preserve"> providers </w:t>
      </w:r>
      <w:r w:rsidRPr="00F85C74" w:rsidR="00C540A1">
        <w:rPr>
          <w:szCs w:val="22"/>
        </w:rPr>
        <w:t>in Colorado, Georgia, Kansas, Nebraska, and Texas.</w:t>
      </w:r>
      <w:r>
        <w:rPr>
          <w:rStyle w:val="FootnoteReference"/>
          <w:szCs w:val="22"/>
        </w:rPr>
        <w:footnoteReference w:id="9"/>
      </w:r>
      <w:r w:rsidRPr="00F85C74" w:rsidR="00C540A1">
        <w:rPr>
          <w:szCs w:val="22"/>
        </w:rPr>
        <w:t xml:space="preserve">  </w:t>
      </w:r>
      <w:r w:rsidRPr="00F85C74" w:rsidR="000246D9">
        <w:rPr>
          <w:szCs w:val="22"/>
        </w:rPr>
        <w:t xml:space="preserve">According to Applicants, the following U.S.-based investment entities will own a 10% or greater </w:t>
      </w:r>
      <w:r w:rsidR="00E0490E">
        <w:rPr>
          <w:szCs w:val="22"/>
        </w:rPr>
        <w:t>equity interest in ITC Operating</w:t>
      </w:r>
      <w:r w:rsidRPr="00F85C74" w:rsidR="000246D9">
        <w:rPr>
          <w:szCs w:val="22"/>
        </w:rPr>
        <w:t xml:space="preserve"> and indirectly an equal interest in Aspire upon consummation of the proposed transaction:  HF Direct Investments Pool LLC (14.5%); 4612-Broadband Holdco, </w:t>
      </w:r>
      <w:r w:rsidR="00E0490E">
        <w:rPr>
          <w:szCs w:val="22"/>
        </w:rPr>
        <w:t>LP</w:t>
      </w:r>
      <w:r w:rsidRPr="00F85C74" w:rsidR="000246D9">
        <w:rPr>
          <w:szCs w:val="22"/>
        </w:rPr>
        <w:t xml:space="preserve"> (14.5%); ITC Broadband Investments </w:t>
      </w:r>
      <w:r w:rsidR="00E0490E">
        <w:rPr>
          <w:szCs w:val="22"/>
        </w:rPr>
        <w:t>(</w:t>
      </w:r>
      <w:r w:rsidRPr="00F85C74" w:rsidR="000246D9">
        <w:rPr>
          <w:szCs w:val="22"/>
        </w:rPr>
        <w:t>QP</w:t>
      </w:r>
      <w:r w:rsidR="00E0490E">
        <w:rPr>
          <w:szCs w:val="22"/>
        </w:rPr>
        <w:t>)</w:t>
      </w:r>
      <w:r w:rsidRPr="00F85C74" w:rsidR="000246D9">
        <w:rPr>
          <w:szCs w:val="22"/>
        </w:rPr>
        <w:t>, LLC (17.8%); Kinetic-ITC Broadband Investments, LLC (13.9%); A</w:t>
      </w:r>
      <w:r w:rsidR="00E0490E">
        <w:rPr>
          <w:szCs w:val="22"/>
        </w:rPr>
        <w:t xml:space="preserve">EG </w:t>
      </w:r>
      <w:r w:rsidRPr="00F85C74" w:rsidR="000246D9">
        <w:rPr>
          <w:szCs w:val="22"/>
        </w:rPr>
        <w:t>(16.2%), and ITC Broadband Management, LP (15%).</w:t>
      </w:r>
      <w:r>
        <w:rPr>
          <w:rStyle w:val="FootnoteReference"/>
          <w:szCs w:val="22"/>
        </w:rPr>
        <w:footnoteReference w:id="10"/>
      </w:r>
      <w:r w:rsidRPr="00F85C74" w:rsidR="000246D9">
        <w:rPr>
          <w:szCs w:val="22"/>
        </w:rPr>
        <w:t xml:space="preserve">  Applicants state that no other entity or individual will hold directly or indirectly a 10% or greater interest in Aspire.</w:t>
      </w:r>
      <w:r>
        <w:rPr>
          <w:rStyle w:val="FootnoteReference"/>
          <w:szCs w:val="22"/>
        </w:rPr>
        <w:footnoteReference w:id="11"/>
      </w:r>
      <w:r w:rsidRPr="00F85C74" w:rsidR="000246D9">
        <w:rPr>
          <w:szCs w:val="22"/>
        </w:rPr>
        <w:t xml:space="preserve">  </w:t>
      </w:r>
    </w:p>
    <w:p w:rsidR="002D5247" w:rsidRPr="00F85C74" w:rsidP="00AC2031" w14:paraId="36985CE1" w14:textId="31D3B6CB">
      <w:pPr>
        <w:autoSpaceDE w:val="0"/>
        <w:autoSpaceDN w:val="0"/>
        <w:adjustRightInd w:val="0"/>
        <w:ind w:firstLine="720"/>
        <w:rPr>
          <w:szCs w:val="22"/>
        </w:rPr>
      </w:pPr>
      <w:r w:rsidRPr="00F85C74">
        <w:rPr>
          <w:szCs w:val="22"/>
        </w:rPr>
        <w:t>Pursuant to the terms</w:t>
      </w:r>
      <w:r w:rsidRPr="00F85C74" w:rsidR="005C680F">
        <w:rPr>
          <w:szCs w:val="22"/>
        </w:rPr>
        <w:t xml:space="preserve"> </w:t>
      </w:r>
      <w:r w:rsidRPr="00F85C74">
        <w:rPr>
          <w:szCs w:val="22"/>
        </w:rPr>
        <w:t>o</w:t>
      </w:r>
      <w:r w:rsidRPr="00F85C74" w:rsidR="005C680F">
        <w:rPr>
          <w:szCs w:val="22"/>
        </w:rPr>
        <w:t>f</w:t>
      </w:r>
      <w:r w:rsidRPr="00F85C74">
        <w:rPr>
          <w:szCs w:val="22"/>
        </w:rPr>
        <w:t xml:space="preserve"> the proposed transaction, ITC Operating will acquire the membership interests in Aspire from AEG, and Aspire will become a wholly</w:t>
      </w:r>
      <w:r w:rsidR="00BD1B88">
        <w:rPr>
          <w:szCs w:val="22"/>
        </w:rPr>
        <w:t xml:space="preserve"> </w:t>
      </w:r>
      <w:r w:rsidRPr="00F85C74">
        <w:rPr>
          <w:szCs w:val="22"/>
        </w:rPr>
        <w:t>owned subsidiary of ITC Operating.</w:t>
      </w:r>
      <w:r>
        <w:rPr>
          <w:rStyle w:val="FootnoteReference"/>
          <w:szCs w:val="22"/>
        </w:rPr>
        <w:footnoteReference w:id="12"/>
      </w:r>
      <w:r w:rsidRPr="00F85C74">
        <w:rPr>
          <w:szCs w:val="22"/>
        </w:rPr>
        <w:t xml:space="preserve">  Applicants state that authorization of RDOF support is a condition to closing the proposed transaction and that they will “work jointly to continue building out Aspire’s RDOF supported network, which began providing service to residential customers in Michigan in October 2021.”</w:t>
      </w:r>
      <w:r>
        <w:rPr>
          <w:rStyle w:val="FootnoteReference"/>
          <w:szCs w:val="22"/>
        </w:rPr>
        <w:footnoteReference w:id="13"/>
      </w:r>
      <w:r w:rsidRPr="00F85C74">
        <w:rPr>
          <w:szCs w:val="22"/>
        </w:rPr>
        <w:t xml:space="preserve">  </w:t>
      </w:r>
    </w:p>
    <w:p w:rsidR="00EF5177" w:rsidRPr="00F85C74" w:rsidP="00D36589" w14:paraId="0E2FF38A" w14:textId="5952133D">
      <w:pPr>
        <w:autoSpaceDE w:val="0"/>
        <w:autoSpaceDN w:val="0"/>
        <w:adjustRightInd w:val="0"/>
        <w:ind w:firstLine="720"/>
        <w:rPr>
          <w:szCs w:val="22"/>
        </w:rPr>
      </w:pPr>
      <w:r w:rsidRPr="00F85C74">
        <w:rPr>
          <w:szCs w:val="22"/>
        </w:rPr>
        <w:t>Applicants assert that a grant of the Application would serve the public interest, convenience, and necessity.</w:t>
      </w:r>
      <w:r>
        <w:rPr>
          <w:rStyle w:val="FootnoteReference"/>
          <w:szCs w:val="22"/>
        </w:rPr>
        <w:footnoteReference w:id="14"/>
      </w:r>
      <w:r w:rsidRPr="00F85C74">
        <w:rPr>
          <w:szCs w:val="22"/>
        </w:rPr>
        <w:t xml:space="preserve">  </w:t>
      </w:r>
      <w:r w:rsidR="00E0490E">
        <w:rPr>
          <w:szCs w:val="22"/>
        </w:rPr>
        <w:t>They</w:t>
      </w:r>
      <w:r w:rsidRPr="00F85C74">
        <w:rPr>
          <w:szCs w:val="22"/>
        </w:rPr>
        <w:t xml:space="preserve"> </w:t>
      </w:r>
      <w:r w:rsidR="00E0490E">
        <w:rPr>
          <w:szCs w:val="22"/>
        </w:rPr>
        <w:t xml:space="preserve">assert </w:t>
      </w:r>
      <w:r w:rsidRPr="00F85C74">
        <w:rPr>
          <w:szCs w:val="22"/>
        </w:rPr>
        <w:t xml:space="preserve">that the proposed transaction will provide </w:t>
      </w:r>
      <w:r w:rsidRPr="00F85C74" w:rsidR="00593AE6">
        <w:rPr>
          <w:szCs w:val="22"/>
        </w:rPr>
        <w:t>Aspire with “extensive financial resources and managerial and technical expertise in building out broadband networks”</w:t>
      </w:r>
      <w:r>
        <w:rPr>
          <w:rStyle w:val="FootnoteReference"/>
          <w:szCs w:val="22"/>
        </w:rPr>
        <w:footnoteReference w:id="15"/>
      </w:r>
      <w:r w:rsidRPr="00F85C74" w:rsidR="00593AE6">
        <w:rPr>
          <w:szCs w:val="22"/>
        </w:rPr>
        <w:t xml:space="preserve"> and will “better position Aspire to accelerate its network deployment and provide high quality broadband service to customers in Michigan in the near term, as well as fulfill its RDOF public interest obligations.”</w:t>
      </w:r>
      <w:r>
        <w:rPr>
          <w:rStyle w:val="FootnoteReference"/>
          <w:szCs w:val="22"/>
        </w:rPr>
        <w:footnoteReference w:id="16"/>
      </w:r>
      <w:r w:rsidRPr="00F85C74" w:rsidR="00593AE6">
        <w:rPr>
          <w:szCs w:val="22"/>
        </w:rPr>
        <w:t xml:space="preserve">  Applicants pledge that the proposed transaction will </w:t>
      </w:r>
      <w:r w:rsidR="00D205FE">
        <w:rPr>
          <w:szCs w:val="22"/>
        </w:rPr>
        <w:t>“</w:t>
      </w:r>
      <w:r w:rsidRPr="00F85C74" w:rsidR="00593AE6">
        <w:rPr>
          <w:szCs w:val="22"/>
        </w:rPr>
        <w:t xml:space="preserve">not result in any alteration to the buildout plans submitted to the Commission </w:t>
      </w:r>
      <w:r w:rsidR="00D205FE">
        <w:rPr>
          <w:szCs w:val="22"/>
        </w:rPr>
        <w:t xml:space="preserve">in order </w:t>
      </w:r>
      <w:r w:rsidRPr="00F85C74" w:rsidR="00593AE6">
        <w:rPr>
          <w:szCs w:val="22"/>
        </w:rPr>
        <w:t xml:space="preserve">to qualify for RDOF Auction </w:t>
      </w:r>
      <w:r w:rsidRPr="00F85C74" w:rsidR="00593AE6">
        <w:rPr>
          <w:szCs w:val="22"/>
        </w:rPr>
        <w:t>funding.”</w:t>
      </w:r>
      <w:r>
        <w:rPr>
          <w:rStyle w:val="FootnoteReference"/>
          <w:szCs w:val="22"/>
        </w:rPr>
        <w:footnoteReference w:id="17"/>
      </w:r>
      <w:r w:rsidR="004E4681">
        <w:rPr>
          <w:szCs w:val="22"/>
        </w:rPr>
        <w:t xml:space="preserve"> </w:t>
      </w:r>
      <w:r w:rsidRPr="00F85C74" w:rsidR="00D36589">
        <w:rPr>
          <w:szCs w:val="22"/>
        </w:rPr>
        <w:t>Applicants further assert that the proposed transaction will cause no harm to competition and be transparent to customers.</w:t>
      </w:r>
      <w:r>
        <w:rPr>
          <w:rStyle w:val="FootnoteReference"/>
          <w:szCs w:val="22"/>
        </w:rPr>
        <w:footnoteReference w:id="18"/>
      </w:r>
      <w:r w:rsidRPr="00F85C74" w:rsidR="00D36589">
        <w:rPr>
          <w:szCs w:val="22"/>
        </w:rPr>
        <w:t xml:space="preserve">  </w:t>
      </w:r>
    </w:p>
    <w:p w:rsidR="00EF5177" w:rsidRPr="000F33A7" w:rsidP="00EF5177" w14:paraId="609EB9C4" w14:textId="77777777">
      <w:pPr>
        <w:autoSpaceDE w:val="0"/>
        <w:autoSpaceDN w:val="0"/>
        <w:adjustRightInd w:val="0"/>
        <w:rPr>
          <w:szCs w:val="22"/>
        </w:rPr>
      </w:pPr>
    </w:p>
    <w:p w:rsidR="005C680F" w:rsidP="005C680F" w14:paraId="44497CBA" w14:textId="77777777">
      <w:pPr>
        <w:autoSpaceDE w:val="0"/>
        <w:autoSpaceDN w:val="0"/>
        <w:adjustRightInd w:val="0"/>
        <w:spacing w:after="120"/>
        <w:ind w:firstLine="720"/>
      </w:pPr>
      <w:r>
        <w:rPr>
          <w:color w:val="000000"/>
          <w:szCs w:val="22"/>
        </w:rPr>
        <w:t xml:space="preserve">Because the proposed transaction </w:t>
      </w:r>
      <w:r w:rsidR="0031559D">
        <w:rPr>
          <w:color w:val="000000"/>
          <w:szCs w:val="22"/>
        </w:rPr>
        <w:t xml:space="preserve">would </w:t>
      </w:r>
      <w:r>
        <w:rPr>
          <w:color w:val="000000"/>
          <w:szCs w:val="22"/>
        </w:rPr>
        <w:t>involve the exchange and assumption of Universal Service Fund high-cost mechanism obligations, in order to sufficiently analyze whether the proposed transaction would serve the public interest, we accept the Application for non-streamlined processing</w:t>
      </w:r>
      <w:r>
        <w:rPr>
          <w:bCs/>
          <w:szCs w:val="22"/>
        </w:rPr>
        <w:t>.</w:t>
      </w:r>
      <w:r>
        <w:rPr>
          <w:rStyle w:val="FootnoteReference"/>
          <w:bCs/>
          <w:szCs w:val="22"/>
        </w:rPr>
        <w:footnoteReference w:id="19"/>
      </w:r>
      <w:r>
        <w:rPr>
          <w:bCs/>
          <w:szCs w:val="22"/>
        </w:rPr>
        <w:t xml:space="preserve">  </w:t>
      </w:r>
    </w:p>
    <w:p w:rsidR="00332884" w:rsidP="00332884" w14:paraId="5242D452" w14:textId="77777777">
      <w:pPr>
        <w:autoSpaceDE w:val="0"/>
        <w:autoSpaceDN w:val="0"/>
        <w:adjustRightInd w:val="0"/>
        <w:rPr>
          <w:szCs w:val="22"/>
        </w:rPr>
      </w:pPr>
      <w:r w:rsidRPr="00B713DE">
        <w:rPr>
          <w:b/>
          <w:szCs w:val="22"/>
          <w:u w:val="single"/>
        </w:rPr>
        <w:t>GENERAL INFORMATION</w:t>
      </w:r>
    </w:p>
    <w:p w:rsidR="00332884" w:rsidP="00332884" w14:paraId="68D82514" w14:textId="77777777">
      <w:pPr>
        <w:autoSpaceDE w:val="0"/>
        <w:autoSpaceDN w:val="0"/>
        <w:adjustRightInd w:val="0"/>
        <w:rPr>
          <w:szCs w:val="22"/>
        </w:rPr>
      </w:pPr>
    </w:p>
    <w:p w:rsidR="00332884" w:rsidRPr="00EC66CA" w:rsidP="00332884" w14:paraId="4713618F" w14:textId="77777777">
      <w:pPr>
        <w:autoSpaceDE w:val="0"/>
        <w:autoSpaceDN w:val="0"/>
        <w:adjustRightInd w:val="0"/>
        <w:spacing w:after="120"/>
        <w:ind w:firstLine="720"/>
        <w:rPr>
          <w:szCs w:val="22"/>
        </w:rPr>
      </w:pPr>
      <w:r w:rsidRPr="00EC66CA">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332884" w:rsidRPr="00EC66CA" w:rsidP="00332884" w14:paraId="4D927700" w14:textId="6FEC9C74">
      <w:pPr>
        <w:autoSpaceDE w:val="0"/>
        <w:autoSpaceDN w:val="0"/>
        <w:adjustRightInd w:val="0"/>
        <w:spacing w:after="120"/>
        <w:ind w:firstLine="720"/>
        <w:rPr>
          <w:szCs w:val="22"/>
        </w:rPr>
      </w:pPr>
      <w:r w:rsidRPr="00CB2908">
        <w:rPr>
          <w:szCs w:val="22"/>
        </w:rPr>
        <w:t>Interested parties may fil</w:t>
      </w:r>
      <w:r w:rsidRPr="00221CCF">
        <w:rPr>
          <w:szCs w:val="22"/>
        </w:rPr>
        <w:t xml:space="preserve">e comments </w:t>
      </w:r>
      <w:r w:rsidRPr="006F586C">
        <w:rPr>
          <w:b/>
          <w:szCs w:val="22"/>
        </w:rPr>
        <w:t xml:space="preserve">on or before </w:t>
      </w:r>
      <w:r w:rsidR="00D36589">
        <w:rPr>
          <w:b/>
          <w:szCs w:val="22"/>
        </w:rPr>
        <w:t>November</w:t>
      </w:r>
      <w:r w:rsidR="006B3211">
        <w:rPr>
          <w:b/>
          <w:szCs w:val="22"/>
        </w:rPr>
        <w:t xml:space="preserve"> </w:t>
      </w:r>
      <w:r w:rsidR="004E4681">
        <w:rPr>
          <w:b/>
          <w:szCs w:val="22"/>
        </w:rPr>
        <w:t>19</w:t>
      </w:r>
      <w:r w:rsidRPr="006F586C">
        <w:rPr>
          <w:b/>
          <w:szCs w:val="22"/>
        </w:rPr>
        <w:t>, 2021</w:t>
      </w:r>
      <w:r w:rsidRPr="006F586C">
        <w:rPr>
          <w:szCs w:val="22"/>
        </w:rPr>
        <w:t xml:space="preserve">, and reply comments </w:t>
      </w:r>
      <w:r w:rsidRPr="006F586C">
        <w:rPr>
          <w:b/>
          <w:szCs w:val="22"/>
        </w:rPr>
        <w:t xml:space="preserve">on or before </w:t>
      </w:r>
      <w:r w:rsidR="00D36589">
        <w:rPr>
          <w:b/>
          <w:szCs w:val="22"/>
        </w:rPr>
        <w:t xml:space="preserve">November </w:t>
      </w:r>
      <w:r w:rsidR="004E4681">
        <w:rPr>
          <w:b/>
          <w:szCs w:val="22"/>
        </w:rPr>
        <w:t>26</w:t>
      </w:r>
      <w:r w:rsidRPr="006F586C">
        <w:rPr>
          <w:b/>
          <w:szCs w:val="22"/>
        </w:rPr>
        <w:t>, 2021</w:t>
      </w:r>
      <w:r w:rsidRPr="006F586C">
        <w:rPr>
          <w:szCs w:val="22"/>
        </w:rPr>
        <w:t>.</w:t>
      </w:r>
      <w:r w:rsidRPr="00CB2908">
        <w:rPr>
          <w:szCs w:val="22"/>
        </w:rPr>
        <w:t xml:space="preserve">  </w:t>
      </w:r>
      <w:r w:rsidRPr="00EC66CA" w:rsidR="008D79D6">
        <w:rPr>
          <w:szCs w:val="22"/>
        </w:rPr>
        <w:t>Comments may be filed using the Commission’s Electronic Comment Filing System (ECFS) or by paper.  </w:t>
      </w:r>
    </w:p>
    <w:p w:rsidR="00332884" w:rsidP="00332884" w14:paraId="06EC22DB" w14:textId="77777777">
      <w:pPr>
        <w:numPr>
          <w:ilvl w:val="0"/>
          <w:numId w:val="20"/>
        </w:numPr>
        <w:autoSpaceDE w:val="0"/>
        <w:autoSpaceDN w:val="0"/>
        <w:adjustRightInd w:val="0"/>
        <w:rPr>
          <w:szCs w:val="22"/>
        </w:rPr>
      </w:pPr>
      <w:r w:rsidRPr="00EC66CA">
        <w:rPr>
          <w:szCs w:val="22"/>
        </w:rPr>
        <w:t>Electronic Filers:  Comments may be filed electronically by accessing ECFS at </w:t>
      </w:r>
      <w:hyperlink r:id="rId9" w:history="1">
        <w:r w:rsidRPr="00EC66CA">
          <w:rPr>
            <w:rStyle w:val="Hyperlink"/>
            <w:szCs w:val="22"/>
          </w:rPr>
          <w:t>http://apps.fcc.gov/ecfs/</w:t>
        </w:r>
      </w:hyperlink>
      <w:r w:rsidR="00CF7885">
        <w:rPr>
          <w:rStyle w:val="Hyperlink"/>
          <w:szCs w:val="22"/>
        </w:rPr>
        <w:t xml:space="preserve"> </w:t>
      </w:r>
      <w:r w:rsidR="00E2075B">
        <w:rPr>
          <w:szCs w:val="22"/>
        </w:rPr>
        <w:t>.</w:t>
      </w:r>
    </w:p>
    <w:p w:rsidR="00332884" w:rsidRPr="00EC66CA" w:rsidP="00332884" w14:paraId="2C01D598" w14:textId="77777777">
      <w:pPr>
        <w:autoSpaceDE w:val="0"/>
        <w:autoSpaceDN w:val="0"/>
        <w:adjustRightInd w:val="0"/>
        <w:ind w:left="720"/>
        <w:rPr>
          <w:szCs w:val="22"/>
        </w:rPr>
      </w:pPr>
    </w:p>
    <w:p w:rsidR="00332884" w:rsidP="00332884" w14:paraId="5D6BFE3C" w14:textId="77777777">
      <w:pPr>
        <w:numPr>
          <w:ilvl w:val="0"/>
          <w:numId w:val="21"/>
        </w:numPr>
        <w:tabs>
          <w:tab w:val="clear" w:pos="720"/>
        </w:tabs>
        <w:autoSpaceDE w:val="0"/>
        <w:autoSpaceDN w:val="0"/>
        <w:adjustRightInd w:val="0"/>
        <w:rPr>
          <w:szCs w:val="22"/>
        </w:rPr>
      </w:pPr>
      <w:r w:rsidRPr="004D7912">
        <w:rPr>
          <w:i/>
          <w:iCs/>
          <w:szCs w:val="22"/>
        </w:rPr>
        <w:t>Paper Filers</w:t>
      </w:r>
      <w:r w:rsidRPr="004D7912">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332884" w:rsidRPr="004D7912" w:rsidP="00332884" w14:paraId="130531B8" w14:textId="77777777">
      <w:pPr>
        <w:autoSpaceDE w:val="0"/>
        <w:autoSpaceDN w:val="0"/>
        <w:adjustRightInd w:val="0"/>
        <w:ind w:left="720"/>
        <w:rPr>
          <w:szCs w:val="22"/>
        </w:rPr>
      </w:pPr>
    </w:p>
    <w:p w:rsidR="00332884" w:rsidRPr="004D7912" w:rsidP="00332884" w14:paraId="4951253A" w14:textId="77777777">
      <w:pPr>
        <w:numPr>
          <w:ilvl w:val="1"/>
          <w:numId w:val="21"/>
        </w:numPr>
        <w:autoSpaceDE w:val="0"/>
        <w:autoSpaceDN w:val="0"/>
        <w:adjustRightInd w:val="0"/>
        <w:rPr>
          <w:szCs w:val="22"/>
        </w:rPr>
      </w:pPr>
      <w:r w:rsidRPr="004D7912">
        <w:rPr>
          <w:szCs w:val="22"/>
        </w:rPr>
        <w:t>Filings can be sent by commercial overnight courier or by first-class or overnight U.S. Postal Service mail.</w:t>
      </w:r>
      <w:r>
        <w:rPr>
          <w:szCs w:val="22"/>
          <w:vertAlign w:val="superscript"/>
        </w:rPr>
        <w:footnoteReference w:id="20"/>
      </w:r>
      <w:r w:rsidRPr="004D7912">
        <w:rPr>
          <w:szCs w:val="22"/>
        </w:rPr>
        <w:t xml:space="preserve">  All filings must be addressed to the Commission’s Secretary, Office of the Secretary, Federal Communications Commission.</w:t>
      </w:r>
    </w:p>
    <w:p w:rsidR="00332884" w:rsidRPr="0011311D" w14:paraId="490E038D" w14:textId="77777777">
      <w:pPr>
        <w:numPr>
          <w:ilvl w:val="1"/>
          <w:numId w:val="21"/>
        </w:numPr>
        <w:autoSpaceDE w:val="0"/>
        <w:autoSpaceDN w:val="0"/>
        <w:adjustRightInd w:val="0"/>
        <w:rPr>
          <w:szCs w:val="22"/>
        </w:rPr>
      </w:pPr>
      <w:r w:rsidRPr="0075291B">
        <w:rPr>
          <w:szCs w:val="22"/>
        </w:rPr>
        <w:t>Commercial overnight mail (other than U.S. Postal Service Express Mail and Priority Mail) must be sent to 9050 Junction Drive, Annapolis Junction, MD 20701.</w:t>
      </w:r>
      <w:r w:rsidR="0011311D">
        <w:rPr>
          <w:szCs w:val="22"/>
        </w:rPr>
        <w:t xml:space="preserve">  </w:t>
      </w:r>
      <w:r w:rsidRPr="0011311D" w:rsidR="0011311D">
        <w:rPr>
          <w:szCs w:val="22"/>
        </w:rPr>
        <w:t>U.S. Postal Service first-class, Express, and Priority mail must be addressed to 45 L Street, NE, Washington, DC 20554.</w:t>
      </w:r>
    </w:p>
    <w:p w:rsidR="00910140" w:rsidRPr="0075291B" w:rsidP="006F586C" w14:paraId="39AB1E20" w14:textId="77777777">
      <w:pPr>
        <w:autoSpaceDE w:val="0"/>
        <w:autoSpaceDN w:val="0"/>
        <w:adjustRightInd w:val="0"/>
        <w:rPr>
          <w:szCs w:val="22"/>
        </w:rPr>
      </w:pPr>
    </w:p>
    <w:p w:rsidR="00C86D25" w:rsidP="00C86D25" w14:paraId="74AF8CA9" w14:textId="77777777">
      <w:pPr>
        <w:autoSpaceDE w:val="0"/>
        <w:autoSpaceDN w:val="0"/>
        <w:adjustRightInd w:val="0"/>
        <w:spacing w:after="120"/>
        <w:ind w:firstLine="720"/>
        <w:rPr>
          <w:szCs w:val="22"/>
        </w:rPr>
      </w:pPr>
      <w:r w:rsidRPr="009B1CCF">
        <w:rPr>
          <w:szCs w:val="22"/>
        </w:rPr>
        <w:t>People with Disabilities:  We ask that requests for accommodations be made as soon as possible in order to allow the agency to satisfy such requests whenever possible.  Send an email to </w:t>
      </w:r>
      <w:hyperlink r:id="rId10" w:tgtFrame="_blank" w:history="1">
        <w:r w:rsidRPr="009B1CCF">
          <w:rPr>
            <w:rStyle w:val="Hyperlink"/>
            <w:szCs w:val="22"/>
          </w:rPr>
          <w:t>fcc504@fcc.gov</w:t>
        </w:r>
      </w:hyperlink>
      <w:r w:rsidRPr="009B1CCF">
        <w:rPr>
          <w:szCs w:val="22"/>
        </w:rPr>
        <w:t> or call the Consumer and Governmental Affairs Bureau at (202) 418-0530.</w:t>
      </w:r>
    </w:p>
    <w:p w:rsidR="00332884" w:rsidRPr="00EC66CA" w:rsidP="00332884" w14:paraId="0DB423D6" w14:textId="77777777">
      <w:pPr>
        <w:autoSpaceDE w:val="0"/>
        <w:autoSpaceDN w:val="0"/>
        <w:adjustRightInd w:val="0"/>
        <w:ind w:firstLine="720"/>
        <w:rPr>
          <w:b/>
          <w:szCs w:val="22"/>
        </w:rPr>
      </w:pPr>
    </w:p>
    <w:p w:rsidR="00806538" w:rsidP="00332884" w14:paraId="7291402A" w14:textId="77777777">
      <w:pPr>
        <w:autoSpaceDE w:val="0"/>
        <w:autoSpaceDN w:val="0"/>
        <w:adjustRightInd w:val="0"/>
        <w:ind w:firstLine="720"/>
        <w:rPr>
          <w:b/>
          <w:szCs w:val="22"/>
        </w:rPr>
      </w:pPr>
    </w:p>
    <w:p w:rsidR="00806538" w:rsidP="00332884" w14:paraId="3A2FD1FF" w14:textId="77777777">
      <w:pPr>
        <w:autoSpaceDE w:val="0"/>
        <w:autoSpaceDN w:val="0"/>
        <w:adjustRightInd w:val="0"/>
        <w:ind w:firstLine="720"/>
        <w:rPr>
          <w:b/>
          <w:szCs w:val="22"/>
        </w:rPr>
      </w:pPr>
    </w:p>
    <w:p w:rsidR="00332884" w:rsidRPr="00EC66CA" w:rsidP="00332884" w14:paraId="52CF86B5" w14:textId="49576E50">
      <w:pPr>
        <w:autoSpaceDE w:val="0"/>
        <w:autoSpaceDN w:val="0"/>
        <w:adjustRightInd w:val="0"/>
        <w:ind w:firstLine="720"/>
        <w:rPr>
          <w:b/>
          <w:szCs w:val="22"/>
        </w:rPr>
      </w:pPr>
      <w:r w:rsidRPr="00EC66CA">
        <w:rPr>
          <w:b/>
          <w:szCs w:val="22"/>
        </w:rPr>
        <w:t>In addition, e-mail one copy of each pleading to each of the following:</w:t>
      </w:r>
    </w:p>
    <w:p w:rsidR="00332884" w:rsidRPr="00EC66CA" w:rsidP="00332884" w14:paraId="7E6FAFE8" w14:textId="77777777">
      <w:pPr>
        <w:autoSpaceDE w:val="0"/>
        <w:autoSpaceDN w:val="0"/>
        <w:adjustRightInd w:val="0"/>
        <w:ind w:firstLine="720"/>
        <w:rPr>
          <w:b/>
          <w:szCs w:val="22"/>
        </w:rPr>
      </w:pPr>
    </w:p>
    <w:p w:rsidR="000A3BF0" w:rsidRPr="000A3BF0" w:rsidP="000A3BF0" w14:paraId="1DBC558A" w14:textId="46919E88">
      <w:pPr>
        <w:numPr>
          <w:ilvl w:val="0"/>
          <w:numId w:val="18"/>
        </w:numPr>
        <w:autoSpaceDE w:val="0"/>
        <w:autoSpaceDN w:val="0"/>
        <w:adjustRightInd w:val="0"/>
        <w:spacing w:after="220"/>
        <w:rPr>
          <w:szCs w:val="22"/>
        </w:rPr>
      </w:pPr>
      <w:r>
        <w:rPr>
          <w:szCs w:val="22"/>
        </w:rPr>
        <w:t>Myrva Charles</w:t>
      </w:r>
      <w:r w:rsidRPr="000A3BF0" w:rsidR="00830743">
        <w:rPr>
          <w:szCs w:val="22"/>
        </w:rPr>
        <w:t xml:space="preserve">, Competition Policy Division, Wireline Competition Bureau, </w:t>
      </w:r>
      <w:r>
        <w:rPr>
          <w:szCs w:val="22"/>
        </w:rPr>
        <w:t>myrva.charles@fcc.gov</w:t>
      </w:r>
      <w:r w:rsidRPr="000A3BF0" w:rsidR="00830743">
        <w:rPr>
          <w:szCs w:val="22"/>
        </w:rPr>
        <w:t>;</w:t>
      </w:r>
    </w:p>
    <w:p w:rsidR="000A3BF0" w:rsidP="000A3BF0" w14:paraId="5D2A4528" w14:textId="2B70FFB2">
      <w:pPr>
        <w:numPr>
          <w:ilvl w:val="0"/>
          <w:numId w:val="18"/>
        </w:numPr>
        <w:autoSpaceDE w:val="0"/>
        <w:autoSpaceDN w:val="0"/>
        <w:adjustRightInd w:val="0"/>
        <w:spacing w:after="220"/>
        <w:rPr>
          <w:szCs w:val="22"/>
        </w:rPr>
      </w:pPr>
      <w:r>
        <w:rPr>
          <w:szCs w:val="22"/>
        </w:rPr>
        <w:t>Jodie May</w:t>
      </w:r>
      <w:r w:rsidRPr="000A3BF0" w:rsidR="00830743">
        <w:rPr>
          <w:szCs w:val="22"/>
        </w:rPr>
        <w:t>, Competition Policy Divisio</w:t>
      </w:r>
      <w:r w:rsidR="00AC2031">
        <w:rPr>
          <w:szCs w:val="22"/>
        </w:rPr>
        <w:t xml:space="preserve">n, Wireline Competition Bureau, </w:t>
      </w:r>
      <w:r>
        <w:rPr>
          <w:szCs w:val="22"/>
        </w:rPr>
        <w:t>jodie.may@fcc.gov;</w:t>
      </w:r>
      <w:r w:rsidR="00BF291C">
        <w:rPr>
          <w:szCs w:val="22"/>
        </w:rPr>
        <w:t xml:space="preserve"> </w:t>
      </w:r>
    </w:p>
    <w:p w:rsidR="00332884" w:rsidP="000A3BF0" w14:paraId="39ABE7F3" w14:textId="0C88F979">
      <w:pPr>
        <w:numPr>
          <w:ilvl w:val="0"/>
          <w:numId w:val="18"/>
        </w:numPr>
        <w:autoSpaceDE w:val="0"/>
        <w:autoSpaceDN w:val="0"/>
        <w:adjustRightInd w:val="0"/>
        <w:spacing w:after="220"/>
        <w:rPr>
          <w:szCs w:val="22"/>
        </w:rPr>
      </w:pPr>
      <w:r w:rsidRPr="000A3BF0">
        <w:rPr>
          <w:szCs w:val="22"/>
        </w:rPr>
        <w:t xml:space="preserve">Jim Bird, Office of General Counsel, </w:t>
      </w:r>
      <w:hyperlink r:id="rId11" w:history="1">
        <w:r w:rsidRPr="006435A5" w:rsidR="003B547B">
          <w:rPr>
            <w:rStyle w:val="Hyperlink"/>
            <w:szCs w:val="22"/>
          </w:rPr>
          <w:t>jim.bird@fcc.gov</w:t>
        </w:r>
      </w:hyperlink>
    </w:p>
    <w:p w:rsidR="00332884" w:rsidRPr="00EC66CA" w:rsidP="00332884" w14:paraId="12EE15A5" w14:textId="77777777">
      <w:pPr>
        <w:autoSpaceDE w:val="0"/>
        <w:autoSpaceDN w:val="0"/>
        <w:adjustRightInd w:val="0"/>
        <w:spacing w:after="120"/>
        <w:ind w:firstLine="720"/>
        <w:rPr>
          <w:szCs w:val="22"/>
        </w:rPr>
      </w:pPr>
      <w:r w:rsidRPr="00EC66CA">
        <w:rPr>
          <w:szCs w:val="22"/>
        </w:rPr>
        <w:t xml:space="preserve">The proceeding in this Notice shall be treated as a “permit-but-disclose” proceeding in accordance with the Commission’s </w:t>
      </w:r>
      <w:r w:rsidRPr="00EC66CA">
        <w:rPr>
          <w:i/>
          <w:szCs w:val="22"/>
        </w:rPr>
        <w:t>ex parte</w:t>
      </w:r>
      <w:r w:rsidRPr="00EC66CA">
        <w:rPr>
          <w:szCs w:val="22"/>
        </w:rPr>
        <w:t xml:space="preserve"> rules.  Persons making </w:t>
      </w:r>
      <w:r w:rsidRPr="00EC66CA">
        <w:rPr>
          <w:i/>
          <w:szCs w:val="22"/>
        </w:rPr>
        <w:t>ex parte</w:t>
      </w:r>
      <w:r w:rsidRPr="00EC66C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C66CA">
        <w:rPr>
          <w:i/>
          <w:szCs w:val="22"/>
        </w:rPr>
        <w:t>ex parte</w:t>
      </w:r>
      <w:r w:rsidRPr="00EC66CA">
        <w:rPr>
          <w:szCs w:val="22"/>
        </w:rPr>
        <w:t xml:space="preserve"> presentations are reminded that memoranda summarizing the presentation must (1) list all persons attending or otherwise participating in the meeting at which the </w:t>
      </w:r>
      <w:r w:rsidRPr="00EC66CA">
        <w:rPr>
          <w:i/>
          <w:szCs w:val="22"/>
        </w:rPr>
        <w:t>ex parte</w:t>
      </w:r>
      <w:r w:rsidRPr="00EC66C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66CA">
        <w:rPr>
          <w:i/>
          <w:szCs w:val="22"/>
        </w:rPr>
        <w:t>ex parte</w:t>
      </w:r>
      <w:r w:rsidRPr="00EC66CA">
        <w:rPr>
          <w:szCs w:val="22"/>
        </w:rPr>
        <w:t xml:space="preserve"> meetings are deemed to be written </w:t>
      </w:r>
      <w:r w:rsidRPr="00EC66CA">
        <w:rPr>
          <w:i/>
          <w:szCs w:val="22"/>
        </w:rPr>
        <w:t>ex parte</w:t>
      </w:r>
      <w:r w:rsidRPr="00EC66CA">
        <w:rPr>
          <w:szCs w:val="22"/>
        </w:rPr>
        <w:t xml:space="preserve"> presentations and must be filed consistent with rule 1.1206(b), 47 CFR § 1.1206(b).  Participants in this proceeding should familiarize themselves with the Commission’s </w:t>
      </w:r>
      <w:r w:rsidRPr="00EC66CA">
        <w:rPr>
          <w:i/>
          <w:szCs w:val="22"/>
        </w:rPr>
        <w:t>ex parte</w:t>
      </w:r>
      <w:r w:rsidRPr="00EC66CA">
        <w:rPr>
          <w:szCs w:val="22"/>
        </w:rPr>
        <w:t xml:space="preserve"> rules.</w:t>
      </w:r>
    </w:p>
    <w:p w:rsidR="00332884" w:rsidRPr="00EB5F81" w:rsidP="00332884" w14:paraId="52C10F8A" w14:textId="77777777">
      <w:pPr>
        <w:autoSpaceDE w:val="0"/>
        <w:autoSpaceDN w:val="0"/>
        <w:adjustRightInd w:val="0"/>
        <w:spacing w:after="120"/>
        <w:ind w:firstLine="720"/>
        <w:rPr>
          <w:szCs w:val="22"/>
        </w:rPr>
      </w:pPr>
      <w:r w:rsidRPr="00EC66CA">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21"/>
      </w:r>
      <w:r w:rsidRPr="00EC66CA">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332884" w:rsidRPr="006B7F06" w:rsidP="00332884" w14:paraId="537E0E9A" w14:textId="0B24EB48">
      <w:pPr>
        <w:autoSpaceDE w:val="0"/>
        <w:autoSpaceDN w:val="0"/>
        <w:adjustRightInd w:val="0"/>
        <w:spacing w:after="120"/>
        <w:ind w:firstLine="720"/>
        <w:rPr>
          <w:szCs w:val="22"/>
        </w:rPr>
      </w:pPr>
      <w:r w:rsidRPr="009753C0">
        <w:rPr>
          <w:szCs w:val="22"/>
        </w:rPr>
        <w:t xml:space="preserve">For further information, please contact </w:t>
      </w:r>
      <w:r w:rsidR="003B547B">
        <w:rPr>
          <w:szCs w:val="22"/>
        </w:rPr>
        <w:t>Myrva Charles</w:t>
      </w:r>
      <w:r w:rsidRPr="009753C0">
        <w:rPr>
          <w:szCs w:val="22"/>
        </w:rPr>
        <w:t xml:space="preserve"> at (202) 418-1</w:t>
      </w:r>
      <w:r w:rsidR="003B547B">
        <w:rPr>
          <w:szCs w:val="22"/>
        </w:rPr>
        <w:t>506</w:t>
      </w:r>
      <w:r w:rsidRPr="009753C0">
        <w:rPr>
          <w:szCs w:val="22"/>
        </w:rPr>
        <w:t xml:space="preserve"> or </w:t>
      </w:r>
      <w:r w:rsidR="004E4681">
        <w:rPr>
          <w:szCs w:val="22"/>
        </w:rPr>
        <w:t>Jodie May</w:t>
      </w:r>
      <w:r w:rsidR="00B27D04">
        <w:rPr>
          <w:szCs w:val="22"/>
        </w:rPr>
        <w:t xml:space="preserve"> </w:t>
      </w:r>
      <w:r w:rsidR="00541FF2">
        <w:rPr>
          <w:szCs w:val="22"/>
        </w:rPr>
        <w:t xml:space="preserve">at </w:t>
      </w:r>
      <w:r w:rsidR="005C5165">
        <w:rPr>
          <w:szCs w:val="22"/>
        </w:rPr>
        <w:t>(202) 418-</w:t>
      </w:r>
      <w:r w:rsidR="004E4681">
        <w:rPr>
          <w:szCs w:val="22"/>
        </w:rPr>
        <w:t>0913</w:t>
      </w:r>
      <w:r w:rsidR="007C3551">
        <w:rPr>
          <w:szCs w:val="22"/>
        </w:rPr>
        <w:t>, Wireline Competition Bureau</w:t>
      </w:r>
      <w:r w:rsidR="00BF291C">
        <w:rPr>
          <w:szCs w:val="22"/>
        </w:rPr>
        <w:t>.</w:t>
      </w:r>
    </w:p>
    <w:p w:rsidR="00332884" w:rsidRPr="008C564D" w:rsidP="00332884" w14:paraId="2603123F" w14:textId="77777777">
      <w:pPr>
        <w:autoSpaceDE w:val="0"/>
        <w:autoSpaceDN w:val="0"/>
        <w:adjustRightInd w:val="0"/>
        <w:rPr>
          <w:szCs w:val="22"/>
        </w:rPr>
      </w:pPr>
    </w:p>
    <w:p w:rsidR="00CF704F" w:rsidP="00AD45FC" w14:paraId="5EDFCEBB" w14:textId="77777777">
      <w:pPr>
        <w:autoSpaceDE w:val="0"/>
        <w:autoSpaceDN w:val="0"/>
        <w:adjustRightInd w:val="0"/>
        <w:jc w:val="center"/>
        <w:rPr>
          <w:b/>
          <w:szCs w:val="22"/>
        </w:rPr>
      </w:pPr>
      <w:r>
        <w:rPr>
          <w:b/>
          <w:szCs w:val="22"/>
        </w:rPr>
        <w:t>-FCC-</w:t>
      </w:r>
    </w:p>
    <w:tbl>
      <w:tblPr>
        <w:tblW w:w="9744" w:type="dxa"/>
        <w:tblLook w:val="01E0"/>
      </w:tblPr>
      <w:tblGrid>
        <w:gridCol w:w="2882"/>
        <w:gridCol w:w="3890"/>
        <w:gridCol w:w="2972"/>
      </w:tblGrid>
      <w:tr w14:paraId="75A48307" w14:textId="77777777" w:rsidTr="00712888">
        <w:tblPrEx>
          <w:tblW w:w="9744" w:type="dxa"/>
          <w:tblLook w:val="01E0"/>
        </w:tblPrEx>
        <w:trPr>
          <w:trHeight w:val="297"/>
        </w:trPr>
        <w:tc>
          <w:tcPr>
            <w:tcW w:w="2882" w:type="dxa"/>
          </w:tcPr>
          <w:p w:rsidR="00CF704F" w:rsidRPr="0022664E" w:rsidP="00712888" w14:paraId="4B0ABF96" w14:textId="77777777">
            <w:pPr>
              <w:rPr>
                <w:color w:val="000000"/>
                <w:szCs w:val="22"/>
              </w:rPr>
            </w:pPr>
            <w:r w:rsidRPr="00B62EDB">
              <w:rPr>
                <w:color w:val="000000"/>
                <w:szCs w:val="22"/>
              </w:rPr>
              <w:t xml:space="preserve"> </w:t>
            </w:r>
          </w:p>
        </w:tc>
        <w:tc>
          <w:tcPr>
            <w:tcW w:w="3890" w:type="dxa"/>
          </w:tcPr>
          <w:p w:rsidR="00CF704F" w:rsidRPr="0022664E" w:rsidP="00712888" w14:paraId="7664CDA8" w14:textId="77777777">
            <w:pPr>
              <w:rPr>
                <w:color w:val="000000"/>
                <w:szCs w:val="22"/>
              </w:rPr>
            </w:pPr>
          </w:p>
        </w:tc>
        <w:tc>
          <w:tcPr>
            <w:tcW w:w="2972" w:type="dxa"/>
          </w:tcPr>
          <w:p w:rsidR="00CF704F" w:rsidRPr="0022664E" w:rsidP="00712888" w14:paraId="1432A304" w14:textId="77777777">
            <w:pPr>
              <w:rPr>
                <w:color w:val="000000"/>
                <w:szCs w:val="22"/>
              </w:rPr>
            </w:pPr>
          </w:p>
        </w:tc>
      </w:tr>
    </w:tbl>
    <w:p w:rsidR="00CF704F" w:rsidRPr="0022664E" w:rsidP="005C680F" w14:paraId="434394AF" w14:textId="77777777">
      <w:pPr>
        <w:rPr>
          <w:color w:val="000000"/>
          <w:szCs w:val="22"/>
        </w:rPr>
      </w:pPr>
    </w:p>
    <w:sectPr>
      <w:footerReference w:type="default" r:id="rId12"/>
      <w:headerReference w:type="first" r:id="rId13"/>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DF1" w14:paraId="5C6A543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61DF1" w14:paraId="762CF15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DF1" w14:paraId="2B9CE99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61DF1" w14:paraId="3DB9794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DF1" w14:paraId="6933A994" w14:textId="77777777">
    <w:pPr>
      <w:pStyle w:val="Footer"/>
      <w:jc w:val="center"/>
    </w:pPr>
    <w:r>
      <w:fldChar w:fldCharType="begin"/>
    </w:r>
    <w:r>
      <w:instrText xml:space="preserve"> PAGE   \* MERGEFORMAT </w:instrText>
    </w:r>
    <w:r>
      <w:fldChar w:fldCharType="separate"/>
    </w:r>
    <w:r w:rsidR="00CB0C66">
      <w:rPr>
        <w:noProof/>
      </w:rPr>
      <w:t>1</w:t>
    </w:r>
    <w:r>
      <w:rPr>
        <w:noProof/>
      </w:rPr>
      <w:fldChar w:fldCharType="end"/>
    </w:r>
  </w:p>
  <w:p w:rsidR="00361DF1" w14:paraId="7DFD76C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DF1" w14:paraId="7F0A82D9"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CB0C66">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206A1" w14:paraId="0F9EFB81" w14:textId="77777777">
      <w:r>
        <w:separator/>
      </w:r>
    </w:p>
  </w:footnote>
  <w:footnote w:type="continuationSeparator" w:id="1">
    <w:p w:rsidR="002206A1" w14:paraId="1D17CCE9" w14:textId="77777777">
      <w:r>
        <w:continuationSeparator/>
      </w:r>
    </w:p>
  </w:footnote>
  <w:footnote w:type="continuationNotice" w:id="2">
    <w:p w:rsidR="002206A1" w14:paraId="2EA374D1" w14:textId="77777777"/>
  </w:footnote>
  <w:footnote w:id="3">
    <w:p w:rsidR="00361DF1" w:rsidRPr="00806538" w14:paraId="2B72BDD3" w14:textId="387ADDD0">
      <w:pPr>
        <w:pStyle w:val="FootnoteText"/>
        <w:rPr>
          <w:sz w:val="20"/>
        </w:rPr>
      </w:pPr>
      <w:r w:rsidRPr="00CB0C66">
        <w:rPr>
          <w:rStyle w:val="FootnoteReference"/>
          <w:sz w:val="20"/>
        </w:rPr>
        <w:footnoteRef/>
      </w:r>
      <w:r w:rsidRPr="00CB0C66">
        <w:rPr>
          <w:sz w:val="20"/>
        </w:rPr>
        <w:t xml:space="preserve"> </w:t>
      </w:r>
      <w:r w:rsidRPr="00806538">
        <w:rPr>
          <w:sz w:val="20"/>
        </w:rPr>
        <w:t>Application</w:t>
      </w:r>
      <w:r w:rsidRPr="00806538" w:rsidR="002D4FF9">
        <w:rPr>
          <w:sz w:val="20"/>
        </w:rPr>
        <w:t xml:space="preserve"> of Atlantic Engineering Group, Inc., Aspire Networks 1, LLC, and ITC Broadband Operating, LLC for Consent to Transfer Control of Domestic Authority Pursuant to Section 214 of the Communications, Act, as Amended, WC Docket No. 21-415 (filed Oct. 21, 2021) </w:t>
      </w:r>
      <w:r w:rsidRPr="00806538">
        <w:rPr>
          <w:sz w:val="20"/>
        </w:rPr>
        <w:t>(Application).</w:t>
      </w:r>
      <w:r w:rsidRPr="00806538" w:rsidR="00593AE6">
        <w:rPr>
          <w:sz w:val="20"/>
        </w:rPr>
        <w:t xml:space="preserve">  </w:t>
      </w:r>
    </w:p>
  </w:footnote>
  <w:footnote w:id="4">
    <w:p w:rsidR="00361DF1" w:rsidRPr="00806538" w:rsidP="00275EE0" w14:paraId="6BE9107B" w14:textId="3D6B517B">
      <w:pPr>
        <w:spacing w:after="120"/>
        <w:rPr>
          <w:sz w:val="20"/>
        </w:rPr>
      </w:pPr>
      <w:r w:rsidRPr="00806538">
        <w:rPr>
          <w:rStyle w:val="FootnoteReference"/>
          <w:sz w:val="20"/>
        </w:rPr>
        <w:footnoteRef/>
      </w:r>
      <w:r w:rsidRPr="00806538">
        <w:rPr>
          <w:sz w:val="20"/>
        </w:rPr>
        <w:t xml:space="preserve"> </w:t>
      </w:r>
      <w:r w:rsidRPr="00806538">
        <w:rPr>
          <w:i/>
          <w:sz w:val="20"/>
        </w:rPr>
        <w:t>See</w:t>
      </w:r>
      <w:r w:rsidRPr="00806538">
        <w:rPr>
          <w:sz w:val="20"/>
        </w:rPr>
        <w:t xml:space="preserve"> 47 U.S.C. § 214; 47 CFR §§ 63.03-04.  On </w:t>
      </w:r>
      <w:r w:rsidRPr="00806538" w:rsidR="00593AE6">
        <w:rPr>
          <w:sz w:val="20"/>
        </w:rPr>
        <w:t>November 3, 2021,</w:t>
      </w:r>
      <w:r w:rsidRPr="00806538">
        <w:rPr>
          <w:sz w:val="20"/>
        </w:rPr>
        <w:t xml:space="preserve"> Applicants filed a supplement to the</w:t>
      </w:r>
      <w:r w:rsidRPr="00806538" w:rsidR="00D36589">
        <w:rPr>
          <w:sz w:val="20"/>
        </w:rPr>
        <w:t xml:space="preserve"> Application</w:t>
      </w:r>
      <w:r w:rsidRPr="00806538">
        <w:rPr>
          <w:sz w:val="20"/>
        </w:rPr>
        <w:t xml:space="preserve">.  </w:t>
      </w:r>
      <w:r w:rsidRPr="00806538" w:rsidR="00593AE6">
        <w:rPr>
          <w:sz w:val="20"/>
        </w:rPr>
        <w:t>Letter from Phillip Marchesiello and Mark Wiranowski</w:t>
      </w:r>
      <w:r w:rsidRPr="00806538" w:rsidR="00D36589">
        <w:rPr>
          <w:sz w:val="20"/>
        </w:rPr>
        <w:t>,</w:t>
      </w:r>
      <w:r w:rsidRPr="00806538" w:rsidR="00593AE6">
        <w:rPr>
          <w:sz w:val="20"/>
        </w:rPr>
        <w:t xml:space="preserve"> Counsel for AEG and Aspire, and John Beahn and Dana Zelman, Counsel for ITC Operating, to Marlene H. Dortch, Secretary, FCC, WC Docket No. 21-415 (filed Nov. 3, 2021) (Supplement).  </w:t>
      </w:r>
      <w:r w:rsidRPr="00806538">
        <w:rPr>
          <w:sz w:val="20"/>
        </w:rPr>
        <w:t xml:space="preserve">Any action on this </w:t>
      </w:r>
      <w:r w:rsidRPr="00806538" w:rsidR="00F56F5E">
        <w:rPr>
          <w:sz w:val="20"/>
        </w:rPr>
        <w:t xml:space="preserve">domestic </w:t>
      </w:r>
      <w:r w:rsidRPr="00806538">
        <w:rPr>
          <w:sz w:val="20"/>
        </w:rPr>
        <w:t>section 214 application is without prejudice to Commission action on other related, pending applications.</w:t>
      </w:r>
    </w:p>
  </w:footnote>
  <w:footnote w:id="5">
    <w:p w:rsidR="002D4FF9" w:rsidRPr="00806538" w14:paraId="7924CC85" w14:textId="1BAC511D">
      <w:pPr>
        <w:pStyle w:val="FootnoteText"/>
        <w:rPr>
          <w:sz w:val="20"/>
        </w:rPr>
      </w:pPr>
      <w:r w:rsidRPr="00806538">
        <w:rPr>
          <w:rStyle w:val="FootnoteReference"/>
          <w:sz w:val="20"/>
        </w:rPr>
        <w:footnoteRef/>
      </w:r>
      <w:r w:rsidRPr="00806538">
        <w:rPr>
          <w:sz w:val="20"/>
        </w:rPr>
        <w:t xml:space="preserve"> Application at 2 (citing Michigan Public Service Commission Cases U-20956 and U-20957).</w:t>
      </w:r>
    </w:p>
  </w:footnote>
  <w:footnote w:id="6">
    <w:p w:rsidR="00E0490E" w:rsidRPr="00806538" w:rsidP="00E0490E" w14:paraId="091C6A29" w14:textId="429519C6">
      <w:pPr>
        <w:pStyle w:val="FootnoteText"/>
        <w:rPr>
          <w:sz w:val="20"/>
        </w:rPr>
      </w:pPr>
      <w:r w:rsidRPr="00806538">
        <w:rPr>
          <w:rStyle w:val="FootnoteReference"/>
          <w:sz w:val="20"/>
        </w:rPr>
        <w:footnoteRef/>
      </w:r>
      <w:r w:rsidRPr="00806538">
        <w:rPr>
          <w:sz w:val="20"/>
        </w:rPr>
        <w:t xml:space="preserve"> Application at 2</w:t>
      </w:r>
      <w:r w:rsidRPr="00806538" w:rsidR="00806538">
        <w:rPr>
          <w:sz w:val="20"/>
        </w:rPr>
        <w:t xml:space="preserve"> and n.1</w:t>
      </w:r>
      <w:r w:rsidRPr="00806538">
        <w:rPr>
          <w:sz w:val="20"/>
        </w:rPr>
        <w:t xml:space="preserve">.  AEG is a member of the Consortium of AEG and Heron Broadband I.  </w:t>
      </w:r>
      <w:r w:rsidRPr="00806538">
        <w:rPr>
          <w:i/>
          <w:iCs/>
          <w:sz w:val="20"/>
        </w:rPr>
        <w:t xml:space="preserve">Id.  See Rural Digital Opportunity Fund Phase I Auction (Auction 904) Closes; Winning Bidders Announced, </w:t>
      </w:r>
      <w:r w:rsidRPr="00806538">
        <w:rPr>
          <w:sz w:val="20"/>
        </w:rPr>
        <w:t xml:space="preserve">AU Docket No. 20-34, WC Docket No. 19-126, WC Docket No. 10-90, Public Notice, 35 FCC Rcd 13888, Attach. A (Winning Bidder Summary) (2020); </w:t>
      </w:r>
      <w:r w:rsidRPr="00806538">
        <w:rPr>
          <w:i/>
          <w:iCs/>
          <w:sz w:val="20"/>
        </w:rPr>
        <w:t>Rural Digital Opportunity Fund Support for 1,774 Winning Bids Ready to be Authorized</w:t>
      </w:r>
      <w:r w:rsidRPr="00806538">
        <w:rPr>
          <w:sz w:val="20"/>
        </w:rPr>
        <w:t xml:space="preserve">, AU Docket No. 20-34, WC Docket Nos. 19-126, 10-90, Public Notice, DA 21-1310, Attach. A (Ready to Authorize Long-Form Applicants and Winning Bids) (WCB 2021). </w:t>
      </w:r>
    </w:p>
  </w:footnote>
  <w:footnote w:id="7">
    <w:p w:rsidR="00E0490E" w:rsidRPr="00806538" w14:paraId="3DC6F98D" w14:textId="6C06DAFA">
      <w:pPr>
        <w:pStyle w:val="FootnoteText"/>
        <w:rPr>
          <w:sz w:val="20"/>
        </w:rPr>
      </w:pPr>
      <w:r w:rsidRPr="00806538">
        <w:rPr>
          <w:rStyle w:val="FootnoteReference"/>
          <w:sz w:val="20"/>
        </w:rPr>
        <w:footnoteRef/>
      </w:r>
      <w:r w:rsidRPr="00806538">
        <w:rPr>
          <w:sz w:val="20"/>
        </w:rPr>
        <w:t xml:space="preserve"> Application at 2.</w:t>
      </w:r>
    </w:p>
  </w:footnote>
  <w:footnote w:id="8">
    <w:p w:rsidR="00C540A1" w:rsidRPr="00806538" w14:paraId="7A017977" w14:textId="3A984ADB">
      <w:pPr>
        <w:pStyle w:val="FootnoteText"/>
        <w:rPr>
          <w:sz w:val="20"/>
        </w:rPr>
      </w:pPr>
      <w:r w:rsidRPr="00806538">
        <w:rPr>
          <w:rStyle w:val="FootnoteReference"/>
          <w:sz w:val="20"/>
        </w:rPr>
        <w:footnoteRef/>
      </w:r>
      <w:r w:rsidRPr="00806538">
        <w:rPr>
          <w:sz w:val="20"/>
        </w:rPr>
        <w:t xml:space="preserve"> </w:t>
      </w:r>
      <w:r w:rsidR="00806538">
        <w:rPr>
          <w:i/>
          <w:iCs/>
          <w:sz w:val="20"/>
        </w:rPr>
        <w:t>Id.</w:t>
      </w:r>
      <w:r w:rsidR="00806538">
        <w:rPr>
          <w:sz w:val="20"/>
        </w:rPr>
        <w:t xml:space="preserve"> </w:t>
      </w:r>
      <w:r w:rsidRPr="00806538">
        <w:rPr>
          <w:sz w:val="20"/>
        </w:rPr>
        <w:t>at 8.</w:t>
      </w:r>
    </w:p>
  </w:footnote>
  <w:footnote w:id="9">
    <w:p w:rsidR="00F85C74" w:rsidRPr="00806538" w14:paraId="641FFFD5" w14:textId="08097E05">
      <w:pPr>
        <w:pStyle w:val="FootnoteText"/>
        <w:rPr>
          <w:sz w:val="20"/>
        </w:rPr>
      </w:pPr>
      <w:r w:rsidRPr="00806538">
        <w:rPr>
          <w:rStyle w:val="FootnoteReference"/>
          <w:sz w:val="20"/>
        </w:rPr>
        <w:footnoteRef/>
      </w:r>
      <w:r w:rsidRPr="00806538">
        <w:rPr>
          <w:sz w:val="20"/>
        </w:rPr>
        <w:t xml:space="preserve"> </w:t>
      </w:r>
      <w:r w:rsidRPr="00806538">
        <w:rPr>
          <w:i/>
          <w:iCs/>
          <w:sz w:val="20"/>
        </w:rPr>
        <w:t>Id</w:t>
      </w:r>
      <w:r w:rsidRPr="00806538">
        <w:rPr>
          <w:sz w:val="20"/>
        </w:rPr>
        <w:t>. at 2-3.</w:t>
      </w:r>
    </w:p>
  </w:footnote>
  <w:footnote w:id="10">
    <w:p w:rsidR="00F85C74" w:rsidRPr="00806538" w14:paraId="417B446F" w14:textId="650CA500">
      <w:pPr>
        <w:pStyle w:val="FootnoteText"/>
        <w:rPr>
          <w:sz w:val="20"/>
        </w:rPr>
      </w:pPr>
      <w:r w:rsidRPr="00806538">
        <w:rPr>
          <w:rStyle w:val="FootnoteReference"/>
          <w:sz w:val="20"/>
        </w:rPr>
        <w:footnoteRef/>
      </w:r>
      <w:r w:rsidRPr="00806538">
        <w:rPr>
          <w:sz w:val="20"/>
        </w:rPr>
        <w:t xml:space="preserve"> </w:t>
      </w:r>
      <w:r w:rsidRPr="00806538">
        <w:rPr>
          <w:i/>
          <w:iCs/>
          <w:sz w:val="20"/>
        </w:rPr>
        <w:t>Id</w:t>
      </w:r>
      <w:r w:rsidRPr="00806538">
        <w:rPr>
          <w:sz w:val="20"/>
        </w:rPr>
        <w:t>. at 5-7 and Exh. A. (Pre-and Post-Transaction Ownership Charts).</w:t>
      </w:r>
    </w:p>
  </w:footnote>
  <w:footnote w:id="11">
    <w:p w:rsidR="000246D9" w:rsidRPr="00806538" w14:paraId="438DB24D" w14:textId="70E265CD">
      <w:pPr>
        <w:pStyle w:val="FootnoteText"/>
        <w:rPr>
          <w:sz w:val="20"/>
        </w:rPr>
      </w:pPr>
      <w:r w:rsidRPr="00806538">
        <w:rPr>
          <w:rStyle w:val="FootnoteReference"/>
          <w:sz w:val="20"/>
        </w:rPr>
        <w:footnoteRef/>
      </w:r>
      <w:r w:rsidRPr="00806538">
        <w:rPr>
          <w:sz w:val="20"/>
        </w:rPr>
        <w:t xml:space="preserve"> </w:t>
      </w:r>
      <w:r w:rsidRPr="00806538" w:rsidR="00F85C74">
        <w:rPr>
          <w:i/>
          <w:iCs/>
          <w:sz w:val="20"/>
        </w:rPr>
        <w:t>Id.</w:t>
      </w:r>
      <w:r w:rsidRPr="00806538">
        <w:rPr>
          <w:sz w:val="20"/>
        </w:rPr>
        <w:t xml:space="preserve"> at 7</w:t>
      </w:r>
      <w:r w:rsidRPr="00806538" w:rsidR="00D36589">
        <w:rPr>
          <w:sz w:val="20"/>
        </w:rPr>
        <w:t>; Supplement at 1-2</w:t>
      </w:r>
      <w:r w:rsidRPr="00806538">
        <w:rPr>
          <w:sz w:val="20"/>
        </w:rPr>
        <w:t>.</w:t>
      </w:r>
      <w:r w:rsidRPr="00806538" w:rsidR="00D36589">
        <w:rPr>
          <w:sz w:val="20"/>
        </w:rPr>
        <w:t xml:space="preserve">  All individual members and majority owners of the ITC Operating entities, who are identified in the Supplement, are U.S. citizens.  Supplement at 1-2</w:t>
      </w:r>
      <w:r w:rsidRPr="00806538" w:rsidR="00F85C74">
        <w:rPr>
          <w:sz w:val="20"/>
        </w:rPr>
        <w:t xml:space="preserve"> and Exh. A (Management and Ownership for AEG) and Exh. B (Senior Management Team of ITC Broadband Operating, LLC). </w:t>
      </w:r>
    </w:p>
  </w:footnote>
  <w:footnote w:id="12">
    <w:p w:rsidR="00E0490E" w:rsidRPr="00806538" w14:paraId="01DA0FA5" w14:textId="4FE6BC5D">
      <w:pPr>
        <w:pStyle w:val="FootnoteText"/>
        <w:rPr>
          <w:sz w:val="20"/>
        </w:rPr>
      </w:pPr>
      <w:r w:rsidRPr="00806538">
        <w:rPr>
          <w:rStyle w:val="FootnoteReference"/>
          <w:sz w:val="20"/>
        </w:rPr>
        <w:footnoteRef/>
      </w:r>
      <w:r w:rsidRPr="00806538">
        <w:rPr>
          <w:sz w:val="20"/>
        </w:rPr>
        <w:t xml:space="preserve"> </w:t>
      </w:r>
      <w:r w:rsidR="00D205FE">
        <w:rPr>
          <w:sz w:val="20"/>
        </w:rPr>
        <w:t>Application</w:t>
      </w:r>
      <w:r w:rsidRPr="00806538">
        <w:rPr>
          <w:sz w:val="20"/>
        </w:rPr>
        <w:t xml:space="preserve"> at 3.</w:t>
      </w:r>
    </w:p>
  </w:footnote>
  <w:footnote w:id="13">
    <w:p w:rsidR="00AC2031" w:rsidRPr="00806538" w14:paraId="2622E3A6" w14:textId="42189460">
      <w:pPr>
        <w:pStyle w:val="FootnoteText"/>
        <w:rPr>
          <w:sz w:val="20"/>
        </w:rPr>
      </w:pPr>
      <w:r w:rsidRPr="00806538">
        <w:rPr>
          <w:rStyle w:val="FootnoteReference"/>
          <w:sz w:val="20"/>
        </w:rPr>
        <w:footnoteRef/>
      </w:r>
      <w:r w:rsidRPr="00806538">
        <w:rPr>
          <w:sz w:val="20"/>
        </w:rPr>
        <w:t xml:space="preserve"> </w:t>
      </w:r>
      <w:r w:rsidR="00806538">
        <w:rPr>
          <w:i/>
          <w:iCs/>
          <w:sz w:val="20"/>
        </w:rPr>
        <w:t>Id</w:t>
      </w:r>
      <w:r w:rsidR="00806538">
        <w:rPr>
          <w:sz w:val="20"/>
        </w:rPr>
        <w:t>.</w:t>
      </w:r>
      <w:r w:rsidRPr="00806538">
        <w:rPr>
          <w:sz w:val="20"/>
        </w:rPr>
        <w:t xml:space="preserve">   </w:t>
      </w:r>
    </w:p>
  </w:footnote>
  <w:footnote w:id="14">
    <w:p w:rsidR="00361DF1" w:rsidRPr="00806538" w14:paraId="34B19AEC" w14:textId="75905AFC">
      <w:pPr>
        <w:pStyle w:val="FootnoteText"/>
        <w:rPr>
          <w:sz w:val="20"/>
        </w:rPr>
      </w:pPr>
      <w:r w:rsidRPr="00806538">
        <w:rPr>
          <w:rStyle w:val="FootnoteReference"/>
          <w:sz w:val="20"/>
        </w:rPr>
        <w:footnoteRef/>
      </w:r>
      <w:r w:rsidRPr="00806538" w:rsidR="00593AE6">
        <w:rPr>
          <w:sz w:val="20"/>
        </w:rPr>
        <w:t xml:space="preserve"> </w:t>
      </w:r>
      <w:r w:rsidRPr="00806538" w:rsidR="00593AE6">
        <w:rPr>
          <w:i/>
          <w:iCs/>
          <w:sz w:val="20"/>
        </w:rPr>
        <w:t>Id</w:t>
      </w:r>
      <w:r w:rsidRPr="00806538" w:rsidR="00593AE6">
        <w:rPr>
          <w:sz w:val="20"/>
        </w:rPr>
        <w:t>. at 9-11.</w:t>
      </w:r>
    </w:p>
  </w:footnote>
  <w:footnote w:id="15">
    <w:p w:rsidR="00593AE6" w:rsidRPr="00806538" w14:paraId="584D1EF0" w14:textId="3887E3F3">
      <w:pPr>
        <w:pStyle w:val="FootnoteText"/>
        <w:rPr>
          <w:sz w:val="20"/>
        </w:rPr>
      </w:pPr>
      <w:r w:rsidRPr="00806538">
        <w:rPr>
          <w:rStyle w:val="FootnoteReference"/>
          <w:sz w:val="20"/>
        </w:rPr>
        <w:footnoteRef/>
      </w:r>
      <w:r w:rsidRPr="00806538">
        <w:rPr>
          <w:sz w:val="20"/>
        </w:rPr>
        <w:t xml:space="preserve"> </w:t>
      </w:r>
      <w:r w:rsidRPr="00806538">
        <w:rPr>
          <w:i/>
          <w:iCs/>
          <w:sz w:val="20"/>
        </w:rPr>
        <w:t>Id.</w:t>
      </w:r>
      <w:r w:rsidRPr="00806538">
        <w:rPr>
          <w:sz w:val="20"/>
        </w:rPr>
        <w:t xml:space="preserve"> at 9.</w:t>
      </w:r>
    </w:p>
  </w:footnote>
  <w:footnote w:id="16">
    <w:p w:rsidR="00593AE6" w:rsidRPr="00806538" w14:paraId="5F3A555A" w14:textId="0C5E8BE3">
      <w:pPr>
        <w:pStyle w:val="FootnoteText"/>
        <w:rPr>
          <w:sz w:val="20"/>
        </w:rPr>
      </w:pPr>
      <w:r w:rsidRPr="00806538">
        <w:rPr>
          <w:rStyle w:val="FootnoteReference"/>
          <w:sz w:val="20"/>
        </w:rPr>
        <w:footnoteRef/>
      </w:r>
      <w:r w:rsidRPr="00806538">
        <w:rPr>
          <w:sz w:val="20"/>
        </w:rPr>
        <w:t xml:space="preserve"> </w:t>
      </w:r>
      <w:r w:rsidRPr="00806538">
        <w:rPr>
          <w:i/>
          <w:iCs/>
          <w:sz w:val="20"/>
        </w:rPr>
        <w:t>Id</w:t>
      </w:r>
      <w:r w:rsidRPr="00806538">
        <w:rPr>
          <w:sz w:val="20"/>
        </w:rPr>
        <w:t>.</w:t>
      </w:r>
      <w:r w:rsidRPr="00806538" w:rsidR="00E85C8F">
        <w:rPr>
          <w:sz w:val="20"/>
        </w:rPr>
        <w:t xml:space="preserve"> </w:t>
      </w:r>
      <w:r w:rsidRPr="00806538" w:rsidR="00D36589">
        <w:rPr>
          <w:sz w:val="20"/>
        </w:rPr>
        <w:t xml:space="preserve"> </w:t>
      </w:r>
    </w:p>
  </w:footnote>
  <w:footnote w:id="17">
    <w:p w:rsidR="00593AE6" w:rsidRPr="00F85C74" w14:paraId="62B2DAB6" w14:textId="3EDA0B6E">
      <w:pPr>
        <w:pStyle w:val="FootnoteText"/>
        <w:rPr>
          <w:sz w:val="20"/>
        </w:rPr>
      </w:pPr>
      <w:r w:rsidRPr="00F85C74">
        <w:rPr>
          <w:rStyle w:val="FootnoteReference"/>
          <w:sz w:val="20"/>
        </w:rPr>
        <w:footnoteRef/>
      </w:r>
      <w:r w:rsidRPr="00F85C74">
        <w:rPr>
          <w:sz w:val="20"/>
        </w:rPr>
        <w:t xml:space="preserve"> Supplement at 2; Application at 10.</w:t>
      </w:r>
    </w:p>
  </w:footnote>
  <w:footnote w:id="18">
    <w:p w:rsidR="00D36589" w:rsidRPr="00F85C74" w14:paraId="6A51B810" w14:textId="5EE05BDA">
      <w:pPr>
        <w:pStyle w:val="FootnoteText"/>
        <w:rPr>
          <w:sz w:val="20"/>
        </w:rPr>
      </w:pPr>
      <w:r w:rsidRPr="00F85C74">
        <w:rPr>
          <w:rStyle w:val="FootnoteReference"/>
          <w:sz w:val="20"/>
        </w:rPr>
        <w:footnoteRef/>
      </w:r>
      <w:r w:rsidRPr="00F85C74">
        <w:rPr>
          <w:sz w:val="20"/>
        </w:rPr>
        <w:t xml:space="preserve"> Application at 3, 11.</w:t>
      </w:r>
    </w:p>
  </w:footnote>
  <w:footnote w:id="19">
    <w:p w:rsidR="00361DF1" w:rsidRPr="00CB0C66" w:rsidP="005C680F" w14:paraId="28FE9F4A" w14:textId="77777777">
      <w:pPr>
        <w:pStyle w:val="FootnoteText"/>
        <w:rPr>
          <w:sz w:val="20"/>
        </w:rPr>
      </w:pPr>
      <w:r w:rsidRPr="00CB0C66">
        <w:rPr>
          <w:rStyle w:val="FootnoteReference"/>
          <w:sz w:val="20"/>
        </w:rPr>
        <w:footnoteRef/>
      </w:r>
      <w:r w:rsidRPr="00CB0C66">
        <w:rPr>
          <w:sz w:val="20"/>
        </w:rPr>
        <w:t xml:space="preserve"> 47 CFR § 63.03(c)(1)(v).</w:t>
      </w:r>
    </w:p>
  </w:footnote>
  <w:footnote w:id="20">
    <w:p w:rsidR="00361DF1" w:rsidRPr="00CB0C66" w:rsidP="00F13E8E" w14:paraId="4B31A689" w14:textId="77777777">
      <w:pPr>
        <w:pStyle w:val="FootnoteText"/>
        <w:spacing w:after="120"/>
        <w:rPr>
          <w:sz w:val="20"/>
        </w:rPr>
      </w:pPr>
      <w:r w:rsidRPr="00CB0C66">
        <w:rPr>
          <w:rStyle w:val="FootnoteReference"/>
          <w:sz w:val="20"/>
        </w:rPr>
        <w:footnoteRef/>
      </w:r>
      <w:r w:rsidRPr="00CB0C66">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CB0C66">
        <w:rPr>
          <w:i/>
          <w:iCs/>
          <w:sz w:val="20"/>
        </w:rPr>
        <w:t>See FCC Announces Closure of FCC Headquarters Open Window and Change in Hand-Delivery Policy</w:t>
      </w:r>
      <w:r w:rsidRPr="00CB0C66">
        <w:rPr>
          <w:sz w:val="20"/>
        </w:rPr>
        <w:t xml:space="preserve">, Public Notice, 35 FCC Rcd 2788 (Mar. 19, 2020), </w:t>
      </w:r>
      <w:hyperlink r:id="rId1" w:history="1">
        <w:r w:rsidRPr="00CB0C66">
          <w:rPr>
            <w:rStyle w:val="Hyperlink"/>
            <w:sz w:val="20"/>
          </w:rPr>
          <w:t>https://www.fcc.gov/document/fcc-closes-headquarters-open-window-and-changes-hand-delivery-policy</w:t>
        </w:r>
      </w:hyperlink>
      <w:r w:rsidRPr="00CB0C66">
        <w:rPr>
          <w:rStyle w:val="Hyperlink"/>
          <w:color w:val="auto"/>
          <w:sz w:val="20"/>
          <w:u w:val="none"/>
        </w:rPr>
        <w:t>.</w:t>
      </w:r>
    </w:p>
  </w:footnote>
  <w:footnote w:id="21">
    <w:p w:rsidR="00361DF1" w:rsidRPr="00CB0C66" w:rsidP="00F13E8E" w14:paraId="4ACEA8A4" w14:textId="77777777">
      <w:pPr>
        <w:pStyle w:val="FootnoteText"/>
        <w:tabs>
          <w:tab w:val="clear" w:pos="720"/>
        </w:tabs>
        <w:spacing w:after="120"/>
        <w:rPr>
          <w:sz w:val="20"/>
        </w:rPr>
      </w:pPr>
      <w:r w:rsidRPr="00CB0C66">
        <w:rPr>
          <w:rStyle w:val="FootnoteReference"/>
          <w:sz w:val="20"/>
        </w:rPr>
        <w:footnoteRef/>
      </w:r>
      <w:r w:rsidRPr="00CB0C66">
        <w:rPr>
          <w:sz w:val="20"/>
        </w:rPr>
        <w:t xml:space="preserve"> </w:t>
      </w:r>
      <w:r w:rsidRPr="00CB0C66">
        <w:rPr>
          <w:i/>
          <w:sz w:val="20"/>
        </w:rPr>
        <w:t>See</w:t>
      </w:r>
      <w:r w:rsidRPr="00CB0C66">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DF1" w14:paraId="1D472A79"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1025"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4"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361DF1" w14:textId="77777777">
                          <w:pPr>
                            <w:rPr>
                              <w:rFonts w:ascii="Arial" w:hAnsi="Arial"/>
                              <w:b/>
                            </w:rPr>
                          </w:pPr>
                          <w:r>
                            <w:rPr>
                              <w:rFonts w:ascii="Arial" w:hAnsi="Arial"/>
                              <w:b/>
                            </w:rPr>
                            <w:t>Federal Communications Commission</w:t>
                          </w:r>
                        </w:p>
                        <w:p w:rsidR="00361DF1" w14:textId="77777777">
                          <w:pPr>
                            <w:rPr>
                              <w:rFonts w:ascii="Arial" w:hAnsi="Arial"/>
                              <w:b/>
                            </w:rPr>
                          </w:pPr>
                          <w:r>
                            <w:rPr>
                              <w:rFonts w:ascii="Arial" w:hAnsi="Arial"/>
                              <w:b/>
                            </w:rPr>
                            <w:t>45 L St., N.E.</w:t>
                          </w:r>
                        </w:p>
                        <w:p w:rsidR="00361DF1"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244.8pt;height:50.4pt;margin-top:57.6pt;margin-left:47.6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361DF1" w14:paraId="2B922287" w14:textId="77777777">
                    <w:pPr>
                      <w:rPr>
                        <w:rFonts w:ascii="Arial" w:hAnsi="Arial"/>
                        <w:b/>
                      </w:rPr>
                    </w:pPr>
                    <w:r>
                      <w:rPr>
                        <w:rFonts w:ascii="Arial" w:hAnsi="Arial"/>
                        <w:b/>
                      </w:rPr>
                      <w:t>Federal Communications Commission</w:t>
                    </w:r>
                  </w:p>
                  <w:p w:rsidR="00361DF1" w14:paraId="204366CB" w14:textId="77777777">
                    <w:pPr>
                      <w:rPr>
                        <w:rFonts w:ascii="Arial" w:hAnsi="Arial"/>
                        <w:b/>
                      </w:rPr>
                    </w:pPr>
                    <w:r>
                      <w:rPr>
                        <w:rFonts w:ascii="Arial" w:hAnsi="Arial"/>
                        <w:b/>
                      </w:rPr>
                      <w:t>45 L St., N.E.</w:t>
                    </w:r>
                  </w:p>
                  <w:p w:rsidR="00361DF1" w14:paraId="54CB33BD" w14:textId="77777777">
                    <w:pPr>
                      <w:rPr>
                        <w:rFonts w:ascii="Arial" w:hAnsi="Arial"/>
                        <w:sz w:val="24"/>
                      </w:rPr>
                    </w:pPr>
                    <w:r>
                      <w:rPr>
                        <w:rFonts w:ascii="Arial" w:hAnsi="Arial"/>
                        <w:b/>
                      </w:rPr>
                      <w:t>Washington, D.C. 20554</w:t>
                    </w:r>
                  </w:p>
                </w:txbxContent>
              </v:textbox>
            </v:shape>
          </w:pict>
        </mc:Fallback>
      </mc:AlternateContent>
    </w:r>
    <w:r w:rsidRPr="7B6157F7">
      <w:rPr>
        <w:rFonts w:ascii="News Gothic MT" w:hAnsi="News Gothic MT"/>
        <w:b/>
        <w:bCs/>
        <w:kern w:val="28"/>
        <w:sz w:val="96"/>
        <w:szCs w:val="96"/>
      </w:rPr>
      <w:t>PUBLIC NOTICE</w:t>
    </w:r>
  </w:p>
  <w:p w:rsidR="00361DF1" w14:paraId="4E3517BB" w14:textId="77777777">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12700" t="12700" r="25400" b="22860"/>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0"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4276090</wp:posOffset>
              </wp:positionH>
              <wp:positionV relativeFrom="paragraph">
                <wp:posOffset>130175</wp:posOffset>
              </wp:positionV>
              <wp:extent cx="2640965" cy="548640"/>
              <wp:effectExtent l="0" t="3810" r="4445" b="6350"/>
              <wp:wrapNone/>
              <wp:docPr id="1"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361DF1" w14:textId="77777777">
                          <w:pPr>
                            <w:spacing w:before="40"/>
                            <w:jc w:val="right"/>
                            <w:rPr>
                              <w:rFonts w:ascii="Arial" w:hAnsi="Arial"/>
                              <w:b/>
                              <w:sz w:val="16"/>
                            </w:rPr>
                          </w:pPr>
                          <w:r>
                            <w:rPr>
                              <w:rFonts w:ascii="Arial" w:hAnsi="Arial"/>
                              <w:b/>
                              <w:sz w:val="16"/>
                            </w:rPr>
                            <w:t>News Media Information 202 / 418-0500</w:t>
                          </w:r>
                        </w:p>
                        <w:p w:rsidR="00361DF1"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61DF1"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2051" type="#_x0000_t202" style="width:207.95pt;height:43.2pt;margin-top:10.25pt;margin-left:336.7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361DF1" w14:paraId="3E33201E" w14:textId="77777777">
                    <w:pPr>
                      <w:spacing w:before="40"/>
                      <w:jc w:val="right"/>
                      <w:rPr>
                        <w:rFonts w:ascii="Arial" w:hAnsi="Arial"/>
                        <w:b/>
                        <w:sz w:val="16"/>
                      </w:rPr>
                    </w:pPr>
                    <w:r>
                      <w:rPr>
                        <w:rFonts w:ascii="Arial" w:hAnsi="Arial"/>
                        <w:b/>
                        <w:sz w:val="16"/>
                      </w:rPr>
                      <w:t>News Media Information 202 / 418-0500</w:t>
                    </w:r>
                  </w:p>
                  <w:p w:rsidR="00361DF1" w14:paraId="4A63E75B"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61DF1" w14:paraId="75AF5A55" w14:textId="77777777">
                    <w:pPr>
                      <w:jc w:val="right"/>
                    </w:pPr>
                  </w:p>
                </w:txbxContent>
              </v:textbox>
            </v:shape>
          </w:pict>
        </mc:Fallback>
      </mc:AlternateContent>
    </w:r>
  </w:p>
  <w:p w:rsidR="00361DF1" w14:paraId="65DC4E7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DF1" w14:paraId="3DCE7427"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multi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multi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multilevel"/>
    <w:tmpl w:val="C03E86D2"/>
    <w:lvl w:ilvl="0">
      <w:start w:val="1"/>
      <w:numFmt w:val="bullet"/>
      <w:pStyle w:val="Bullet"/>
      <w:lvlText w:val=""/>
      <w:lvlJc w:val="left"/>
      <w:pPr>
        <w:tabs>
          <w:tab w:val="num" w:pos="2520"/>
        </w:tabs>
        <w:ind w:left="252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hybrid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FC"/>
    <w:rsid w:val="000010C1"/>
    <w:rsid w:val="00001825"/>
    <w:rsid w:val="0000298C"/>
    <w:rsid w:val="00005F75"/>
    <w:rsid w:val="000064CD"/>
    <w:rsid w:val="00007846"/>
    <w:rsid w:val="00007FDC"/>
    <w:rsid w:val="0001023F"/>
    <w:rsid w:val="0001135F"/>
    <w:rsid w:val="0001280D"/>
    <w:rsid w:val="00017A3A"/>
    <w:rsid w:val="000238EB"/>
    <w:rsid w:val="000246D9"/>
    <w:rsid w:val="0002470A"/>
    <w:rsid w:val="00031596"/>
    <w:rsid w:val="00031841"/>
    <w:rsid w:val="00035F32"/>
    <w:rsid w:val="00040610"/>
    <w:rsid w:val="00040BA0"/>
    <w:rsid w:val="00040DAF"/>
    <w:rsid w:val="00041C01"/>
    <w:rsid w:val="00042890"/>
    <w:rsid w:val="000439B6"/>
    <w:rsid w:val="00051E2C"/>
    <w:rsid w:val="000534AC"/>
    <w:rsid w:val="00055109"/>
    <w:rsid w:val="00057E12"/>
    <w:rsid w:val="000629CF"/>
    <w:rsid w:val="00062F7C"/>
    <w:rsid w:val="000656F9"/>
    <w:rsid w:val="00066D12"/>
    <w:rsid w:val="000735C8"/>
    <w:rsid w:val="000747F3"/>
    <w:rsid w:val="0007483B"/>
    <w:rsid w:val="000768B9"/>
    <w:rsid w:val="00080D7C"/>
    <w:rsid w:val="0008381D"/>
    <w:rsid w:val="00087205"/>
    <w:rsid w:val="00095E72"/>
    <w:rsid w:val="000A3BF0"/>
    <w:rsid w:val="000B069D"/>
    <w:rsid w:val="000B4EDD"/>
    <w:rsid w:val="000B7587"/>
    <w:rsid w:val="000B7644"/>
    <w:rsid w:val="000C28FC"/>
    <w:rsid w:val="000D04B7"/>
    <w:rsid w:val="000D0D16"/>
    <w:rsid w:val="000D6AA4"/>
    <w:rsid w:val="000E3E17"/>
    <w:rsid w:val="000E42F9"/>
    <w:rsid w:val="000E5147"/>
    <w:rsid w:val="000E5E4D"/>
    <w:rsid w:val="000E74F9"/>
    <w:rsid w:val="000F02F7"/>
    <w:rsid w:val="000F034F"/>
    <w:rsid w:val="000F33A7"/>
    <w:rsid w:val="00100310"/>
    <w:rsid w:val="00101D0B"/>
    <w:rsid w:val="001032DD"/>
    <w:rsid w:val="0010521A"/>
    <w:rsid w:val="0011161C"/>
    <w:rsid w:val="0011192C"/>
    <w:rsid w:val="0011311D"/>
    <w:rsid w:val="001150BA"/>
    <w:rsid w:val="00123D1D"/>
    <w:rsid w:val="001264E8"/>
    <w:rsid w:val="00126638"/>
    <w:rsid w:val="0013405D"/>
    <w:rsid w:val="00140814"/>
    <w:rsid w:val="00141388"/>
    <w:rsid w:val="00143484"/>
    <w:rsid w:val="00145BBB"/>
    <w:rsid w:val="001470F0"/>
    <w:rsid w:val="001516AE"/>
    <w:rsid w:val="0015217F"/>
    <w:rsid w:val="00157DBA"/>
    <w:rsid w:val="00157E29"/>
    <w:rsid w:val="0016562C"/>
    <w:rsid w:val="00171000"/>
    <w:rsid w:val="00176A08"/>
    <w:rsid w:val="001827FB"/>
    <w:rsid w:val="00187617"/>
    <w:rsid w:val="001907CA"/>
    <w:rsid w:val="00194E1E"/>
    <w:rsid w:val="001A00A7"/>
    <w:rsid w:val="001A3813"/>
    <w:rsid w:val="001A4CCE"/>
    <w:rsid w:val="001A5568"/>
    <w:rsid w:val="001B15FB"/>
    <w:rsid w:val="001B4C2F"/>
    <w:rsid w:val="001B69F9"/>
    <w:rsid w:val="001C3C98"/>
    <w:rsid w:val="001D19A0"/>
    <w:rsid w:val="001E382D"/>
    <w:rsid w:val="001E659B"/>
    <w:rsid w:val="001F28BA"/>
    <w:rsid w:val="001F365F"/>
    <w:rsid w:val="001F4ED3"/>
    <w:rsid w:val="001F5138"/>
    <w:rsid w:val="001F6762"/>
    <w:rsid w:val="00201FB5"/>
    <w:rsid w:val="0021524B"/>
    <w:rsid w:val="0021680F"/>
    <w:rsid w:val="00216E9B"/>
    <w:rsid w:val="002206A1"/>
    <w:rsid w:val="00220B67"/>
    <w:rsid w:val="002217F0"/>
    <w:rsid w:val="00221CCF"/>
    <w:rsid w:val="0022449B"/>
    <w:rsid w:val="00225F62"/>
    <w:rsid w:val="0022664E"/>
    <w:rsid w:val="00233EA3"/>
    <w:rsid w:val="002341CC"/>
    <w:rsid w:val="00234E4F"/>
    <w:rsid w:val="00240B1E"/>
    <w:rsid w:val="002448F4"/>
    <w:rsid w:val="00245417"/>
    <w:rsid w:val="0024606D"/>
    <w:rsid w:val="00247623"/>
    <w:rsid w:val="00252880"/>
    <w:rsid w:val="0025317E"/>
    <w:rsid w:val="00253247"/>
    <w:rsid w:val="0025743F"/>
    <w:rsid w:val="00262E65"/>
    <w:rsid w:val="002648C6"/>
    <w:rsid w:val="00275EE0"/>
    <w:rsid w:val="00280802"/>
    <w:rsid w:val="0028149F"/>
    <w:rsid w:val="002816BF"/>
    <w:rsid w:val="0028555C"/>
    <w:rsid w:val="002906ED"/>
    <w:rsid w:val="00291913"/>
    <w:rsid w:val="00292C84"/>
    <w:rsid w:val="002A1D13"/>
    <w:rsid w:val="002A5A6E"/>
    <w:rsid w:val="002B16FA"/>
    <w:rsid w:val="002B1A33"/>
    <w:rsid w:val="002B1AFB"/>
    <w:rsid w:val="002B3EB7"/>
    <w:rsid w:val="002B4971"/>
    <w:rsid w:val="002C1DC1"/>
    <w:rsid w:val="002C203E"/>
    <w:rsid w:val="002C22F3"/>
    <w:rsid w:val="002C27F4"/>
    <w:rsid w:val="002C3ADF"/>
    <w:rsid w:val="002D09E2"/>
    <w:rsid w:val="002D1B19"/>
    <w:rsid w:val="002D2251"/>
    <w:rsid w:val="002D430D"/>
    <w:rsid w:val="002D4FF9"/>
    <w:rsid w:val="002D5247"/>
    <w:rsid w:val="002D61F8"/>
    <w:rsid w:val="002D65CC"/>
    <w:rsid w:val="002D6F61"/>
    <w:rsid w:val="002E053A"/>
    <w:rsid w:val="002E1E27"/>
    <w:rsid w:val="002F2F2D"/>
    <w:rsid w:val="002F346D"/>
    <w:rsid w:val="00302C56"/>
    <w:rsid w:val="00303877"/>
    <w:rsid w:val="00306670"/>
    <w:rsid w:val="0031156F"/>
    <w:rsid w:val="00313546"/>
    <w:rsid w:val="00313924"/>
    <w:rsid w:val="00314891"/>
    <w:rsid w:val="0031554B"/>
    <w:rsid w:val="0031559D"/>
    <w:rsid w:val="00315D50"/>
    <w:rsid w:val="00315FCD"/>
    <w:rsid w:val="0031636F"/>
    <w:rsid w:val="00316395"/>
    <w:rsid w:val="00317A70"/>
    <w:rsid w:val="00321A17"/>
    <w:rsid w:val="00323153"/>
    <w:rsid w:val="0032625B"/>
    <w:rsid w:val="00332884"/>
    <w:rsid w:val="00335EC2"/>
    <w:rsid w:val="00340D4E"/>
    <w:rsid w:val="00341BC2"/>
    <w:rsid w:val="00350329"/>
    <w:rsid w:val="00353CB5"/>
    <w:rsid w:val="00361DF1"/>
    <w:rsid w:val="003632CF"/>
    <w:rsid w:val="00363960"/>
    <w:rsid w:val="00365194"/>
    <w:rsid w:val="00367E50"/>
    <w:rsid w:val="00372CA2"/>
    <w:rsid w:val="00376094"/>
    <w:rsid w:val="003855A0"/>
    <w:rsid w:val="003856EC"/>
    <w:rsid w:val="00385FF3"/>
    <w:rsid w:val="0038632F"/>
    <w:rsid w:val="003879D0"/>
    <w:rsid w:val="00387BBE"/>
    <w:rsid w:val="00395A7A"/>
    <w:rsid w:val="003A18A0"/>
    <w:rsid w:val="003A32D5"/>
    <w:rsid w:val="003A580D"/>
    <w:rsid w:val="003B1DA0"/>
    <w:rsid w:val="003B43C3"/>
    <w:rsid w:val="003B547B"/>
    <w:rsid w:val="003B5CEE"/>
    <w:rsid w:val="003C6C90"/>
    <w:rsid w:val="003D0F8F"/>
    <w:rsid w:val="003D27C1"/>
    <w:rsid w:val="003D410C"/>
    <w:rsid w:val="003D43D6"/>
    <w:rsid w:val="003D732C"/>
    <w:rsid w:val="003E00F5"/>
    <w:rsid w:val="003E40DA"/>
    <w:rsid w:val="003E5491"/>
    <w:rsid w:val="003E58EC"/>
    <w:rsid w:val="003E6571"/>
    <w:rsid w:val="003F01B8"/>
    <w:rsid w:val="003F0BDB"/>
    <w:rsid w:val="003F0ECD"/>
    <w:rsid w:val="003F1004"/>
    <w:rsid w:val="003F1D04"/>
    <w:rsid w:val="003F41B0"/>
    <w:rsid w:val="003F45E5"/>
    <w:rsid w:val="003F7A3F"/>
    <w:rsid w:val="00400AB9"/>
    <w:rsid w:val="0040580F"/>
    <w:rsid w:val="00405815"/>
    <w:rsid w:val="00406679"/>
    <w:rsid w:val="004077D0"/>
    <w:rsid w:val="00415528"/>
    <w:rsid w:val="004174B5"/>
    <w:rsid w:val="00427277"/>
    <w:rsid w:val="00427654"/>
    <w:rsid w:val="004331D7"/>
    <w:rsid w:val="00433D8C"/>
    <w:rsid w:val="00434C96"/>
    <w:rsid w:val="004359CE"/>
    <w:rsid w:val="00445CF7"/>
    <w:rsid w:val="0044608C"/>
    <w:rsid w:val="00451193"/>
    <w:rsid w:val="004547DB"/>
    <w:rsid w:val="004571F4"/>
    <w:rsid w:val="0046036F"/>
    <w:rsid w:val="00460544"/>
    <w:rsid w:val="00460914"/>
    <w:rsid w:val="004609A4"/>
    <w:rsid w:val="00460BDC"/>
    <w:rsid w:val="00461479"/>
    <w:rsid w:val="00464E8A"/>
    <w:rsid w:val="004670AE"/>
    <w:rsid w:val="00467976"/>
    <w:rsid w:val="00467CD6"/>
    <w:rsid w:val="00476B50"/>
    <w:rsid w:val="00477D20"/>
    <w:rsid w:val="004808FC"/>
    <w:rsid w:val="00480E51"/>
    <w:rsid w:val="00482EB0"/>
    <w:rsid w:val="004842E4"/>
    <w:rsid w:val="0048538B"/>
    <w:rsid w:val="00485D4A"/>
    <w:rsid w:val="00485DD1"/>
    <w:rsid w:val="00490F2D"/>
    <w:rsid w:val="004913A0"/>
    <w:rsid w:val="004913FF"/>
    <w:rsid w:val="004921C9"/>
    <w:rsid w:val="00492290"/>
    <w:rsid w:val="004951AE"/>
    <w:rsid w:val="004A2872"/>
    <w:rsid w:val="004A684C"/>
    <w:rsid w:val="004A7EFC"/>
    <w:rsid w:val="004B0C9D"/>
    <w:rsid w:val="004B1D86"/>
    <w:rsid w:val="004B3EAE"/>
    <w:rsid w:val="004B7520"/>
    <w:rsid w:val="004B78B9"/>
    <w:rsid w:val="004C219F"/>
    <w:rsid w:val="004C22B8"/>
    <w:rsid w:val="004C3DB0"/>
    <w:rsid w:val="004C712F"/>
    <w:rsid w:val="004C73D8"/>
    <w:rsid w:val="004D5A7C"/>
    <w:rsid w:val="004D7912"/>
    <w:rsid w:val="004E0D15"/>
    <w:rsid w:val="004E0DEC"/>
    <w:rsid w:val="004E4681"/>
    <w:rsid w:val="004E49E1"/>
    <w:rsid w:val="004E5A60"/>
    <w:rsid w:val="004F298D"/>
    <w:rsid w:val="004F336F"/>
    <w:rsid w:val="004F3603"/>
    <w:rsid w:val="004F3CEC"/>
    <w:rsid w:val="004F4639"/>
    <w:rsid w:val="004F6F64"/>
    <w:rsid w:val="00501D17"/>
    <w:rsid w:val="0051471D"/>
    <w:rsid w:val="00515979"/>
    <w:rsid w:val="0051626B"/>
    <w:rsid w:val="0052588A"/>
    <w:rsid w:val="00525F17"/>
    <w:rsid w:val="0052638E"/>
    <w:rsid w:val="005273AB"/>
    <w:rsid w:val="0053007F"/>
    <w:rsid w:val="005320B5"/>
    <w:rsid w:val="00533E67"/>
    <w:rsid w:val="0053439A"/>
    <w:rsid w:val="00536ED2"/>
    <w:rsid w:val="00537D6B"/>
    <w:rsid w:val="00541FF2"/>
    <w:rsid w:val="005524B5"/>
    <w:rsid w:val="0056058F"/>
    <w:rsid w:val="00560D99"/>
    <w:rsid w:val="00560E2D"/>
    <w:rsid w:val="00562E0E"/>
    <w:rsid w:val="0056696A"/>
    <w:rsid w:val="00566B47"/>
    <w:rsid w:val="0057191D"/>
    <w:rsid w:val="0057323B"/>
    <w:rsid w:val="00573808"/>
    <w:rsid w:val="00574EF6"/>
    <w:rsid w:val="00576677"/>
    <w:rsid w:val="00580359"/>
    <w:rsid w:val="00581220"/>
    <w:rsid w:val="005816AC"/>
    <w:rsid w:val="00581792"/>
    <w:rsid w:val="00582DE1"/>
    <w:rsid w:val="005836FB"/>
    <w:rsid w:val="00585361"/>
    <w:rsid w:val="00586E49"/>
    <w:rsid w:val="005875F9"/>
    <w:rsid w:val="005932BA"/>
    <w:rsid w:val="00593AE6"/>
    <w:rsid w:val="00596D5C"/>
    <w:rsid w:val="005A13D0"/>
    <w:rsid w:val="005A64A7"/>
    <w:rsid w:val="005B2105"/>
    <w:rsid w:val="005B4E08"/>
    <w:rsid w:val="005B57F1"/>
    <w:rsid w:val="005B6764"/>
    <w:rsid w:val="005B758D"/>
    <w:rsid w:val="005C027E"/>
    <w:rsid w:val="005C403A"/>
    <w:rsid w:val="005C5165"/>
    <w:rsid w:val="005C680F"/>
    <w:rsid w:val="005C740F"/>
    <w:rsid w:val="005D1134"/>
    <w:rsid w:val="005D6D5C"/>
    <w:rsid w:val="005E1380"/>
    <w:rsid w:val="005E370E"/>
    <w:rsid w:val="005E5E11"/>
    <w:rsid w:val="005F73CF"/>
    <w:rsid w:val="0060105E"/>
    <w:rsid w:val="0060106A"/>
    <w:rsid w:val="00601C1E"/>
    <w:rsid w:val="00603E2B"/>
    <w:rsid w:val="00604A3C"/>
    <w:rsid w:val="00604CFF"/>
    <w:rsid w:val="00607672"/>
    <w:rsid w:val="006079F6"/>
    <w:rsid w:val="0061137C"/>
    <w:rsid w:val="00613D42"/>
    <w:rsid w:val="006144A3"/>
    <w:rsid w:val="00616221"/>
    <w:rsid w:val="00616638"/>
    <w:rsid w:val="00617185"/>
    <w:rsid w:val="00623FAB"/>
    <w:rsid w:val="006342D4"/>
    <w:rsid w:val="00641B06"/>
    <w:rsid w:val="00641B1C"/>
    <w:rsid w:val="006435A5"/>
    <w:rsid w:val="0064419D"/>
    <w:rsid w:val="00650AA4"/>
    <w:rsid w:val="00652163"/>
    <w:rsid w:val="00652A5F"/>
    <w:rsid w:val="00653610"/>
    <w:rsid w:val="00654447"/>
    <w:rsid w:val="00656777"/>
    <w:rsid w:val="0065693D"/>
    <w:rsid w:val="00663975"/>
    <w:rsid w:val="00670CC1"/>
    <w:rsid w:val="006768CC"/>
    <w:rsid w:val="00680D6E"/>
    <w:rsid w:val="0068188D"/>
    <w:rsid w:val="006823D9"/>
    <w:rsid w:val="00683A96"/>
    <w:rsid w:val="00687959"/>
    <w:rsid w:val="00690EA9"/>
    <w:rsid w:val="00691832"/>
    <w:rsid w:val="00697359"/>
    <w:rsid w:val="006A201E"/>
    <w:rsid w:val="006A7126"/>
    <w:rsid w:val="006B3211"/>
    <w:rsid w:val="006B36F1"/>
    <w:rsid w:val="006B470C"/>
    <w:rsid w:val="006B5C06"/>
    <w:rsid w:val="006B6AC8"/>
    <w:rsid w:val="006B7F06"/>
    <w:rsid w:val="006C30AB"/>
    <w:rsid w:val="006C32C8"/>
    <w:rsid w:val="006C591C"/>
    <w:rsid w:val="006C6494"/>
    <w:rsid w:val="006C781A"/>
    <w:rsid w:val="006D1302"/>
    <w:rsid w:val="006D31FF"/>
    <w:rsid w:val="006D6C82"/>
    <w:rsid w:val="006E0531"/>
    <w:rsid w:val="006E3E11"/>
    <w:rsid w:val="006E61ED"/>
    <w:rsid w:val="006E7452"/>
    <w:rsid w:val="006F2832"/>
    <w:rsid w:val="006F2F1F"/>
    <w:rsid w:val="006F3441"/>
    <w:rsid w:val="006F44AB"/>
    <w:rsid w:val="006F4D60"/>
    <w:rsid w:val="006F586C"/>
    <w:rsid w:val="00701394"/>
    <w:rsid w:val="007067E2"/>
    <w:rsid w:val="00706D49"/>
    <w:rsid w:val="00706EBF"/>
    <w:rsid w:val="0071041E"/>
    <w:rsid w:val="00711C81"/>
    <w:rsid w:val="007124C8"/>
    <w:rsid w:val="00712888"/>
    <w:rsid w:val="007150A2"/>
    <w:rsid w:val="00720864"/>
    <w:rsid w:val="00721AA9"/>
    <w:rsid w:val="007220E7"/>
    <w:rsid w:val="00724176"/>
    <w:rsid w:val="00724722"/>
    <w:rsid w:val="00732C3A"/>
    <w:rsid w:val="00732F41"/>
    <w:rsid w:val="00733B9B"/>
    <w:rsid w:val="007361D6"/>
    <w:rsid w:val="00740AD9"/>
    <w:rsid w:val="00744C57"/>
    <w:rsid w:val="00746759"/>
    <w:rsid w:val="00747FB8"/>
    <w:rsid w:val="00750B9D"/>
    <w:rsid w:val="0075291B"/>
    <w:rsid w:val="00753F3C"/>
    <w:rsid w:val="00754895"/>
    <w:rsid w:val="007569C5"/>
    <w:rsid w:val="007572E5"/>
    <w:rsid w:val="0075743F"/>
    <w:rsid w:val="00760269"/>
    <w:rsid w:val="00760571"/>
    <w:rsid w:val="00762D92"/>
    <w:rsid w:val="007631B9"/>
    <w:rsid w:val="00766672"/>
    <w:rsid w:val="007679F3"/>
    <w:rsid w:val="00771214"/>
    <w:rsid w:val="00772125"/>
    <w:rsid w:val="007744AF"/>
    <w:rsid w:val="00775CD4"/>
    <w:rsid w:val="0078057D"/>
    <w:rsid w:val="00780F55"/>
    <w:rsid w:val="0079265D"/>
    <w:rsid w:val="00795DF8"/>
    <w:rsid w:val="00796E19"/>
    <w:rsid w:val="007A426E"/>
    <w:rsid w:val="007A5130"/>
    <w:rsid w:val="007B0DBD"/>
    <w:rsid w:val="007B0FA7"/>
    <w:rsid w:val="007B1EAE"/>
    <w:rsid w:val="007B2EA3"/>
    <w:rsid w:val="007B3126"/>
    <w:rsid w:val="007B4D1E"/>
    <w:rsid w:val="007B7204"/>
    <w:rsid w:val="007C263F"/>
    <w:rsid w:val="007C2F86"/>
    <w:rsid w:val="007C3551"/>
    <w:rsid w:val="007C3B1B"/>
    <w:rsid w:val="007C4108"/>
    <w:rsid w:val="007C7F64"/>
    <w:rsid w:val="007D5FA2"/>
    <w:rsid w:val="007D6881"/>
    <w:rsid w:val="007E03E5"/>
    <w:rsid w:val="007E2441"/>
    <w:rsid w:val="007E5DAA"/>
    <w:rsid w:val="007F327F"/>
    <w:rsid w:val="007F3C7A"/>
    <w:rsid w:val="007F63BD"/>
    <w:rsid w:val="007F7EE5"/>
    <w:rsid w:val="007F7FCD"/>
    <w:rsid w:val="008036BB"/>
    <w:rsid w:val="00806538"/>
    <w:rsid w:val="0080674A"/>
    <w:rsid w:val="00811A2F"/>
    <w:rsid w:val="00812369"/>
    <w:rsid w:val="00813C6D"/>
    <w:rsid w:val="00816285"/>
    <w:rsid w:val="00821491"/>
    <w:rsid w:val="00823044"/>
    <w:rsid w:val="008239CE"/>
    <w:rsid w:val="00824E65"/>
    <w:rsid w:val="008272A8"/>
    <w:rsid w:val="00830743"/>
    <w:rsid w:val="008325EE"/>
    <w:rsid w:val="008344FD"/>
    <w:rsid w:val="008446BC"/>
    <w:rsid w:val="0084778A"/>
    <w:rsid w:val="0085137C"/>
    <w:rsid w:val="00853114"/>
    <w:rsid w:val="0085536D"/>
    <w:rsid w:val="0085579D"/>
    <w:rsid w:val="00856944"/>
    <w:rsid w:val="00860F11"/>
    <w:rsid w:val="00864A89"/>
    <w:rsid w:val="0086688B"/>
    <w:rsid w:val="0086691C"/>
    <w:rsid w:val="008675C7"/>
    <w:rsid w:val="00872454"/>
    <w:rsid w:val="0087554B"/>
    <w:rsid w:val="00876514"/>
    <w:rsid w:val="0087685F"/>
    <w:rsid w:val="00876E9B"/>
    <w:rsid w:val="00877D35"/>
    <w:rsid w:val="00890541"/>
    <w:rsid w:val="00896EDF"/>
    <w:rsid w:val="00897F74"/>
    <w:rsid w:val="008A2EA4"/>
    <w:rsid w:val="008A3786"/>
    <w:rsid w:val="008A5E3E"/>
    <w:rsid w:val="008B02C0"/>
    <w:rsid w:val="008B241F"/>
    <w:rsid w:val="008B4FC7"/>
    <w:rsid w:val="008C0A81"/>
    <w:rsid w:val="008C294A"/>
    <w:rsid w:val="008C564D"/>
    <w:rsid w:val="008C6F8E"/>
    <w:rsid w:val="008D0BE6"/>
    <w:rsid w:val="008D0E14"/>
    <w:rsid w:val="008D0F9C"/>
    <w:rsid w:val="008D2804"/>
    <w:rsid w:val="008D5A69"/>
    <w:rsid w:val="008D6492"/>
    <w:rsid w:val="008D79D6"/>
    <w:rsid w:val="008E11C1"/>
    <w:rsid w:val="008E1CB4"/>
    <w:rsid w:val="008E27B4"/>
    <w:rsid w:val="008E282A"/>
    <w:rsid w:val="008E416A"/>
    <w:rsid w:val="008F6981"/>
    <w:rsid w:val="00902B5D"/>
    <w:rsid w:val="00903154"/>
    <w:rsid w:val="00903DE0"/>
    <w:rsid w:val="009047BC"/>
    <w:rsid w:val="00904B70"/>
    <w:rsid w:val="0090751E"/>
    <w:rsid w:val="009075DA"/>
    <w:rsid w:val="00910140"/>
    <w:rsid w:val="009101A4"/>
    <w:rsid w:val="00910B40"/>
    <w:rsid w:val="0091242B"/>
    <w:rsid w:val="009129F7"/>
    <w:rsid w:val="00913852"/>
    <w:rsid w:val="00913DB8"/>
    <w:rsid w:val="00916D50"/>
    <w:rsid w:val="009211C4"/>
    <w:rsid w:val="009236BF"/>
    <w:rsid w:val="00925F38"/>
    <w:rsid w:val="00931D26"/>
    <w:rsid w:val="00935846"/>
    <w:rsid w:val="009362B8"/>
    <w:rsid w:val="009375A4"/>
    <w:rsid w:val="00937CB0"/>
    <w:rsid w:val="00950639"/>
    <w:rsid w:val="00954C80"/>
    <w:rsid w:val="009558A7"/>
    <w:rsid w:val="00962DA3"/>
    <w:rsid w:val="00962EED"/>
    <w:rsid w:val="00963954"/>
    <w:rsid w:val="0096776A"/>
    <w:rsid w:val="009703C9"/>
    <w:rsid w:val="009753C0"/>
    <w:rsid w:val="009757F3"/>
    <w:rsid w:val="00976F0F"/>
    <w:rsid w:val="0098015F"/>
    <w:rsid w:val="00986A53"/>
    <w:rsid w:val="009926EB"/>
    <w:rsid w:val="009979D8"/>
    <w:rsid w:val="009A0D7F"/>
    <w:rsid w:val="009A124E"/>
    <w:rsid w:val="009A5A7F"/>
    <w:rsid w:val="009B0128"/>
    <w:rsid w:val="009B0BDA"/>
    <w:rsid w:val="009B18C4"/>
    <w:rsid w:val="009B1CCF"/>
    <w:rsid w:val="009B6797"/>
    <w:rsid w:val="009B6AEB"/>
    <w:rsid w:val="009C3242"/>
    <w:rsid w:val="009C3EC2"/>
    <w:rsid w:val="009C4A1C"/>
    <w:rsid w:val="009C66BD"/>
    <w:rsid w:val="009D0731"/>
    <w:rsid w:val="009D1AB7"/>
    <w:rsid w:val="009D21DD"/>
    <w:rsid w:val="009D3236"/>
    <w:rsid w:val="009D34D7"/>
    <w:rsid w:val="009E1C83"/>
    <w:rsid w:val="009E2CB1"/>
    <w:rsid w:val="009F09EF"/>
    <w:rsid w:val="009F5FC4"/>
    <w:rsid w:val="009F7BAB"/>
    <w:rsid w:val="00A00CAA"/>
    <w:rsid w:val="00A05E78"/>
    <w:rsid w:val="00A06C0A"/>
    <w:rsid w:val="00A077DA"/>
    <w:rsid w:val="00A11865"/>
    <w:rsid w:val="00A15248"/>
    <w:rsid w:val="00A1544A"/>
    <w:rsid w:val="00A1692B"/>
    <w:rsid w:val="00A17F96"/>
    <w:rsid w:val="00A214C6"/>
    <w:rsid w:val="00A229F0"/>
    <w:rsid w:val="00A25AB6"/>
    <w:rsid w:val="00A25C41"/>
    <w:rsid w:val="00A267BC"/>
    <w:rsid w:val="00A3545A"/>
    <w:rsid w:val="00A36DEA"/>
    <w:rsid w:val="00A44AD0"/>
    <w:rsid w:val="00A464DC"/>
    <w:rsid w:val="00A47815"/>
    <w:rsid w:val="00A50E6F"/>
    <w:rsid w:val="00A54711"/>
    <w:rsid w:val="00A547AE"/>
    <w:rsid w:val="00A54E38"/>
    <w:rsid w:val="00A55468"/>
    <w:rsid w:val="00A55F2F"/>
    <w:rsid w:val="00A569E4"/>
    <w:rsid w:val="00A7396F"/>
    <w:rsid w:val="00A75CD7"/>
    <w:rsid w:val="00A77A3C"/>
    <w:rsid w:val="00A809DF"/>
    <w:rsid w:val="00A824AF"/>
    <w:rsid w:val="00A8273F"/>
    <w:rsid w:val="00A8336A"/>
    <w:rsid w:val="00A86A03"/>
    <w:rsid w:val="00A922FD"/>
    <w:rsid w:val="00A92C9E"/>
    <w:rsid w:val="00A9377C"/>
    <w:rsid w:val="00AA252A"/>
    <w:rsid w:val="00AA265D"/>
    <w:rsid w:val="00AA3683"/>
    <w:rsid w:val="00AA45EC"/>
    <w:rsid w:val="00AA5B82"/>
    <w:rsid w:val="00AA6AD5"/>
    <w:rsid w:val="00AA79C4"/>
    <w:rsid w:val="00AB35BE"/>
    <w:rsid w:val="00AB369C"/>
    <w:rsid w:val="00AB620D"/>
    <w:rsid w:val="00AC2031"/>
    <w:rsid w:val="00AC4CEF"/>
    <w:rsid w:val="00AC73C8"/>
    <w:rsid w:val="00AD0185"/>
    <w:rsid w:val="00AD0360"/>
    <w:rsid w:val="00AD45FC"/>
    <w:rsid w:val="00AE16BD"/>
    <w:rsid w:val="00AE4EB4"/>
    <w:rsid w:val="00AE522A"/>
    <w:rsid w:val="00AF04F4"/>
    <w:rsid w:val="00AF1A8C"/>
    <w:rsid w:val="00AF2955"/>
    <w:rsid w:val="00AF35EB"/>
    <w:rsid w:val="00AF6AD7"/>
    <w:rsid w:val="00AF7B3B"/>
    <w:rsid w:val="00B00CBF"/>
    <w:rsid w:val="00B02CE4"/>
    <w:rsid w:val="00B0316F"/>
    <w:rsid w:val="00B069AF"/>
    <w:rsid w:val="00B06CA1"/>
    <w:rsid w:val="00B07323"/>
    <w:rsid w:val="00B12C5F"/>
    <w:rsid w:val="00B166E3"/>
    <w:rsid w:val="00B22AD1"/>
    <w:rsid w:val="00B23981"/>
    <w:rsid w:val="00B24F56"/>
    <w:rsid w:val="00B25D2D"/>
    <w:rsid w:val="00B26F81"/>
    <w:rsid w:val="00B27794"/>
    <w:rsid w:val="00B27D04"/>
    <w:rsid w:val="00B30941"/>
    <w:rsid w:val="00B335D6"/>
    <w:rsid w:val="00B44E2C"/>
    <w:rsid w:val="00B5055F"/>
    <w:rsid w:val="00B52358"/>
    <w:rsid w:val="00B55216"/>
    <w:rsid w:val="00B55A93"/>
    <w:rsid w:val="00B56E1B"/>
    <w:rsid w:val="00B62EDB"/>
    <w:rsid w:val="00B6340B"/>
    <w:rsid w:val="00B63699"/>
    <w:rsid w:val="00B65FFD"/>
    <w:rsid w:val="00B713DE"/>
    <w:rsid w:val="00B72F45"/>
    <w:rsid w:val="00B73AED"/>
    <w:rsid w:val="00B7557F"/>
    <w:rsid w:val="00B80934"/>
    <w:rsid w:val="00B8520F"/>
    <w:rsid w:val="00B908C9"/>
    <w:rsid w:val="00B9333E"/>
    <w:rsid w:val="00B93BD0"/>
    <w:rsid w:val="00B949AD"/>
    <w:rsid w:val="00B958E7"/>
    <w:rsid w:val="00BA240A"/>
    <w:rsid w:val="00BA3568"/>
    <w:rsid w:val="00BA45FE"/>
    <w:rsid w:val="00BA52B0"/>
    <w:rsid w:val="00BA56E2"/>
    <w:rsid w:val="00BA7CBD"/>
    <w:rsid w:val="00BB03BE"/>
    <w:rsid w:val="00BC0F23"/>
    <w:rsid w:val="00BC7555"/>
    <w:rsid w:val="00BD0A4B"/>
    <w:rsid w:val="00BD1B88"/>
    <w:rsid w:val="00BD2520"/>
    <w:rsid w:val="00BD3278"/>
    <w:rsid w:val="00BD4B97"/>
    <w:rsid w:val="00BD4CC6"/>
    <w:rsid w:val="00BD5F83"/>
    <w:rsid w:val="00BD6631"/>
    <w:rsid w:val="00BE02A5"/>
    <w:rsid w:val="00BE1FC9"/>
    <w:rsid w:val="00BE2803"/>
    <w:rsid w:val="00BE6021"/>
    <w:rsid w:val="00BF0265"/>
    <w:rsid w:val="00BF07F1"/>
    <w:rsid w:val="00BF0B00"/>
    <w:rsid w:val="00BF291C"/>
    <w:rsid w:val="00BF49E0"/>
    <w:rsid w:val="00C03EC3"/>
    <w:rsid w:val="00C100C9"/>
    <w:rsid w:val="00C117C2"/>
    <w:rsid w:val="00C11C1B"/>
    <w:rsid w:val="00C16F28"/>
    <w:rsid w:val="00C20B0B"/>
    <w:rsid w:val="00C219A5"/>
    <w:rsid w:val="00C229D8"/>
    <w:rsid w:val="00C2428C"/>
    <w:rsid w:val="00C2502C"/>
    <w:rsid w:val="00C25666"/>
    <w:rsid w:val="00C25D26"/>
    <w:rsid w:val="00C321CC"/>
    <w:rsid w:val="00C4152D"/>
    <w:rsid w:val="00C430CD"/>
    <w:rsid w:val="00C4446E"/>
    <w:rsid w:val="00C47720"/>
    <w:rsid w:val="00C540A1"/>
    <w:rsid w:val="00C55CF3"/>
    <w:rsid w:val="00C612FD"/>
    <w:rsid w:val="00C62132"/>
    <w:rsid w:val="00C64B14"/>
    <w:rsid w:val="00C657ED"/>
    <w:rsid w:val="00C72163"/>
    <w:rsid w:val="00C749BC"/>
    <w:rsid w:val="00C75DF3"/>
    <w:rsid w:val="00C7753F"/>
    <w:rsid w:val="00C80742"/>
    <w:rsid w:val="00C82D34"/>
    <w:rsid w:val="00C869E8"/>
    <w:rsid w:val="00C86D25"/>
    <w:rsid w:val="00C9095A"/>
    <w:rsid w:val="00C9414E"/>
    <w:rsid w:val="00C950B4"/>
    <w:rsid w:val="00CB08EA"/>
    <w:rsid w:val="00CB0C66"/>
    <w:rsid w:val="00CB2908"/>
    <w:rsid w:val="00CC1A9A"/>
    <w:rsid w:val="00CC236D"/>
    <w:rsid w:val="00CC31C4"/>
    <w:rsid w:val="00CC70CB"/>
    <w:rsid w:val="00CC7E05"/>
    <w:rsid w:val="00CD3CBE"/>
    <w:rsid w:val="00CD615B"/>
    <w:rsid w:val="00CD685D"/>
    <w:rsid w:val="00CE0363"/>
    <w:rsid w:val="00CE03DE"/>
    <w:rsid w:val="00CE49B4"/>
    <w:rsid w:val="00CF101F"/>
    <w:rsid w:val="00CF1452"/>
    <w:rsid w:val="00CF2BE4"/>
    <w:rsid w:val="00CF3254"/>
    <w:rsid w:val="00CF3F2C"/>
    <w:rsid w:val="00CF41C2"/>
    <w:rsid w:val="00CF4A66"/>
    <w:rsid w:val="00CF704F"/>
    <w:rsid w:val="00CF7885"/>
    <w:rsid w:val="00D03A66"/>
    <w:rsid w:val="00D03C70"/>
    <w:rsid w:val="00D04DB0"/>
    <w:rsid w:val="00D111DF"/>
    <w:rsid w:val="00D15048"/>
    <w:rsid w:val="00D1618E"/>
    <w:rsid w:val="00D16259"/>
    <w:rsid w:val="00D17873"/>
    <w:rsid w:val="00D205FE"/>
    <w:rsid w:val="00D20874"/>
    <w:rsid w:val="00D22738"/>
    <w:rsid w:val="00D24A27"/>
    <w:rsid w:val="00D252B2"/>
    <w:rsid w:val="00D30DAA"/>
    <w:rsid w:val="00D34BF8"/>
    <w:rsid w:val="00D36589"/>
    <w:rsid w:val="00D42D5A"/>
    <w:rsid w:val="00D47918"/>
    <w:rsid w:val="00D51FA5"/>
    <w:rsid w:val="00D553EC"/>
    <w:rsid w:val="00D61B62"/>
    <w:rsid w:val="00D64788"/>
    <w:rsid w:val="00D668AD"/>
    <w:rsid w:val="00D700F0"/>
    <w:rsid w:val="00D71B3A"/>
    <w:rsid w:val="00D727A9"/>
    <w:rsid w:val="00D737DA"/>
    <w:rsid w:val="00D8288E"/>
    <w:rsid w:val="00D94FDC"/>
    <w:rsid w:val="00D96301"/>
    <w:rsid w:val="00DA1392"/>
    <w:rsid w:val="00DA19A0"/>
    <w:rsid w:val="00DA1A77"/>
    <w:rsid w:val="00DA4E06"/>
    <w:rsid w:val="00DB59FD"/>
    <w:rsid w:val="00DB6754"/>
    <w:rsid w:val="00DC4291"/>
    <w:rsid w:val="00DC5BDD"/>
    <w:rsid w:val="00DD0968"/>
    <w:rsid w:val="00DD6F2E"/>
    <w:rsid w:val="00DF0192"/>
    <w:rsid w:val="00DF02C0"/>
    <w:rsid w:val="00DF1AD9"/>
    <w:rsid w:val="00DF4031"/>
    <w:rsid w:val="00DF48D4"/>
    <w:rsid w:val="00DF4EB1"/>
    <w:rsid w:val="00DF6B3C"/>
    <w:rsid w:val="00DF72FD"/>
    <w:rsid w:val="00E0490E"/>
    <w:rsid w:val="00E06A60"/>
    <w:rsid w:val="00E0730C"/>
    <w:rsid w:val="00E11A1D"/>
    <w:rsid w:val="00E201EE"/>
    <w:rsid w:val="00E2075B"/>
    <w:rsid w:val="00E20DF3"/>
    <w:rsid w:val="00E21D8E"/>
    <w:rsid w:val="00E25CC7"/>
    <w:rsid w:val="00E30610"/>
    <w:rsid w:val="00E30A5D"/>
    <w:rsid w:val="00E31538"/>
    <w:rsid w:val="00E32AED"/>
    <w:rsid w:val="00E36A37"/>
    <w:rsid w:val="00E40C67"/>
    <w:rsid w:val="00E417E3"/>
    <w:rsid w:val="00E42717"/>
    <w:rsid w:val="00E53F87"/>
    <w:rsid w:val="00E54722"/>
    <w:rsid w:val="00E554BA"/>
    <w:rsid w:val="00E55A96"/>
    <w:rsid w:val="00E56D1E"/>
    <w:rsid w:val="00E643ED"/>
    <w:rsid w:val="00E6660F"/>
    <w:rsid w:val="00E7033D"/>
    <w:rsid w:val="00E71440"/>
    <w:rsid w:val="00E73EF8"/>
    <w:rsid w:val="00E77729"/>
    <w:rsid w:val="00E82CF0"/>
    <w:rsid w:val="00E84DF2"/>
    <w:rsid w:val="00E85C8F"/>
    <w:rsid w:val="00E87A1A"/>
    <w:rsid w:val="00E90A56"/>
    <w:rsid w:val="00E913FE"/>
    <w:rsid w:val="00E9381B"/>
    <w:rsid w:val="00EA2C38"/>
    <w:rsid w:val="00EA46C3"/>
    <w:rsid w:val="00EA5056"/>
    <w:rsid w:val="00EA5DC9"/>
    <w:rsid w:val="00EA6114"/>
    <w:rsid w:val="00EB2E3F"/>
    <w:rsid w:val="00EB4B17"/>
    <w:rsid w:val="00EB5F81"/>
    <w:rsid w:val="00EC0FDA"/>
    <w:rsid w:val="00EC10D1"/>
    <w:rsid w:val="00EC3BF9"/>
    <w:rsid w:val="00EC3CCE"/>
    <w:rsid w:val="00EC3D67"/>
    <w:rsid w:val="00EC510D"/>
    <w:rsid w:val="00EC66CA"/>
    <w:rsid w:val="00ED40B2"/>
    <w:rsid w:val="00EE1321"/>
    <w:rsid w:val="00EE37C8"/>
    <w:rsid w:val="00EE4AD8"/>
    <w:rsid w:val="00EE74B2"/>
    <w:rsid w:val="00EF1EA9"/>
    <w:rsid w:val="00EF5177"/>
    <w:rsid w:val="00F04E22"/>
    <w:rsid w:val="00F05755"/>
    <w:rsid w:val="00F111A2"/>
    <w:rsid w:val="00F13432"/>
    <w:rsid w:val="00F13E8E"/>
    <w:rsid w:val="00F21285"/>
    <w:rsid w:val="00F24030"/>
    <w:rsid w:val="00F242B0"/>
    <w:rsid w:val="00F24D54"/>
    <w:rsid w:val="00F24FEC"/>
    <w:rsid w:val="00F25C6B"/>
    <w:rsid w:val="00F26593"/>
    <w:rsid w:val="00F26F03"/>
    <w:rsid w:val="00F3092F"/>
    <w:rsid w:val="00F32016"/>
    <w:rsid w:val="00F3410B"/>
    <w:rsid w:val="00F3488D"/>
    <w:rsid w:val="00F43CCF"/>
    <w:rsid w:val="00F4490B"/>
    <w:rsid w:val="00F56EE2"/>
    <w:rsid w:val="00F56F5E"/>
    <w:rsid w:val="00F63C45"/>
    <w:rsid w:val="00F65523"/>
    <w:rsid w:val="00F6664A"/>
    <w:rsid w:val="00F67744"/>
    <w:rsid w:val="00F70158"/>
    <w:rsid w:val="00F71D80"/>
    <w:rsid w:val="00F71E6A"/>
    <w:rsid w:val="00F735B0"/>
    <w:rsid w:val="00F814E9"/>
    <w:rsid w:val="00F81C0B"/>
    <w:rsid w:val="00F85C74"/>
    <w:rsid w:val="00F871E9"/>
    <w:rsid w:val="00F91EBF"/>
    <w:rsid w:val="00F91F71"/>
    <w:rsid w:val="00F95BCF"/>
    <w:rsid w:val="00FA4A52"/>
    <w:rsid w:val="00FA546C"/>
    <w:rsid w:val="00FA7282"/>
    <w:rsid w:val="00FB729A"/>
    <w:rsid w:val="00FB7881"/>
    <w:rsid w:val="00FC3E30"/>
    <w:rsid w:val="00FC55AB"/>
    <w:rsid w:val="00FC74B1"/>
    <w:rsid w:val="00FD12A3"/>
    <w:rsid w:val="00FD2B53"/>
    <w:rsid w:val="00FD3D14"/>
    <w:rsid w:val="00FD40F2"/>
    <w:rsid w:val="00FD690A"/>
    <w:rsid w:val="00FE1E64"/>
    <w:rsid w:val="00FE6F2D"/>
    <w:rsid w:val="00FF451A"/>
    <w:rsid w:val="00FF51E5"/>
    <w:rsid w:val="7B6157F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5A3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uiPriority w:val="99"/>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C20B0B"/>
    <w:rPr>
      <w:color w:val="605E5C"/>
      <w:shd w:val="clear" w:color="auto" w:fill="E1DFDD"/>
    </w:rPr>
  </w:style>
  <w:style w:type="character" w:customStyle="1" w:styleId="UnresolvedMention12">
    <w:name w:val="Unresolved Mention12"/>
    <w:rsid w:val="000A3BF0"/>
    <w:rPr>
      <w:color w:val="605E5C"/>
      <w:shd w:val="clear" w:color="auto" w:fill="E1DFDD"/>
    </w:rPr>
  </w:style>
  <w:style w:type="character" w:customStyle="1" w:styleId="UnresolvedMention13">
    <w:name w:val="Unresolved Mention13"/>
    <w:rsid w:val="00541FF2"/>
    <w:rPr>
      <w:color w:val="605E5C"/>
      <w:shd w:val="clear" w:color="auto" w:fill="E1DFDD"/>
    </w:rPr>
  </w:style>
  <w:style w:type="character" w:customStyle="1" w:styleId="UnresolvedMention14">
    <w:name w:val="Unresolved Mention14"/>
    <w:basedOn w:val="DefaultParagraphFont"/>
    <w:rsid w:val="006B3211"/>
    <w:rPr>
      <w:color w:val="605E5C"/>
      <w:shd w:val="clear" w:color="auto" w:fill="E1DFDD"/>
    </w:rPr>
  </w:style>
  <w:style w:type="character" w:customStyle="1" w:styleId="UnresolvedMention15">
    <w:name w:val="Unresolved Mention15"/>
    <w:basedOn w:val="DefaultParagraphFont"/>
    <w:uiPriority w:val="99"/>
    <w:semiHidden/>
    <w:unhideWhenUsed/>
    <w:rsid w:val="00AB620D"/>
    <w:rPr>
      <w:color w:val="605E5C"/>
      <w:shd w:val="clear" w:color="auto" w:fill="E1DFDD"/>
    </w:rPr>
  </w:style>
  <w:style w:type="character" w:customStyle="1" w:styleId="UnresolvedMention">
    <w:name w:val="Unresolved Mention"/>
    <w:basedOn w:val="DefaultParagraphFont"/>
    <w:rsid w:val="004E4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yperlink" Target="mailto:jim.bird@fcc.gov" TargetMode="External" /><Relationship Id="rId12" Type="http://schemas.openxmlformats.org/officeDocument/2006/relationships/footer" Target="footer4.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yperlink" Target="http://apps.fcc.gov/ecfs/"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