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BC69A1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D135CB9" w14:textId="77777777">
      <w:pPr>
        <w:pStyle w:val="StyleBoldCentered"/>
      </w:pPr>
      <w:r>
        <w:t>F</w:t>
      </w:r>
      <w:r>
        <w:rPr>
          <w:caps w:val="0"/>
        </w:rPr>
        <w:t>ederal Communications Commission</w:t>
      </w:r>
    </w:p>
    <w:p w:rsidR="004C2EE3" w:rsidP="00096D8C" w14:paraId="5AD8F5AE" w14:textId="77777777">
      <w:pPr>
        <w:pStyle w:val="StyleBoldCentered"/>
      </w:pPr>
      <w:r>
        <w:rPr>
          <w:caps w:val="0"/>
        </w:rPr>
        <w:t>Washington, D.C. 20554</w:t>
      </w:r>
    </w:p>
    <w:p w:rsidR="004C2EE3" w:rsidP="0070224F" w14:paraId="5055F132" w14:textId="77777777"/>
    <w:p w:rsidR="004C2EE3" w:rsidP="0070224F" w14:paraId="0C12F4F7" w14:textId="77777777"/>
    <w:tbl>
      <w:tblPr>
        <w:tblW w:w="0" w:type="auto"/>
        <w:tblLayout w:type="fixed"/>
        <w:tblLook w:val="0000"/>
      </w:tblPr>
      <w:tblGrid>
        <w:gridCol w:w="4698"/>
        <w:gridCol w:w="630"/>
        <w:gridCol w:w="4248"/>
      </w:tblGrid>
      <w:tr w14:paraId="402546FE" w14:textId="77777777">
        <w:tblPrEx>
          <w:tblW w:w="0" w:type="auto"/>
          <w:tblLayout w:type="fixed"/>
          <w:tblLook w:val="0000"/>
        </w:tblPrEx>
        <w:tc>
          <w:tcPr>
            <w:tcW w:w="4698" w:type="dxa"/>
          </w:tcPr>
          <w:p w:rsidR="00932D0D" w:rsidRPr="00E67E71" w:rsidP="00932D0D" w14:paraId="23B71CEE" w14:textId="77777777">
            <w:pPr>
              <w:tabs>
                <w:tab w:val="center" w:pos="4680"/>
              </w:tabs>
              <w:suppressAutoHyphens/>
              <w:rPr>
                <w:spacing w:val="-2"/>
                <w:szCs w:val="22"/>
              </w:rPr>
            </w:pPr>
            <w:r w:rsidRPr="00E67E71">
              <w:rPr>
                <w:spacing w:val="-2"/>
                <w:szCs w:val="22"/>
              </w:rPr>
              <w:t>In the Matter of</w:t>
            </w:r>
          </w:p>
          <w:p w:rsidR="00932D0D" w:rsidRPr="00E67E71" w:rsidP="00932D0D" w14:paraId="42DD9C5F" w14:textId="77777777">
            <w:pPr>
              <w:tabs>
                <w:tab w:val="center" w:pos="4680"/>
              </w:tabs>
              <w:suppressAutoHyphens/>
              <w:rPr>
                <w:spacing w:val="-2"/>
                <w:szCs w:val="22"/>
              </w:rPr>
            </w:pPr>
          </w:p>
          <w:p w:rsidR="00932D0D" w:rsidRPr="00E67E71" w:rsidP="00932D0D" w14:paraId="4AC4AE0B" w14:textId="77777777">
            <w:pPr>
              <w:tabs>
                <w:tab w:val="center" w:pos="4680"/>
              </w:tabs>
              <w:suppressAutoHyphens/>
              <w:rPr>
                <w:spacing w:val="-2"/>
                <w:szCs w:val="22"/>
              </w:rPr>
            </w:pPr>
            <w:r w:rsidRPr="00E67E71">
              <w:rPr>
                <w:color w:val="000000"/>
                <w:kern w:val="1"/>
                <w:szCs w:val="22"/>
              </w:rPr>
              <w:t>Advanced Methods to Target and Eliminate Unlawful Robocalls</w:t>
            </w:r>
          </w:p>
          <w:p w:rsidR="00932D0D" w:rsidRPr="00E67E71" w:rsidP="00932D0D" w14:paraId="7655CB69" w14:textId="77777777">
            <w:pPr>
              <w:tabs>
                <w:tab w:val="center" w:pos="4680"/>
              </w:tabs>
              <w:suppressAutoHyphens/>
              <w:rPr>
                <w:spacing w:val="-2"/>
                <w:szCs w:val="22"/>
              </w:rPr>
            </w:pPr>
          </w:p>
          <w:p w:rsidR="00932D0D" w:rsidRPr="00E67E71" w:rsidP="00932D0D" w14:paraId="54697F2B" w14:textId="77777777">
            <w:pPr>
              <w:tabs>
                <w:tab w:val="center" w:pos="4680"/>
              </w:tabs>
              <w:suppressAutoHyphens/>
              <w:rPr>
                <w:spacing w:val="-2"/>
                <w:szCs w:val="22"/>
              </w:rPr>
            </w:pPr>
            <w:r w:rsidRPr="00E67E71">
              <w:rPr>
                <w:spacing w:val="-2"/>
                <w:szCs w:val="22"/>
              </w:rPr>
              <w:t>Call Authentication Trust Anchor</w:t>
            </w:r>
          </w:p>
          <w:p w:rsidR="00932D0D" w:rsidRPr="007115F7" w:rsidP="00932D0D" w14:paraId="5FC637CF" w14:textId="225B4D74">
            <w:pPr>
              <w:tabs>
                <w:tab w:val="center" w:pos="4680"/>
              </w:tabs>
              <w:suppressAutoHyphens/>
              <w:rPr>
                <w:spacing w:val="-2"/>
              </w:rPr>
            </w:pPr>
          </w:p>
        </w:tc>
        <w:tc>
          <w:tcPr>
            <w:tcW w:w="630" w:type="dxa"/>
          </w:tcPr>
          <w:p w:rsidR="00932D0D" w:rsidRPr="00E67E71" w:rsidP="00932D0D" w14:paraId="392AF2EB" w14:textId="77777777">
            <w:pPr>
              <w:tabs>
                <w:tab w:val="center" w:pos="4680"/>
              </w:tabs>
              <w:suppressAutoHyphens/>
              <w:rPr>
                <w:b/>
                <w:spacing w:val="-2"/>
                <w:szCs w:val="22"/>
              </w:rPr>
            </w:pPr>
            <w:r w:rsidRPr="00E67E71">
              <w:rPr>
                <w:b/>
                <w:spacing w:val="-2"/>
                <w:szCs w:val="22"/>
              </w:rPr>
              <w:t>)</w:t>
            </w:r>
          </w:p>
          <w:p w:rsidR="00932D0D" w:rsidRPr="00E67E71" w:rsidP="00932D0D" w14:paraId="3FB5FA9C" w14:textId="77777777">
            <w:pPr>
              <w:tabs>
                <w:tab w:val="center" w:pos="4680"/>
              </w:tabs>
              <w:suppressAutoHyphens/>
              <w:rPr>
                <w:b/>
                <w:spacing w:val="-2"/>
                <w:szCs w:val="22"/>
              </w:rPr>
            </w:pPr>
            <w:r w:rsidRPr="00E67E71">
              <w:rPr>
                <w:b/>
                <w:spacing w:val="-2"/>
                <w:szCs w:val="22"/>
              </w:rPr>
              <w:t>)</w:t>
            </w:r>
          </w:p>
          <w:p w:rsidR="00932D0D" w:rsidRPr="00E67E71" w:rsidP="00932D0D" w14:paraId="435C1953" w14:textId="77777777">
            <w:pPr>
              <w:tabs>
                <w:tab w:val="center" w:pos="4680"/>
              </w:tabs>
              <w:suppressAutoHyphens/>
              <w:rPr>
                <w:b/>
                <w:spacing w:val="-2"/>
                <w:szCs w:val="22"/>
              </w:rPr>
            </w:pPr>
            <w:r w:rsidRPr="00E67E71">
              <w:rPr>
                <w:b/>
                <w:spacing w:val="-2"/>
                <w:szCs w:val="22"/>
              </w:rPr>
              <w:t>)</w:t>
            </w:r>
          </w:p>
          <w:p w:rsidR="00932D0D" w:rsidRPr="00E67E71" w:rsidP="00932D0D" w14:paraId="3F445926" w14:textId="77777777">
            <w:pPr>
              <w:tabs>
                <w:tab w:val="center" w:pos="4680"/>
              </w:tabs>
              <w:suppressAutoHyphens/>
              <w:rPr>
                <w:b/>
                <w:spacing w:val="-2"/>
                <w:szCs w:val="22"/>
              </w:rPr>
            </w:pPr>
            <w:r w:rsidRPr="00E67E71">
              <w:rPr>
                <w:b/>
                <w:spacing w:val="-2"/>
                <w:szCs w:val="22"/>
              </w:rPr>
              <w:t>)</w:t>
            </w:r>
          </w:p>
          <w:p w:rsidR="00932D0D" w:rsidRPr="00E67E71" w:rsidP="00932D0D" w14:paraId="3C1CD209" w14:textId="77777777">
            <w:pPr>
              <w:tabs>
                <w:tab w:val="center" w:pos="4680"/>
              </w:tabs>
              <w:suppressAutoHyphens/>
              <w:rPr>
                <w:b/>
                <w:spacing w:val="-2"/>
                <w:szCs w:val="22"/>
              </w:rPr>
            </w:pPr>
            <w:r w:rsidRPr="00E67E71">
              <w:rPr>
                <w:b/>
                <w:spacing w:val="-2"/>
                <w:szCs w:val="22"/>
              </w:rPr>
              <w:t>)</w:t>
            </w:r>
          </w:p>
          <w:p w:rsidR="00932D0D" w:rsidP="00932D0D" w14:paraId="2FE76C30" w14:textId="38B264D5">
            <w:pPr>
              <w:tabs>
                <w:tab w:val="center" w:pos="4680"/>
              </w:tabs>
              <w:suppressAutoHyphens/>
              <w:rPr>
                <w:spacing w:val="-2"/>
              </w:rPr>
            </w:pPr>
            <w:r w:rsidRPr="00E67E71">
              <w:rPr>
                <w:b/>
                <w:spacing w:val="-2"/>
                <w:szCs w:val="22"/>
              </w:rPr>
              <w:t>)</w:t>
            </w:r>
          </w:p>
        </w:tc>
        <w:tc>
          <w:tcPr>
            <w:tcW w:w="4248" w:type="dxa"/>
          </w:tcPr>
          <w:p w:rsidR="00932D0D" w:rsidRPr="00E67E71" w:rsidP="00932D0D" w14:paraId="731C6F48" w14:textId="77777777">
            <w:pPr>
              <w:tabs>
                <w:tab w:val="center" w:pos="4680"/>
              </w:tabs>
              <w:suppressAutoHyphens/>
              <w:rPr>
                <w:spacing w:val="-2"/>
                <w:szCs w:val="22"/>
              </w:rPr>
            </w:pPr>
          </w:p>
          <w:p w:rsidR="00932D0D" w:rsidRPr="00E67E71" w:rsidP="00932D0D" w14:paraId="24E60B74" w14:textId="77777777">
            <w:pPr>
              <w:pStyle w:val="TOAHeading"/>
              <w:tabs>
                <w:tab w:val="center" w:pos="4680"/>
                <w:tab w:val="clear" w:pos="9360"/>
              </w:tabs>
              <w:rPr>
                <w:spacing w:val="-2"/>
              </w:rPr>
            </w:pPr>
          </w:p>
          <w:p w:rsidR="00932D0D" w:rsidRPr="00E67E71" w:rsidP="00932D0D" w14:paraId="28522301" w14:textId="77777777">
            <w:pPr>
              <w:tabs>
                <w:tab w:val="center" w:pos="4680"/>
              </w:tabs>
              <w:suppressAutoHyphens/>
              <w:rPr>
                <w:spacing w:val="-2"/>
                <w:szCs w:val="22"/>
              </w:rPr>
            </w:pPr>
            <w:r w:rsidRPr="00E67E71">
              <w:rPr>
                <w:spacing w:val="-2"/>
                <w:szCs w:val="22"/>
              </w:rPr>
              <w:t>CG Docket No. 17-59</w:t>
            </w:r>
          </w:p>
          <w:p w:rsidR="00932D0D" w:rsidRPr="00E67E71" w:rsidP="00932D0D" w14:paraId="7215AA3D" w14:textId="77777777">
            <w:pPr>
              <w:pStyle w:val="TOAHeading"/>
              <w:tabs>
                <w:tab w:val="center" w:pos="4680"/>
                <w:tab w:val="clear" w:pos="9360"/>
              </w:tabs>
              <w:rPr>
                <w:spacing w:val="-2"/>
              </w:rPr>
            </w:pPr>
          </w:p>
          <w:p w:rsidR="00932D0D" w:rsidRPr="00E67E71" w:rsidP="00932D0D" w14:paraId="4430CDF0" w14:textId="77777777">
            <w:pPr>
              <w:pStyle w:val="TOAHeading"/>
              <w:tabs>
                <w:tab w:val="center" w:pos="4680"/>
                <w:tab w:val="clear" w:pos="9360"/>
              </w:tabs>
              <w:rPr>
                <w:spacing w:val="-2"/>
                <w:szCs w:val="22"/>
              </w:rPr>
            </w:pPr>
          </w:p>
          <w:p w:rsidR="00932D0D" w:rsidRPr="00E67E71" w:rsidP="00932D0D" w14:paraId="1F5939B2" w14:textId="77777777">
            <w:pPr>
              <w:pStyle w:val="TOAHeading"/>
              <w:tabs>
                <w:tab w:val="center" w:pos="4680"/>
                <w:tab w:val="clear" w:pos="9360"/>
              </w:tabs>
              <w:rPr>
                <w:spacing w:val="-2"/>
                <w:szCs w:val="22"/>
              </w:rPr>
            </w:pPr>
            <w:r w:rsidRPr="00E67E71">
              <w:rPr>
                <w:spacing w:val="-2"/>
                <w:szCs w:val="22"/>
              </w:rPr>
              <w:t>WC Docket No. 17-97</w:t>
            </w:r>
          </w:p>
          <w:p w:rsidR="00932D0D" w:rsidP="00932D0D" w14:paraId="3332D515" w14:textId="2ED316BF">
            <w:pPr>
              <w:tabs>
                <w:tab w:val="center" w:pos="4680"/>
              </w:tabs>
              <w:suppressAutoHyphens/>
              <w:rPr>
                <w:spacing w:val="-2"/>
              </w:rPr>
            </w:pPr>
          </w:p>
        </w:tc>
      </w:tr>
    </w:tbl>
    <w:p w:rsidR="004C2EE3" w:rsidP="0070224F" w14:paraId="7121593C" w14:textId="77777777"/>
    <w:p w:rsidR="00841AB1" w:rsidP="00F021FA" w14:paraId="27694045" w14:textId="5F66330F">
      <w:pPr>
        <w:pStyle w:val="StyleBoldCentered"/>
      </w:pPr>
      <w:r>
        <w:t>ORDER</w:t>
      </w:r>
    </w:p>
    <w:p w:rsidR="004C2EE3" w14:paraId="0BD35915" w14:textId="77777777">
      <w:pPr>
        <w:tabs>
          <w:tab w:val="left" w:pos="-720"/>
        </w:tabs>
        <w:suppressAutoHyphens/>
        <w:spacing w:line="227" w:lineRule="auto"/>
        <w:rPr>
          <w:spacing w:val="-2"/>
        </w:rPr>
      </w:pPr>
    </w:p>
    <w:p w:rsidR="004C2EE3" w:rsidP="00133F79" w14:paraId="460D2F14" w14:textId="5747646A">
      <w:pPr>
        <w:tabs>
          <w:tab w:val="left" w:pos="720"/>
          <w:tab w:val="right" w:pos="9360"/>
        </w:tabs>
        <w:suppressAutoHyphens/>
        <w:spacing w:line="227" w:lineRule="auto"/>
        <w:rPr>
          <w:spacing w:val="-2"/>
        </w:rPr>
      </w:pPr>
      <w:r>
        <w:rPr>
          <w:b/>
          <w:spacing w:val="-2"/>
        </w:rPr>
        <w:t xml:space="preserve">Adopted:  </w:t>
      </w:r>
      <w:r w:rsidR="00932D0D">
        <w:rPr>
          <w:b/>
          <w:spacing w:val="-2"/>
        </w:rPr>
        <w:t>November 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32D0D">
        <w:rPr>
          <w:b/>
          <w:spacing w:val="-2"/>
        </w:rPr>
        <w:t>November 5, 2021</w:t>
      </w:r>
    </w:p>
    <w:p w:rsidR="00822CE0" w14:paraId="02D3F1CE" w14:textId="755B733B"/>
    <w:p w:rsidR="00A00FE9" w:rsidRPr="00E67E71" w:rsidP="00A00FE9" w14:paraId="64CB7983" w14:textId="2F59FA57">
      <w:pPr>
        <w:rPr>
          <w:b/>
          <w:szCs w:val="22"/>
        </w:rPr>
      </w:pPr>
      <w:r w:rsidRPr="00E67E71">
        <w:rPr>
          <w:b/>
          <w:szCs w:val="22"/>
        </w:rPr>
        <w:t>Comment Date</w:t>
      </w:r>
      <w:r>
        <w:rPr>
          <w:b/>
          <w:szCs w:val="22"/>
        </w:rPr>
        <w:t xml:space="preserve"> in Response to </w:t>
      </w:r>
      <w:r>
        <w:rPr>
          <w:b/>
          <w:szCs w:val="22"/>
        </w:rPr>
        <w:t>the Further Notice</w:t>
      </w:r>
      <w:r w:rsidRPr="00E67E71">
        <w:rPr>
          <w:b/>
          <w:szCs w:val="22"/>
        </w:rPr>
        <w:t xml:space="preserve">:  </w:t>
      </w:r>
      <w:r>
        <w:rPr>
          <w:b/>
          <w:szCs w:val="22"/>
        </w:rPr>
        <w:t>December 10, 2021</w:t>
      </w:r>
    </w:p>
    <w:p w:rsidR="00A00FE9" w:rsidRPr="00A00FE9" w14:paraId="50609FAF" w14:textId="0971F700">
      <w:pPr>
        <w:rPr>
          <w:b/>
          <w:szCs w:val="22"/>
        </w:rPr>
      </w:pPr>
      <w:r w:rsidRPr="00E67E71">
        <w:rPr>
          <w:b/>
        </w:rPr>
        <w:t>Reply Comment Date</w:t>
      </w:r>
      <w:r>
        <w:rPr>
          <w:b/>
        </w:rPr>
        <w:t xml:space="preserve"> </w:t>
      </w:r>
      <w:r>
        <w:rPr>
          <w:b/>
          <w:szCs w:val="22"/>
        </w:rPr>
        <w:t xml:space="preserve">in Response to </w:t>
      </w:r>
      <w:r>
        <w:rPr>
          <w:b/>
          <w:szCs w:val="22"/>
        </w:rPr>
        <w:t>the Further Notice</w:t>
      </w:r>
      <w:r w:rsidRPr="00E67E71">
        <w:rPr>
          <w:b/>
        </w:rPr>
        <w:t xml:space="preserve">:  </w:t>
      </w:r>
      <w:r>
        <w:rPr>
          <w:b/>
        </w:rPr>
        <w:t>January 10, 2022</w:t>
      </w:r>
    </w:p>
    <w:p w:rsidR="00A00FE9" w14:paraId="59491C31" w14:textId="77777777"/>
    <w:p w:rsidR="004C2EE3" w14:paraId="17F00FA8" w14:textId="388AA911">
      <w:pPr>
        <w:rPr>
          <w:spacing w:val="-2"/>
        </w:rPr>
      </w:pPr>
      <w:r>
        <w:t xml:space="preserve">By </w:t>
      </w:r>
      <w:r w:rsidR="004E4A22">
        <w:t>the</w:t>
      </w:r>
      <w:r w:rsidR="002A2D2E">
        <w:t xml:space="preserve"> </w:t>
      </w:r>
      <w:r w:rsidR="00932D0D">
        <w:rPr>
          <w:spacing w:val="-2"/>
        </w:rPr>
        <w:t xml:space="preserve">Chief, Wireline Competition Bureau, and Chief, </w:t>
      </w:r>
      <w:r w:rsidRPr="00932D0D" w:rsidR="00932D0D">
        <w:rPr>
          <w:spacing w:val="-2"/>
        </w:rPr>
        <w:t>Consumer and Governmental Affairs Bureau</w:t>
      </w:r>
      <w:r>
        <w:rPr>
          <w:spacing w:val="-2"/>
        </w:rPr>
        <w:t>:</w:t>
      </w:r>
    </w:p>
    <w:p w:rsidR="00822CE0" w14:paraId="6F954CC3" w14:textId="77777777">
      <w:pPr>
        <w:rPr>
          <w:spacing w:val="-2"/>
        </w:rPr>
      </w:pPr>
    </w:p>
    <w:p w:rsidR="00932D0D" w:rsidRPr="00E67E71" w:rsidP="00932D0D" w14:paraId="396791AE" w14:textId="77777777">
      <w:pPr>
        <w:pStyle w:val="Heading1"/>
      </w:pPr>
      <w:bookmarkStart w:id="0" w:name="_Toc68873415"/>
      <w:bookmarkStart w:id="1" w:name="_Toc69224014"/>
      <w:bookmarkStart w:id="2" w:name="_Toc69224118"/>
      <w:bookmarkStart w:id="3" w:name="_Toc69896348"/>
      <w:bookmarkStart w:id="4" w:name="_Toc69918325"/>
      <w:bookmarkStart w:id="5" w:name="_Toc70070034"/>
      <w:bookmarkStart w:id="6" w:name="_Toc75947859"/>
      <w:bookmarkStart w:id="7" w:name="_Toc79166344"/>
      <w:bookmarkStart w:id="8" w:name="_Toc79495867"/>
      <w:bookmarkStart w:id="9" w:name="_Toc80796212"/>
      <w:bookmarkStart w:id="10" w:name="_Toc81575186"/>
      <w:bookmarkStart w:id="11" w:name="_Toc81995358"/>
      <w:bookmarkStart w:id="12" w:name="_Toc83803828"/>
      <w:bookmarkStart w:id="13" w:name="_Toc77851074"/>
      <w:bookmarkStart w:id="14" w:name="_Toc77855811"/>
      <w:bookmarkStart w:id="15" w:name="_Toc77886242"/>
      <w:bookmarkStart w:id="16" w:name="_Toc78487059"/>
      <w:bookmarkStart w:id="17" w:name="_Toc80184607"/>
      <w:bookmarkStart w:id="18" w:name="_Toc80200385"/>
      <w:r w:rsidRPr="00E67E71">
        <w:t>INTRODUCTION</w:t>
      </w:r>
      <w:bookmarkEnd w:id="0"/>
      <w:bookmarkEnd w:id="1"/>
      <w:bookmarkEnd w:id="2"/>
      <w:bookmarkEnd w:id="3"/>
      <w:bookmarkEnd w:id="4"/>
      <w:bookmarkEnd w:id="5"/>
      <w:bookmarkEnd w:id="6"/>
      <w:bookmarkEnd w:id="7"/>
      <w:bookmarkEnd w:id="8"/>
      <w:bookmarkEnd w:id="9"/>
      <w:bookmarkEnd w:id="10"/>
      <w:bookmarkEnd w:id="11"/>
      <w:bookmarkEnd w:id="12"/>
      <w:r w:rsidRPr="00E67E71">
        <w:t xml:space="preserve"> </w:t>
      </w:r>
      <w:bookmarkEnd w:id="13"/>
      <w:bookmarkEnd w:id="14"/>
      <w:bookmarkEnd w:id="15"/>
      <w:bookmarkEnd w:id="16"/>
      <w:bookmarkEnd w:id="17"/>
      <w:bookmarkEnd w:id="18"/>
    </w:p>
    <w:p w:rsidR="00932D0D" w:rsidRPr="00E67E71" w:rsidP="00932D0D" w14:paraId="554C86A4" w14:textId="26ADEAA6">
      <w:pPr>
        <w:pStyle w:val="ParaNum"/>
        <w:widowControl/>
      </w:pPr>
      <w:r>
        <w:t xml:space="preserve">By this Order, the Wireline Competition Bureau and Consumer and Governmental Affairs Bureau (Bureaus) of the Federal Communications </w:t>
      </w:r>
      <w:r>
        <w:t>Commission</w:t>
      </w:r>
      <w:r>
        <w:t xml:space="preserve"> grant a request filed by the Voice on the Net Coalition (VON) for a 14-day extension of the time in which to file comments and reply comments in response to a Further Notice of Proposed Rulemaking (</w:t>
      </w:r>
      <w:r w:rsidRPr="0014111C">
        <w:rPr>
          <w:i/>
          <w:iCs/>
        </w:rPr>
        <w:t>Further Notice</w:t>
      </w:r>
      <w:r>
        <w:t xml:space="preserve">) in the above referenced proceedings.  Comments and reply comments were originally due on November 26, 2021 and December 27, 2021, respectively.  </w:t>
      </w:r>
      <w:bookmarkStart w:id="19" w:name="_Hlk86926621"/>
      <w:r>
        <w:t xml:space="preserve">Pursuant to this Order, the extended comment date is December 10, 2021 and the extended reply comment date is January 10, 2022.  </w:t>
      </w:r>
      <w:bookmarkEnd w:id="19"/>
    </w:p>
    <w:p w:rsidR="00932D0D" w:rsidRPr="00E67E71" w:rsidP="00932D0D" w14:paraId="73D637E3" w14:textId="77777777">
      <w:pPr>
        <w:pStyle w:val="Heading1"/>
        <w:rPr>
          <w:rFonts w:ascii="Times New Roman" w:hAnsi="Times New Roman"/>
        </w:rPr>
      </w:pPr>
      <w:bookmarkStart w:id="20" w:name="_Toc69224015"/>
      <w:bookmarkStart w:id="21" w:name="_Toc69224119"/>
      <w:bookmarkStart w:id="22" w:name="_Toc69896349"/>
      <w:bookmarkStart w:id="23" w:name="_Toc69918326"/>
      <w:bookmarkStart w:id="24" w:name="_Toc70070035"/>
      <w:bookmarkStart w:id="25" w:name="_Toc75947860"/>
      <w:bookmarkStart w:id="26" w:name="_Toc77074333"/>
      <w:bookmarkStart w:id="27" w:name="_Toc77851075"/>
      <w:bookmarkStart w:id="28" w:name="_Toc77855812"/>
      <w:bookmarkStart w:id="29" w:name="_Toc77886243"/>
      <w:bookmarkStart w:id="30" w:name="_Toc78487060"/>
      <w:bookmarkStart w:id="31" w:name="_Toc79166345"/>
      <w:bookmarkStart w:id="32" w:name="_Toc79495868"/>
      <w:bookmarkStart w:id="33" w:name="_Toc80184608"/>
      <w:bookmarkStart w:id="34" w:name="_Toc80200386"/>
      <w:bookmarkStart w:id="35" w:name="_Toc80796213"/>
      <w:bookmarkStart w:id="36" w:name="_Toc81575187"/>
      <w:bookmarkStart w:id="37" w:name="_Toc81995359"/>
      <w:bookmarkStart w:id="38" w:name="_Toc83803829"/>
      <w:r w:rsidRPr="00E67E71">
        <w:t>BACKGROUND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32D0D" w:rsidP="00932D0D" w14:paraId="7C2AF865" w14:textId="77777777">
      <w:pPr>
        <w:pStyle w:val="ParaNum"/>
        <w:widowControl/>
        <w:rPr>
          <w:szCs w:val="22"/>
        </w:rPr>
      </w:pPr>
      <w:r>
        <w:rPr>
          <w:szCs w:val="22"/>
        </w:rPr>
        <w:t>On October 26</w:t>
      </w:r>
      <w:r w:rsidRPr="00251121">
        <w:t>, 2021</w:t>
      </w:r>
      <w:r>
        <w:rPr>
          <w:szCs w:val="22"/>
        </w:rPr>
        <w:t>, t</w:t>
      </w:r>
      <w:r w:rsidRPr="000B3058">
        <w:rPr>
          <w:szCs w:val="22"/>
        </w:rPr>
        <w:t>he Federal Register published a summary</w:t>
      </w:r>
      <w:r>
        <w:rPr>
          <w:rStyle w:val="FootnoteReference"/>
          <w:szCs w:val="22"/>
        </w:rPr>
        <w:footnoteReference w:id="3"/>
      </w:r>
      <w:r w:rsidRPr="000B3058">
        <w:rPr>
          <w:szCs w:val="22"/>
        </w:rPr>
        <w:t xml:space="preserve"> of the </w:t>
      </w:r>
      <w:r w:rsidRPr="008A5FCF">
        <w:rPr>
          <w:i/>
          <w:iCs/>
          <w:szCs w:val="22"/>
        </w:rPr>
        <w:t>Further</w:t>
      </w:r>
      <w:r>
        <w:rPr>
          <w:szCs w:val="22"/>
        </w:rPr>
        <w:t xml:space="preserve"> </w:t>
      </w:r>
      <w:r w:rsidRPr="000B3058">
        <w:rPr>
          <w:i/>
          <w:szCs w:val="22"/>
        </w:rPr>
        <w:t>Notice</w:t>
      </w:r>
      <w:r w:rsidRPr="000B3058">
        <w:rPr>
          <w:szCs w:val="22"/>
        </w:rPr>
        <w:t xml:space="preserve"> in the </w:t>
      </w:r>
      <w:r>
        <w:rPr>
          <w:i/>
          <w:szCs w:val="22"/>
        </w:rPr>
        <w:t xml:space="preserve">Advanced Methods to Target and Eliminate Unlawful Robocalls </w:t>
      </w:r>
      <w:r w:rsidRPr="008A5FCF">
        <w:rPr>
          <w:iCs/>
          <w:szCs w:val="22"/>
        </w:rPr>
        <w:t>and</w:t>
      </w:r>
      <w:r>
        <w:rPr>
          <w:i/>
          <w:szCs w:val="22"/>
        </w:rPr>
        <w:t xml:space="preserve"> Call Authentication Trust Anchor</w:t>
      </w:r>
      <w:r w:rsidRPr="000B3058">
        <w:rPr>
          <w:i/>
          <w:szCs w:val="22"/>
        </w:rPr>
        <w:t xml:space="preserve"> </w:t>
      </w:r>
      <w:r w:rsidRPr="000B3058">
        <w:rPr>
          <w:szCs w:val="22"/>
        </w:rPr>
        <w:t>proceeding</w:t>
      </w:r>
      <w:r>
        <w:rPr>
          <w:szCs w:val="22"/>
        </w:rPr>
        <w:t>s.</w:t>
      </w:r>
      <w:r>
        <w:rPr>
          <w:rStyle w:val="FootnoteReference"/>
          <w:szCs w:val="22"/>
        </w:rPr>
        <w:footnoteReference w:id="4"/>
      </w:r>
      <w:r w:rsidRPr="000B3058">
        <w:rPr>
          <w:szCs w:val="22"/>
        </w:rPr>
        <w:t xml:space="preserve"> </w:t>
      </w:r>
      <w:r w:rsidRPr="000B3058">
        <w:rPr>
          <w:i/>
          <w:szCs w:val="22"/>
        </w:rPr>
        <w:t xml:space="preserve"> </w:t>
      </w:r>
      <w:r w:rsidRPr="000B3058">
        <w:rPr>
          <w:szCs w:val="22"/>
        </w:rPr>
        <w:t xml:space="preserve">In the </w:t>
      </w:r>
      <w:r w:rsidRPr="008A5FCF">
        <w:rPr>
          <w:i/>
          <w:iCs/>
          <w:szCs w:val="22"/>
        </w:rPr>
        <w:t>Further</w:t>
      </w:r>
      <w:r>
        <w:rPr>
          <w:szCs w:val="22"/>
        </w:rPr>
        <w:t xml:space="preserve"> </w:t>
      </w:r>
      <w:r w:rsidRPr="000B3058">
        <w:rPr>
          <w:i/>
          <w:szCs w:val="22"/>
        </w:rPr>
        <w:t>Notice</w:t>
      </w:r>
      <w:r w:rsidRPr="000B3058">
        <w:rPr>
          <w:szCs w:val="22"/>
        </w:rPr>
        <w:t xml:space="preserve">, the Commission seeks comment on a number of proposals </w:t>
      </w:r>
      <w:r>
        <w:rPr>
          <w:szCs w:val="22"/>
        </w:rPr>
        <w:t>to place new anti-robocalling obligations on gateway providers, which are the point of entry for foreign-originated illegal robocalls</w:t>
      </w:r>
      <w:r w:rsidRPr="000B3058">
        <w:rPr>
          <w:szCs w:val="22"/>
        </w:rPr>
        <w:t>.</w:t>
      </w:r>
      <w:r>
        <w:rPr>
          <w:rStyle w:val="FootnoteReference"/>
          <w:szCs w:val="22"/>
        </w:rPr>
        <w:footnoteReference w:id="5"/>
      </w:r>
      <w:r w:rsidRPr="000B3058">
        <w:rPr>
          <w:szCs w:val="22"/>
        </w:rPr>
        <w:t xml:space="preserve"> </w:t>
      </w:r>
      <w:r>
        <w:rPr>
          <w:szCs w:val="22"/>
        </w:rPr>
        <w:t xml:space="preserve"> </w:t>
      </w:r>
      <w:r w:rsidRPr="000B3058">
        <w:rPr>
          <w:szCs w:val="22"/>
        </w:rPr>
        <w:t xml:space="preserve">The </w:t>
      </w:r>
      <w:r w:rsidRPr="008A5FCF">
        <w:rPr>
          <w:i/>
          <w:iCs/>
          <w:szCs w:val="22"/>
        </w:rPr>
        <w:t>Further</w:t>
      </w:r>
      <w:r>
        <w:rPr>
          <w:szCs w:val="22"/>
        </w:rPr>
        <w:t xml:space="preserve"> </w:t>
      </w:r>
      <w:r w:rsidRPr="000B3058">
        <w:rPr>
          <w:i/>
          <w:szCs w:val="22"/>
        </w:rPr>
        <w:t>Notice</w:t>
      </w:r>
      <w:r w:rsidRPr="000B3058">
        <w:rPr>
          <w:szCs w:val="22"/>
        </w:rPr>
        <w:t xml:space="preserve"> set</w:t>
      </w:r>
      <w:r>
        <w:rPr>
          <w:szCs w:val="22"/>
        </w:rPr>
        <w:t>s</w:t>
      </w:r>
      <w:r w:rsidRPr="000B3058">
        <w:rPr>
          <w:szCs w:val="22"/>
        </w:rPr>
        <w:t xml:space="preserve"> deadlines for filing comments and reply comments at 30 and 60 days after the date of publication of the summary of the </w:t>
      </w:r>
      <w:r w:rsidRPr="008A5FCF">
        <w:rPr>
          <w:i/>
          <w:iCs/>
          <w:szCs w:val="22"/>
        </w:rPr>
        <w:t>Further</w:t>
      </w:r>
      <w:r>
        <w:rPr>
          <w:szCs w:val="22"/>
        </w:rPr>
        <w:t xml:space="preserve"> </w:t>
      </w:r>
      <w:r w:rsidRPr="000B3058">
        <w:rPr>
          <w:i/>
          <w:szCs w:val="22"/>
        </w:rPr>
        <w:t>Notice</w:t>
      </w:r>
      <w:r w:rsidRPr="000B3058">
        <w:rPr>
          <w:szCs w:val="22"/>
        </w:rPr>
        <w:t xml:space="preserve"> in the Federal Register.</w:t>
      </w:r>
      <w:r>
        <w:rPr>
          <w:rStyle w:val="FootnoteReference"/>
          <w:szCs w:val="22"/>
        </w:rPr>
        <w:footnoteReference w:id="6"/>
      </w:r>
      <w:r w:rsidRPr="000B3058">
        <w:rPr>
          <w:szCs w:val="22"/>
        </w:rPr>
        <w:t xml:space="preserve">  </w:t>
      </w:r>
      <w:r>
        <w:rPr>
          <w:szCs w:val="22"/>
        </w:rPr>
        <w:t xml:space="preserve">Consistent with the </w:t>
      </w:r>
      <w:r w:rsidRPr="00F87CEC">
        <w:rPr>
          <w:i/>
          <w:iCs/>
          <w:szCs w:val="22"/>
        </w:rPr>
        <w:t>Further</w:t>
      </w:r>
      <w:r w:rsidRPr="00407C38">
        <w:rPr>
          <w:i/>
        </w:rPr>
        <w:t xml:space="preserve"> </w:t>
      </w:r>
      <w:r w:rsidRPr="00F87CEC">
        <w:rPr>
          <w:i/>
          <w:iCs/>
          <w:szCs w:val="22"/>
        </w:rPr>
        <w:t>Notice</w:t>
      </w:r>
      <w:r>
        <w:rPr>
          <w:szCs w:val="22"/>
        </w:rPr>
        <w:t xml:space="preserve">, the </w:t>
      </w:r>
      <w:r w:rsidRPr="00F87CEC">
        <w:rPr>
          <w:i/>
          <w:iCs/>
          <w:szCs w:val="22"/>
        </w:rPr>
        <w:t>Federal Register Notice</w:t>
      </w:r>
      <w:r>
        <w:rPr>
          <w:szCs w:val="22"/>
        </w:rPr>
        <w:t xml:space="preserve"> states that comments are due no later than November 26, 2021, and reply comments are due no later than December 27, 2021.</w:t>
      </w:r>
      <w:r>
        <w:rPr>
          <w:rStyle w:val="FootnoteReference"/>
          <w:szCs w:val="22"/>
        </w:rPr>
        <w:footnoteReference w:id="7"/>
      </w:r>
      <w:r>
        <w:rPr>
          <w:szCs w:val="22"/>
        </w:rPr>
        <w:t xml:space="preserve"> </w:t>
      </w:r>
      <w:r w:rsidRPr="000B3058">
        <w:rPr>
          <w:szCs w:val="22"/>
        </w:rPr>
        <w:t xml:space="preserve"> </w:t>
      </w:r>
    </w:p>
    <w:p w:rsidR="00932D0D" w:rsidRPr="0054268C" w:rsidP="00932D0D" w14:paraId="1788417D" w14:textId="77777777">
      <w:pPr>
        <w:pStyle w:val="ParaNum"/>
        <w:widowControl/>
        <w:rPr>
          <w:szCs w:val="22"/>
        </w:rPr>
      </w:pPr>
      <w:r>
        <w:rPr>
          <w:szCs w:val="22"/>
        </w:rPr>
        <w:t>On November 3, 2021, the Voice on the Net Coalition (VON) submitted a request for a 14-day extension of time, until December 10, 2021 and January 10, 2022, respectively, for comments and reply comments.</w:t>
      </w:r>
      <w:r>
        <w:rPr>
          <w:rStyle w:val="FootnoteReference"/>
          <w:szCs w:val="22"/>
        </w:rPr>
        <w:footnoteReference w:id="8"/>
      </w:r>
      <w:r>
        <w:rPr>
          <w:szCs w:val="22"/>
        </w:rPr>
        <w:t xml:space="preserve">  VON asserts that a 14-day extension is justified to “permit parties time to review and respond to the extensive number of questions raised in the NPRM; recognizes that there is another proceeding with similar deadlines; and avoids the conflicts with the Thanksgiving and Christmas holidays.”</w:t>
      </w:r>
      <w:r>
        <w:rPr>
          <w:rStyle w:val="FootnoteReference"/>
          <w:szCs w:val="22"/>
        </w:rPr>
        <w:footnoteReference w:id="9"/>
      </w:r>
      <w:r>
        <w:rPr>
          <w:szCs w:val="22"/>
        </w:rPr>
        <w:t xml:space="preserve">  VON states that it “has been authorized to state” that the Cloud Communications Alliance, CTIA, the GSM Association, INCOMPAS, NCTA, NTCA, and </w:t>
      </w:r>
      <w:r>
        <w:rPr>
          <w:szCs w:val="22"/>
        </w:rPr>
        <w:t>USTelecom</w:t>
      </w:r>
      <w:r>
        <w:rPr>
          <w:szCs w:val="22"/>
        </w:rPr>
        <w:t xml:space="preserve"> “support the extension request.”</w:t>
      </w:r>
      <w:r>
        <w:rPr>
          <w:rStyle w:val="FootnoteReference"/>
          <w:szCs w:val="22"/>
        </w:rPr>
        <w:footnoteReference w:id="10"/>
      </w:r>
    </w:p>
    <w:p w:rsidR="00932D0D" w:rsidRPr="00E67E71" w:rsidP="00932D0D" w14:paraId="6145298E" w14:textId="77777777">
      <w:pPr>
        <w:pStyle w:val="Heading1"/>
      </w:pPr>
      <w:bookmarkStart w:id="39" w:name="co_tablefootnote_459_1"/>
      <w:bookmarkStart w:id="40" w:name="_Toc79166346"/>
      <w:bookmarkStart w:id="41" w:name="_Toc79495869"/>
      <w:bookmarkStart w:id="42" w:name="_Toc80184609"/>
      <w:bookmarkStart w:id="43" w:name="_Toc80200387"/>
      <w:bookmarkStart w:id="44" w:name="_Toc80796214"/>
      <w:bookmarkStart w:id="45" w:name="_Toc81575188"/>
      <w:bookmarkStart w:id="46" w:name="_Toc81995360"/>
      <w:bookmarkStart w:id="47" w:name="_Toc83803830"/>
      <w:bookmarkEnd w:id="39"/>
      <w:r w:rsidRPr="00E67E71">
        <w:t>DISCUSSION</w:t>
      </w:r>
      <w:bookmarkEnd w:id="40"/>
      <w:bookmarkEnd w:id="41"/>
      <w:bookmarkEnd w:id="42"/>
      <w:bookmarkEnd w:id="43"/>
      <w:bookmarkEnd w:id="44"/>
      <w:bookmarkEnd w:id="45"/>
      <w:bookmarkEnd w:id="46"/>
      <w:bookmarkEnd w:id="47"/>
    </w:p>
    <w:p w:rsidR="00932D0D" w:rsidRPr="00A86E99" w:rsidP="00932D0D" w14:paraId="355821ED" w14:textId="77777777">
      <w:pPr>
        <w:pStyle w:val="ParaNum"/>
        <w:widowControl/>
      </w:pPr>
      <w:bookmarkStart w:id="48" w:name="_Toc79166347"/>
      <w:bookmarkStart w:id="49" w:name="_Toc79495870"/>
      <w:bookmarkStart w:id="50" w:name="_Toc80796215"/>
      <w:bookmarkStart w:id="51" w:name="_Toc81575189"/>
      <w:bookmarkStart w:id="52" w:name="_Toc81995361"/>
      <w:bookmarkStart w:id="53" w:name="_Toc83803831"/>
      <w:bookmarkStart w:id="54" w:name="_Toc77851077"/>
      <w:bookmarkStart w:id="55" w:name="_Toc77855814"/>
      <w:bookmarkStart w:id="56" w:name="_Toc77886245"/>
      <w:bookmarkStart w:id="57" w:name="_Toc78487062"/>
      <w:bookmarkStart w:id="58" w:name="_Toc80184610"/>
      <w:bookmarkStart w:id="59" w:name="_Toc80200388"/>
      <w:r w:rsidRPr="00BC0CA6">
        <w:t>As set forth in section 1.46 of the Commission’s rules, it is the policy of the Commission that extensions of time shall not be routinely granted.</w:t>
      </w:r>
      <w:r>
        <w:rPr>
          <w:rStyle w:val="FootnoteReference"/>
          <w:sz w:val="22"/>
        </w:rPr>
        <w:footnoteReference w:id="11"/>
      </w:r>
      <w:r w:rsidRPr="00BC0CA6">
        <w:t xml:space="preserve">  However, extensions may be considered “to the extent that good cause for an extension is demonstrated.”</w:t>
      </w:r>
      <w:r>
        <w:rPr>
          <w:rStyle w:val="FootnoteReference"/>
          <w:sz w:val="22"/>
        </w:rPr>
        <w:footnoteReference w:id="12"/>
      </w:r>
      <w:r w:rsidRPr="00BC0CA6">
        <w:t xml:space="preserve">  The criteria for granting requests for extensions of time “are that the extension be in the public interest, cause no harm to any party in the proceeding, and cause no significant delay.”</w:t>
      </w:r>
      <w:r>
        <w:rPr>
          <w:rStyle w:val="FootnoteReference"/>
          <w:sz w:val="22"/>
        </w:rPr>
        <w:footnoteReference w:id="13"/>
      </w:r>
      <w:r w:rsidRPr="00BC0CA6">
        <w:t xml:space="preserve">  The Commission has previously found that an extension of time is warranted when it is “necessary to ensure that the Commission receives full and informed responses and that affected parties have a meaningful opportunity to develop a complete record for the Commission’s consideration.”</w:t>
      </w:r>
      <w:r>
        <w:rPr>
          <w:rStyle w:val="FootnoteReference"/>
          <w:sz w:val="22"/>
        </w:rPr>
        <w:footnoteReference w:id="14"/>
      </w:r>
    </w:p>
    <w:p w:rsidR="00932D0D" w:rsidRPr="00094DA7" w:rsidP="00932D0D" w14:paraId="111A45CF" w14:textId="77777777">
      <w:pPr>
        <w:pStyle w:val="ParaNum"/>
        <w:widowControl/>
        <w:rPr>
          <w:szCs w:val="22"/>
        </w:rPr>
      </w:pPr>
      <w:r w:rsidRPr="0054268C">
        <w:t>Here</w:t>
      </w:r>
      <w:r>
        <w:rPr>
          <w:szCs w:val="22"/>
        </w:rPr>
        <w:t>, the Bureaus find good cause to grant the requested extension.</w:t>
      </w:r>
      <w:r w:rsidRPr="000B3058">
        <w:rPr>
          <w:szCs w:val="22"/>
        </w:rPr>
        <w:t xml:space="preserve"> </w:t>
      </w:r>
      <w:r>
        <w:rPr>
          <w:szCs w:val="22"/>
        </w:rPr>
        <w:t xml:space="preserve"> The Thanksgiving and Christmas Federal holidays both fall within two days of the original comment and reply comment deadlines, thus effectively </w:t>
      </w:r>
      <w:r>
        <w:t xml:space="preserve">shortening the normal time for filing comments. </w:t>
      </w:r>
      <w:r>
        <w:rPr>
          <w:szCs w:val="22"/>
        </w:rPr>
        <w:t xml:space="preserve"> </w:t>
      </w:r>
      <w:r w:rsidRPr="00BC0CA6">
        <w:t>We</w:t>
      </w:r>
      <w:r>
        <w:t xml:space="preserve"> also</w:t>
      </w:r>
      <w:r w:rsidRPr="00BC0CA6">
        <w:t xml:space="preserve"> appreciate what appears to be the support of </w:t>
      </w:r>
      <w:r>
        <w:t>many interested</w:t>
      </w:r>
      <w:r w:rsidRPr="00BC0CA6">
        <w:t xml:space="preserve"> parties for more fully developing the record in this proceeding.  </w:t>
      </w:r>
      <w:r>
        <w:rPr>
          <w:szCs w:val="22"/>
        </w:rPr>
        <w:t>The Bureaus therefore find that a 14-day extension for both deadlines would be appropriate in this instance to give parties sufficient time to file and that such a brief extension would not interfere with the Commission’s ability to consider the issues raised in these proceedings</w:t>
      </w:r>
      <w:r w:rsidRPr="00925851">
        <w:rPr>
          <w:szCs w:val="22"/>
        </w:rPr>
        <w:t xml:space="preserve"> </w:t>
      </w:r>
      <w:r>
        <w:rPr>
          <w:szCs w:val="22"/>
        </w:rPr>
        <w:t>in a timely manner.</w:t>
      </w:r>
      <w:r>
        <w:rPr>
          <w:rStyle w:val="FootnoteReference"/>
          <w:szCs w:val="22"/>
        </w:rPr>
        <w:footnoteReference w:id="15"/>
      </w:r>
      <w:r>
        <w:rPr>
          <w:szCs w:val="22"/>
        </w:rPr>
        <w:t xml:space="preserve">  Accordingly, comments are due no later than December 10, 2021, and reply comments are due no later </w:t>
      </w:r>
      <w:r>
        <w:rPr>
          <w:szCs w:val="22"/>
        </w:rPr>
        <w:t xml:space="preserve">than January 10, 2022. </w:t>
      </w:r>
      <w:r w:rsidRPr="000B3058">
        <w:rPr>
          <w:szCs w:val="22"/>
        </w:rPr>
        <w:t xml:space="preserve"> Complete filing instructions are contained in the </w:t>
      </w:r>
      <w:r w:rsidRPr="00513DE7">
        <w:rPr>
          <w:i/>
          <w:iCs/>
          <w:szCs w:val="22"/>
        </w:rPr>
        <w:t>Further</w:t>
      </w:r>
      <w:r>
        <w:rPr>
          <w:szCs w:val="22"/>
        </w:rPr>
        <w:t xml:space="preserve"> </w:t>
      </w:r>
      <w:r w:rsidRPr="000B3058">
        <w:rPr>
          <w:i/>
          <w:szCs w:val="22"/>
        </w:rPr>
        <w:t>Notice</w:t>
      </w:r>
      <w:r w:rsidRPr="000B3058">
        <w:rPr>
          <w:szCs w:val="22"/>
        </w:rPr>
        <w:t xml:space="preserve"> and the </w:t>
      </w:r>
      <w:r w:rsidRPr="00924669">
        <w:rPr>
          <w:i/>
          <w:iCs/>
          <w:szCs w:val="22"/>
        </w:rPr>
        <w:t>Federal Register Notice</w:t>
      </w:r>
      <w:r w:rsidRPr="000B3058">
        <w:rPr>
          <w:szCs w:val="22"/>
        </w:rPr>
        <w:t>.</w:t>
      </w:r>
      <w:r>
        <w:rPr>
          <w:rStyle w:val="FootnoteReference"/>
          <w:szCs w:val="22"/>
        </w:rPr>
        <w:footnoteReference w:id="16"/>
      </w:r>
      <w:bookmarkEnd w:id="48"/>
      <w:bookmarkEnd w:id="49"/>
      <w:bookmarkEnd w:id="50"/>
      <w:bookmarkEnd w:id="51"/>
      <w:bookmarkEnd w:id="52"/>
      <w:bookmarkEnd w:id="53"/>
      <w:bookmarkEnd w:id="54"/>
      <w:bookmarkEnd w:id="55"/>
      <w:bookmarkEnd w:id="56"/>
      <w:bookmarkEnd w:id="57"/>
      <w:bookmarkEnd w:id="58"/>
      <w:bookmarkEnd w:id="59"/>
      <w:r w:rsidRPr="00E67E71">
        <w:rPr>
          <w:iCs/>
        </w:rPr>
        <w:t xml:space="preserve"> </w:t>
      </w:r>
    </w:p>
    <w:p w:rsidR="00932D0D" w:rsidP="00932D0D" w14:paraId="37F4DF54" w14:textId="4541075C">
      <w:pPr>
        <w:pStyle w:val="ParaNum"/>
        <w:widowControl/>
      </w:pPr>
      <w:r w:rsidRPr="00BC0CA6">
        <w:t xml:space="preserve">To request materials in accessible formats (such as Braille, large print, electronic files, or audio format), send an email to: </w:t>
      </w:r>
      <w:hyperlink r:id="rId5" w:history="1">
        <w:r w:rsidRPr="00BC0CA6">
          <w:rPr>
            <w:rStyle w:val="Hyperlink"/>
          </w:rPr>
          <w:t>fcc504@fcc.gov</w:t>
        </w:r>
      </w:hyperlink>
      <w:r w:rsidRPr="00BC0CA6">
        <w:t xml:space="preserve">, or call the Consumer and Governmental Affairs Bureau at (202) 418-0530 (voice).  </w:t>
      </w:r>
    </w:p>
    <w:p w:rsidR="00932D0D" w:rsidRPr="0054268C" w:rsidP="00932D0D" w14:paraId="48287E25" w14:textId="6AC435FA">
      <w:pPr>
        <w:pStyle w:val="ParaNum"/>
        <w:widowControl/>
        <w:rPr>
          <w:szCs w:val="22"/>
        </w:rPr>
      </w:pPr>
      <w:r>
        <w:t xml:space="preserve">For additional </w:t>
      </w:r>
      <w:r w:rsidR="0097753D">
        <w:t>i</w:t>
      </w:r>
      <w:r>
        <w:t>nformation</w:t>
      </w:r>
      <w:r w:rsidR="0097753D">
        <w:t>,</w:t>
      </w:r>
      <w:r w:rsidRPr="001128ED">
        <w:rPr>
          <w:szCs w:val="22"/>
        </w:rPr>
        <w:t xml:space="preserve"> </w:t>
      </w:r>
      <w:r>
        <w:t xml:space="preserve">contact either Jerusha Burnett, Attorney Advisor, Consumer Policy Division, Consumer and Governmental Affairs Bureau, at </w:t>
      </w:r>
      <w:hyperlink r:id="rId6" w:history="1">
        <w:r w:rsidRPr="72F4D4C6">
          <w:rPr>
            <w:rStyle w:val="Hyperlink"/>
          </w:rPr>
          <w:t>jerusha.burnett@fcc.gov</w:t>
        </w:r>
      </w:hyperlink>
      <w:r>
        <w:t xml:space="preserve">, 202-418-0526, or Jonathan Lechter, Attorney Advisor, Competition Policy Division, Wireline Competition Bureau, at </w:t>
      </w:r>
      <w:hyperlink r:id="rId7" w:history="1">
        <w:r w:rsidRPr="72F4D4C6">
          <w:rPr>
            <w:rStyle w:val="Hyperlink"/>
          </w:rPr>
          <w:t>Jonathan.lechter@fcc.gov</w:t>
        </w:r>
      </w:hyperlink>
      <w:r>
        <w:t>, (202) 418-0984.</w:t>
      </w:r>
    </w:p>
    <w:p w:rsidR="00932D0D" w:rsidRPr="00E67E71" w:rsidP="00932D0D" w14:paraId="547C291B" w14:textId="77777777">
      <w:pPr>
        <w:pStyle w:val="Heading1"/>
      </w:pPr>
      <w:r>
        <w:t>ORDERING CLAUSES</w:t>
      </w:r>
    </w:p>
    <w:p w:rsidR="00932D0D" w:rsidRPr="00BC0CA6" w:rsidP="00932D0D" w14:paraId="3A41DE94" w14:textId="77777777">
      <w:pPr>
        <w:pStyle w:val="ParaNum"/>
        <w:widowControl/>
      </w:pPr>
      <w:bookmarkStart w:id="60" w:name="comebackhere"/>
      <w:bookmarkEnd w:id="60"/>
      <w:r w:rsidRPr="00BC0CA6">
        <w:t>Accordingly, IT IS ORDERED, pursuant to sections 0.204, 0.291,</w:t>
      </w:r>
      <w:r>
        <w:t xml:space="preserve"> 0.361, </w:t>
      </w:r>
      <w:r w:rsidRPr="00BC0CA6">
        <w:t>and 1.46 of the Commission’s rules, 47 CFR §§ 0.204, 0.291,</w:t>
      </w:r>
      <w:r>
        <w:t xml:space="preserve"> 0.361,</w:t>
      </w:r>
      <w:r w:rsidRPr="00BC0CA6">
        <w:t xml:space="preserve"> 1.46, that the Request for Extension of Time filed by </w:t>
      </w:r>
      <w:r>
        <w:t xml:space="preserve">VON </w:t>
      </w:r>
      <w:r w:rsidRPr="00BC0CA6">
        <w:t xml:space="preserve">on </w:t>
      </w:r>
      <w:r>
        <w:t>November</w:t>
      </w:r>
      <w:r w:rsidRPr="00BC0CA6">
        <w:t xml:space="preserve"> </w:t>
      </w:r>
      <w:r>
        <w:t>3</w:t>
      </w:r>
      <w:r w:rsidRPr="00BC0CA6">
        <w:t xml:space="preserve">, 2021 is GRANTED as described herein. </w:t>
      </w:r>
    </w:p>
    <w:p w:rsidR="00932D0D" w:rsidP="00932D0D" w14:paraId="0C04B194" w14:textId="77777777">
      <w:pPr>
        <w:pStyle w:val="ParaNum"/>
        <w:widowControl/>
      </w:pPr>
      <w:r w:rsidRPr="00BC0CA6">
        <w:t>IT IS FURTHER ORDERED that the date</w:t>
      </w:r>
      <w:r>
        <w:t>s</w:t>
      </w:r>
      <w:r w:rsidRPr="00BC0CA6">
        <w:t xml:space="preserve"> for filing comments and reply comments in response to the </w:t>
      </w:r>
      <w:r w:rsidRPr="007C776F">
        <w:rPr>
          <w:i/>
          <w:iCs/>
        </w:rPr>
        <w:t>Further Notice</w:t>
      </w:r>
      <w:r w:rsidRPr="00BC0CA6">
        <w:t xml:space="preserve"> are EXTENDED to </w:t>
      </w:r>
      <w:r>
        <w:t>December 10</w:t>
      </w:r>
      <w:r w:rsidRPr="00BC0CA6">
        <w:t xml:space="preserve">, 2021 and </w:t>
      </w:r>
      <w:r>
        <w:t>January</w:t>
      </w:r>
      <w:r w:rsidRPr="00BC0CA6">
        <w:t xml:space="preserve"> </w:t>
      </w:r>
      <w:r>
        <w:t>10</w:t>
      </w:r>
      <w:r w:rsidRPr="00BC0CA6">
        <w:t>, 202</w:t>
      </w:r>
      <w:r>
        <w:t>2</w:t>
      </w:r>
      <w:r w:rsidRPr="00BC0CA6">
        <w:t xml:space="preserve">, respectively. </w:t>
      </w:r>
      <w:r>
        <w:tab/>
      </w:r>
      <w:r>
        <w:tab/>
      </w:r>
      <w:r>
        <w:tab/>
      </w:r>
      <w:r>
        <w:tab/>
      </w:r>
    </w:p>
    <w:p w:rsidR="00932D0D" w:rsidP="00932D0D" w14:paraId="2B1D3E21" w14:textId="77777777"/>
    <w:p w:rsidR="00932D0D" w:rsidP="00932D0D" w14:paraId="1BE536C8" w14:textId="77777777"/>
    <w:p w:rsidR="00932D0D" w:rsidP="00932D0D" w14:paraId="43735260" w14:textId="77777777">
      <w:pPr>
        <w:ind w:left="3600" w:firstLine="720"/>
      </w:pPr>
      <w:r>
        <w:t>FEDERAL COMMUNICATIONS COMMISSION</w:t>
      </w:r>
    </w:p>
    <w:p w:rsidR="00932D0D" w:rsidP="00932D0D" w14:paraId="3A2BFDCC" w14:textId="77777777"/>
    <w:p w:rsidR="00932D0D" w:rsidP="00932D0D" w14:paraId="44B45B8B" w14:textId="77777777"/>
    <w:p w:rsidR="00932D0D" w:rsidP="00932D0D" w14:paraId="5628B491" w14:textId="77777777"/>
    <w:p w:rsidR="00932D0D" w:rsidP="00932D0D" w14:paraId="72A40D0B" w14:textId="77777777"/>
    <w:p w:rsidR="00932D0D" w:rsidP="00932D0D" w14:paraId="1A954E31" w14:textId="77777777">
      <w:r>
        <w:tab/>
      </w:r>
      <w:r>
        <w:tab/>
      </w:r>
      <w:r>
        <w:tab/>
      </w:r>
      <w:r>
        <w:tab/>
      </w:r>
      <w:r>
        <w:tab/>
      </w:r>
      <w:r>
        <w:tab/>
        <w:t>Kris Anne Monteith</w:t>
      </w:r>
    </w:p>
    <w:p w:rsidR="00932D0D" w:rsidP="00932D0D" w14:paraId="6CE5768E" w14:textId="77777777">
      <w:r>
        <w:tab/>
      </w:r>
      <w:r>
        <w:tab/>
      </w:r>
      <w:r>
        <w:tab/>
      </w:r>
      <w:r>
        <w:tab/>
      </w:r>
      <w:r>
        <w:tab/>
      </w:r>
      <w:r>
        <w:tab/>
        <w:t>Chief</w:t>
      </w:r>
    </w:p>
    <w:p w:rsidR="00932D0D" w:rsidP="00932D0D" w14:paraId="3A020DBD" w14:textId="77777777">
      <w:pPr>
        <w:ind w:left="3600" w:firstLine="720"/>
      </w:pPr>
      <w:r>
        <w:t>Wireline Competition Bureau</w:t>
      </w:r>
    </w:p>
    <w:p w:rsidR="00932D0D" w:rsidP="00932D0D" w14:paraId="7BD5D1B7" w14:textId="77777777">
      <w:pPr>
        <w:ind w:left="3600" w:firstLine="720"/>
      </w:pPr>
    </w:p>
    <w:p w:rsidR="00932D0D" w:rsidP="00932D0D" w14:paraId="54DB5350" w14:textId="77777777">
      <w:pPr>
        <w:ind w:left="3600" w:firstLine="720"/>
      </w:pPr>
      <w:r>
        <w:t>Patrick Webre</w:t>
      </w:r>
      <w:r>
        <w:tab/>
      </w:r>
    </w:p>
    <w:p w:rsidR="00932D0D" w:rsidP="00932D0D" w14:paraId="7D180B63" w14:textId="77777777">
      <w:r>
        <w:tab/>
      </w:r>
      <w:r>
        <w:tab/>
      </w:r>
      <w:r>
        <w:tab/>
      </w:r>
      <w:r>
        <w:tab/>
      </w:r>
      <w:r>
        <w:tab/>
      </w:r>
      <w:r>
        <w:tab/>
        <w:t>Chief</w:t>
      </w:r>
    </w:p>
    <w:p w:rsidR="00412FC5" w:rsidP="00932D0D" w14:paraId="4DAED68A" w14:textId="1E79C150">
      <w:r>
        <w:tab/>
      </w:r>
      <w:r>
        <w:tab/>
      </w:r>
      <w:r>
        <w:tab/>
      </w:r>
      <w:r>
        <w:tab/>
      </w:r>
      <w:r>
        <w:tab/>
      </w:r>
      <w:r>
        <w:tab/>
        <w:t>Consumer and Governmental Affairs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902A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CA53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32D0D" w14:paraId="0F76E666" w14:textId="387A0DF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AF132B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2D0D" w14:paraId="47695628" w14:textId="77777777">
      <w:r>
        <w:separator/>
      </w:r>
    </w:p>
  </w:footnote>
  <w:footnote w:type="continuationSeparator" w:id="1">
    <w:p w:rsidR="00932D0D" w:rsidP="00C721AC" w14:paraId="3D55AAC3" w14:textId="77777777">
      <w:pPr>
        <w:spacing w:before="120"/>
        <w:rPr>
          <w:sz w:val="20"/>
        </w:rPr>
      </w:pPr>
      <w:r>
        <w:rPr>
          <w:sz w:val="20"/>
        </w:rPr>
        <w:t xml:space="preserve">(Continued from previous page)  </w:t>
      </w:r>
      <w:r>
        <w:rPr>
          <w:sz w:val="20"/>
        </w:rPr>
        <w:separator/>
      </w:r>
    </w:p>
  </w:footnote>
  <w:footnote w:type="continuationNotice" w:id="2">
    <w:p w:rsidR="00932D0D" w:rsidP="00C721AC" w14:paraId="73C355AF" w14:textId="77777777">
      <w:pPr>
        <w:jc w:val="right"/>
        <w:rPr>
          <w:sz w:val="20"/>
        </w:rPr>
      </w:pPr>
      <w:r>
        <w:rPr>
          <w:sz w:val="20"/>
        </w:rPr>
        <w:t>(continued….)</w:t>
      </w:r>
    </w:p>
  </w:footnote>
  <w:footnote w:id="3">
    <w:p w:rsidR="00932D0D" w:rsidRPr="00360266" w:rsidP="00932D0D" w14:paraId="3FF9E6B7" w14:textId="77777777">
      <w:pPr>
        <w:pStyle w:val="FootnoteText"/>
        <w:rPr>
          <w:i/>
        </w:rPr>
      </w:pPr>
      <w:r>
        <w:rPr>
          <w:rStyle w:val="FootnoteReference"/>
        </w:rPr>
        <w:footnoteRef/>
      </w:r>
      <w:r>
        <w:t xml:space="preserve"> </w:t>
      </w:r>
      <w:r>
        <w:rPr>
          <w:iCs/>
        </w:rPr>
        <w:t>Federal Communications Commission, Advanced Methods to Target Robocalls, Call Authentication Trust Anchor</w:t>
      </w:r>
      <w:r>
        <w:t>, Proposed Rules, 86 Fed. Reg. 59084 (Oct. 26, 2021) (</w:t>
      </w:r>
      <w:r w:rsidRPr="004C2E70">
        <w:rPr>
          <w:i/>
          <w:iCs/>
        </w:rPr>
        <w:t>Federal Register Notice</w:t>
      </w:r>
      <w:r>
        <w:t xml:space="preserve">), </w:t>
      </w:r>
      <w:hyperlink r:id="rId1" w:history="1">
        <w:r w:rsidRPr="00983F93">
          <w:rPr>
            <w:rStyle w:val="Hyperlink"/>
          </w:rPr>
          <w:t>https://www.govinfo.gov/content/pkg/FR-2021-10-26/pdf/2021-23164.pdf</w:t>
        </w:r>
      </w:hyperlink>
      <w:r>
        <w:t xml:space="preserve">. </w:t>
      </w:r>
    </w:p>
  </w:footnote>
  <w:footnote w:id="4">
    <w:p w:rsidR="00932D0D" w:rsidRPr="008D3621" w:rsidP="00932D0D" w14:paraId="7114CD59" w14:textId="77777777">
      <w:pPr>
        <w:pStyle w:val="FootnoteText"/>
      </w:pPr>
      <w:r>
        <w:rPr>
          <w:rStyle w:val="FootnoteReference"/>
        </w:rPr>
        <w:footnoteRef/>
      </w:r>
      <w:r>
        <w:t xml:space="preserve"> </w:t>
      </w:r>
      <w:r>
        <w:rPr>
          <w:i/>
          <w:szCs w:val="22"/>
        </w:rPr>
        <w:t>Advanced Methods to Target and Eliminate Unlawful Robocalls</w:t>
      </w:r>
      <w:r>
        <w:t xml:space="preserve">; </w:t>
      </w:r>
      <w:r>
        <w:rPr>
          <w:i/>
          <w:szCs w:val="22"/>
        </w:rPr>
        <w:t>Call Authentication Trust Anchor,</w:t>
      </w:r>
      <w:r>
        <w:t xml:space="preserve"> CG Docket No. 17-59, WC Docket No. 17-97, Further Notice of Proposed Rulemaking, FCC 21-105 (rel. Oct. 1, 2021) (</w:t>
      </w:r>
      <w:r w:rsidRPr="00F87CEC">
        <w:rPr>
          <w:i/>
          <w:iCs/>
        </w:rPr>
        <w:t>Further Notice</w:t>
      </w:r>
      <w:r>
        <w:t xml:space="preserve">). </w:t>
      </w:r>
      <w:r w:rsidRPr="00FF1E5A">
        <w:t xml:space="preserve"> </w:t>
      </w:r>
      <w:r>
        <w:t xml:space="preserve">The document is available on the Commission’s website at </w:t>
      </w:r>
      <w:hyperlink r:id="rId2" w:history="1">
        <w:r w:rsidRPr="00E7050A">
          <w:rPr>
            <w:rStyle w:val="Hyperlink"/>
          </w:rPr>
          <w:t>https://docs.fcc.gov/public/attachments/FCC-21-105A1.pdf</w:t>
        </w:r>
      </w:hyperlink>
      <w:r>
        <w:t xml:space="preserve">.  The document is also available electronically via the Commission’s Electronic Document Management System (EDOCS) website at </w:t>
      </w:r>
      <w:hyperlink r:id="rId3" w:history="1">
        <w:r>
          <w:rPr>
            <w:rStyle w:val="Hyperlink"/>
          </w:rPr>
          <w:t>https://www.fcc.gov/edocs</w:t>
        </w:r>
      </w:hyperlink>
      <w:r>
        <w:t xml:space="preserve"> (by FCC number, FCC 21-105) or via the Commission’s Electronic Comment Filing System (ECFS) website at </w:t>
      </w:r>
      <w:hyperlink r:id="rId4" w:history="1">
        <w:r>
          <w:rPr>
            <w:rStyle w:val="Hyperlink"/>
          </w:rPr>
          <w:t>https://www.fcc.gov/ecfs/</w:t>
        </w:r>
      </w:hyperlink>
      <w:r>
        <w:t xml:space="preserve"> (by docket numbers, CG Docket No. 17-59 and WC Docket No. 17-97).</w:t>
      </w:r>
    </w:p>
  </w:footnote>
  <w:footnote w:id="5">
    <w:p w:rsidR="00932D0D" w:rsidRPr="00062F69" w:rsidP="00932D0D" w14:paraId="4616CB7D" w14:textId="77777777">
      <w:pPr>
        <w:pStyle w:val="FootnoteText"/>
      </w:pPr>
      <w:r>
        <w:rPr>
          <w:rStyle w:val="FootnoteReference"/>
        </w:rPr>
        <w:footnoteRef/>
      </w:r>
      <w:r>
        <w:t xml:space="preserve"> </w:t>
      </w:r>
      <w:r w:rsidRPr="00C37078">
        <w:rPr>
          <w:i/>
          <w:iCs/>
        </w:rPr>
        <w:t>Further Notice</w:t>
      </w:r>
      <w:r>
        <w:t xml:space="preserve">, paras. 22-111.  </w:t>
      </w:r>
    </w:p>
  </w:footnote>
  <w:footnote w:id="6">
    <w:p w:rsidR="00932D0D" w:rsidRPr="00360266" w:rsidP="00932D0D" w14:paraId="7389537F" w14:textId="77777777">
      <w:pPr>
        <w:pStyle w:val="FootnoteText"/>
      </w:pPr>
      <w:r>
        <w:rPr>
          <w:rStyle w:val="FootnoteReference"/>
        </w:rPr>
        <w:footnoteRef/>
      </w:r>
      <w:r>
        <w:t xml:space="preserve"> </w:t>
      </w:r>
      <w:r>
        <w:rPr>
          <w:i/>
        </w:rPr>
        <w:t>Id</w:t>
      </w:r>
      <w:r>
        <w:t>. at 1.</w:t>
      </w:r>
    </w:p>
  </w:footnote>
  <w:footnote w:id="7">
    <w:p w:rsidR="00932D0D" w:rsidRPr="009E4EB0" w:rsidP="00932D0D" w14:paraId="76552E36" w14:textId="77777777">
      <w:pPr>
        <w:pStyle w:val="FootnoteText"/>
        <w:rPr>
          <w:iCs/>
        </w:rPr>
      </w:pPr>
      <w:r>
        <w:rPr>
          <w:rStyle w:val="FootnoteReference"/>
        </w:rPr>
        <w:footnoteRef/>
      </w:r>
      <w:r>
        <w:t xml:space="preserve"> </w:t>
      </w:r>
      <w:r w:rsidRPr="00F87CEC">
        <w:rPr>
          <w:i/>
          <w:iCs/>
        </w:rPr>
        <w:t>See</w:t>
      </w:r>
      <w:r>
        <w:t xml:space="preserve"> </w:t>
      </w:r>
      <w:r>
        <w:rPr>
          <w:i/>
        </w:rPr>
        <w:t xml:space="preserve">Federal Register Notice, </w:t>
      </w:r>
      <w:r w:rsidRPr="00F87CEC">
        <w:rPr>
          <w:iCs/>
        </w:rPr>
        <w:t>86 Fed. Reg.</w:t>
      </w:r>
      <w:r>
        <w:rPr>
          <w:i/>
        </w:rPr>
        <w:t xml:space="preserve"> </w:t>
      </w:r>
      <w:r w:rsidRPr="00407C38">
        <w:rPr>
          <w:iCs/>
        </w:rPr>
        <w:t>at</w:t>
      </w:r>
      <w:r>
        <w:rPr>
          <w:i/>
        </w:rPr>
        <w:t xml:space="preserve"> </w:t>
      </w:r>
      <w:r w:rsidRPr="00F87CEC">
        <w:rPr>
          <w:iCs/>
        </w:rPr>
        <w:t>59084</w:t>
      </w:r>
      <w:r>
        <w:rPr>
          <w:i/>
        </w:rPr>
        <w:t xml:space="preserve">. </w:t>
      </w:r>
      <w:r>
        <w:rPr>
          <w:iCs/>
        </w:rPr>
        <w:t xml:space="preserve"> </w:t>
      </w:r>
    </w:p>
  </w:footnote>
  <w:footnote w:id="8">
    <w:p w:rsidR="00932D0D" w:rsidP="00932D0D" w14:paraId="3CDAD038" w14:textId="77777777">
      <w:pPr>
        <w:pStyle w:val="FootnoteText"/>
      </w:pPr>
      <w:r>
        <w:rPr>
          <w:rStyle w:val="FootnoteReference"/>
        </w:rPr>
        <w:footnoteRef/>
      </w:r>
      <w:r>
        <w:t xml:space="preserve"> </w:t>
      </w:r>
      <w:r w:rsidRPr="00860B3B">
        <w:rPr>
          <w:i/>
          <w:iCs/>
        </w:rPr>
        <w:t>See</w:t>
      </w:r>
      <w:r>
        <w:t xml:space="preserve"> Letter of Glenn S. Richards, Counsel, VON, to Marlene H. Dortch, Secretary, FCC, CG Docket No. 17-59 &amp; WC Docket No. 17-97 (filed Nov. 3, 2021). </w:t>
      </w:r>
    </w:p>
  </w:footnote>
  <w:footnote w:id="9">
    <w:p w:rsidR="00932D0D" w:rsidP="00932D0D" w14:paraId="3172BEE6" w14:textId="77777777">
      <w:pPr>
        <w:pStyle w:val="FootnoteText"/>
      </w:pPr>
      <w:r>
        <w:rPr>
          <w:rStyle w:val="FootnoteReference"/>
        </w:rPr>
        <w:footnoteRef/>
      </w:r>
      <w:r>
        <w:t xml:space="preserve"> </w:t>
      </w:r>
      <w:r w:rsidRPr="00860B3B">
        <w:rPr>
          <w:i/>
          <w:iCs/>
        </w:rPr>
        <w:t>See id.</w:t>
      </w:r>
      <w:r>
        <w:t xml:space="preserve"> </w:t>
      </w:r>
    </w:p>
  </w:footnote>
  <w:footnote w:id="10">
    <w:p w:rsidR="00932D0D" w:rsidP="00932D0D" w14:paraId="1A124D22" w14:textId="77777777">
      <w:pPr>
        <w:pStyle w:val="FootnoteText"/>
      </w:pPr>
      <w:r>
        <w:rPr>
          <w:rStyle w:val="FootnoteReference"/>
        </w:rPr>
        <w:footnoteRef/>
      </w:r>
      <w:r>
        <w:t xml:space="preserve"> </w:t>
      </w:r>
      <w:r w:rsidRPr="00860B3B">
        <w:rPr>
          <w:i/>
          <w:iCs/>
        </w:rPr>
        <w:t>See id.</w:t>
      </w:r>
      <w:r>
        <w:t xml:space="preserve"> n.1.</w:t>
      </w:r>
    </w:p>
  </w:footnote>
  <w:footnote w:id="11">
    <w:p w:rsidR="00932D0D" w:rsidP="00932D0D" w14:paraId="4B25C115" w14:textId="77777777">
      <w:pPr>
        <w:pStyle w:val="FootnoteText"/>
      </w:pPr>
      <w:r>
        <w:rPr>
          <w:rStyle w:val="FootnoteReference"/>
        </w:rPr>
        <w:footnoteRef/>
      </w:r>
      <w:r>
        <w:t xml:space="preserve"> 47 CFR § 1.46.  </w:t>
      </w:r>
    </w:p>
  </w:footnote>
  <w:footnote w:id="12">
    <w:p w:rsidR="00932D0D" w:rsidRPr="00F27104" w:rsidP="00932D0D" w14:paraId="026D1128" w14:textId="77777777">
      <w:pPr>
        <w:pStyle w:val="FootnoteText"/>
      </w:pPr>
      <w:r>
        <w:rPr>
          <w:rStyle w:val="FootnoteReference"/>
        </w:rPr>
        <w:footnoteRef/>
      </w:r>
      <w:r>
        <w:t xml:space="preserve"> </w:t>
      </w:r>
      <w:r>
        <w:rPr>
          <w:i/>
          <w:iCs/>
        </w:rPr>
        <w:t>See, e.g.</w:t>
      </w:r>
      <w:r>
        <w:t xml:space="preserve">, </w:t>
      </w:r>
      <w:r>
        <w:rPr>
          <w:i/>
          <w:iCs/>
        </w:rPr>
        <w:t>Audio Enterprises, Inc. Apparent Liability for Forfeiture</w:t>
      </w:r>
      <w:r>
        <w:t xml:space="preserve">, File No. ENF-88-04, Order, 3 FCC </w:t>
      </w:r>
      <w:r>
        <w:t>Rcd</w:t>
      </w:r>
      <w:r>
        <w:t xml:space="preserve"> 5402, para. 2 (Com. Car. Bur. 1988).  </w:t>
      </w:r>
    </w:p>
  </w:footnote>
  <w:footnote w:id="13">
    <w:p w:rsidR="00932D0D" w:rsidRPr="0078320D" w:rsidP="00932D0D" w14:paraId="2D37ECCC" w14:textId="77777777">
      <w:pPr>
        <w:pStyle w:val="FootnoteText"/>
      </w:pPr>
      <w:r>
        <w:rPr>
          <w:rStyle w:val="FootnoteReference"/>
        </w:rPr>
        <w:footnoteRef/>
      </w:r>
      <w:r>
        <w:t xml:space="preserve"> </w:t>
      </w:r>
      <w:r>
        <w:rPr>
          <w:i/>
          <w:iCs/>
        </w:rPr>
        <w:t>Id.</w:t>
      </w:r>
      <w:r>
        <w:t xml:space="preserve">  </w:t>
      </w:r>
    </w:p>
  </w:footnote>
  <w:footnote w:id="14">
    <w:p w:rsidR="00932D0D" w:rsidRPr="00FD3527" w:rsidP="00932D0D" w14:paraId="5584099B" w14:textId="77777777">
      <w:pPr>
        <w:pStyle w:val="FootnoteText"/>
      </w:pPr>
      <w:r>
        <w:rPr>
          <w:rStyle w:val="FootnoteReference"/>
        </w:rPr>
        <w:footnoteRef/>
      </w:r>
      <w:r>
        <w:t xml:space="preserve"> </w:t>
      </w:r>
      <w:r>
        <w:rPr>
          <w:i/>
          <w:iCs/>
        </w:rPr>
        <w:t>See, e.g.</w:t>
      </w:r>
      <w:r>
        <w:t>,</w:t>
      </w:r>
      <w:r>
        <w:rPr>
          <w:i/>
          <w:iCs/>
        </w:rPr>
        <w:t xml:space="preserve"> Wireless E911 Location Accuracy Requirements</w:t>
      </w:r>
      <w:r>
        <w:t xml:space="preserve">, PS Docket No. 07-114, Order, 35 FCC </w:t>
      </w:r>
      <w:r>
        <w:t>Rcd</w:t>
      </w:r>
      <w:r>
        <w:t xml:space="preserve"> 193, 194, para. 3 (PSHSB 2020); </w:t>
      </w:r>
      <w:r>
        <w:rPr>
          <w:i/>
          <w:iCs/>
        </w:rPr>
        <w:t>see also</w:t>
      </w:r>
      <w:r>
        <w:t xml:space="preserve"> </w:t>
      </w:r>
      <w:r>
        <w:rPr>
          <w:i/>
          <w:iCs/>
        </w:rPr>
        <w:t>Protecting Against National Security Threats to the Communications Supply Chain Through FCC Programs</w:t>
      </w:r>
      <w:r>
        <w:t xml:space="preserve">, WC Docket No. 18-89, Order, 35 FCC </w:t>
      </w:r>
      <w:r>
        <w:t>Rcd</w:t>
      </w:r>
      <w:r>
        <w:t xml:space="preserve"> 2998, 2999, para. 6 (WCB &amp; OEA 2020).  </w:t>
      </w:r>
    </w:p>
  </w:footnote>
  <w:footnote w:id="15">
    <w:p w:rsidR="00932D0D" w:rsidP="00932D0D" w14:paraId="45715254" w14:textId="0FD5C758">
      <w:pPr>
        <w:pStyle w:val="FootnoteText"/>
      </w:pPr>
      <w:r>
        <w:rPr>
          <w:rStyle w:val="FootnoteReference"/>
        </w:rPr>
        <w:footnoteRef/>
      </w:r>
      <w:r>
        <w:t xml:space="preserve"> </w:t>
      </w:r>
      <w:r w:rsidRPr="00F87CEC">
        <w:rPr>
          <w:i/>
          <w:iCs/>
        </w:rPr>
        <w:t>See, e.g.</w:t>
      </w:r>
      <w:r w:rsidRPr="000D1C39">
        <w:t>,</w:t>
      </w:r>
      <w:r>
        <w:t xml:space="preserve"> </w:t>
      </w:r>
      <w:r w:rsidRPr="00F87CEC">
        <w:rPr>
          <w:i/>
          <w:iCs/>
        </w:rPr>
        <w:t>Intel Corporation’s Request for Waiver of Section 76.640(B)(4) of the Commission’s Rules</w:t>
      </w:r>
      <w:r>
        <w:t xml:space="preserve">, CS Docket No. 97-80, Order, 24 FCC </w:t>
      </w:r>
      <w:r>
        <w:t>Rcd</w:t>
      </w:r>
      <w:r>
        <w:t xml:space="preserve"> 14104 (MB 2015) (in response to a request, extending deadline for filing oppositions to a waiver request by ten days “[g]</w:t>
      </w:r>
      <w:r>
        <w:t>iven</w:t>
      </w:r>
      <w:r>
        <w:t xml:space="preserve"> that the Thanksgiving holiday effectively shortened the normal time for filing comments, and that the requested extension will not interfere with the Commission’s ability to timely consider the waiver request”).  </w:t>
      </w:r>
    </w:p>
  </w:footnote>
  <w:footnote w:id="16">
    <w:p w:rsidR="00932D0D" w:rsidRPr="00D4736B" w:rsidP="00932D0D" w14:paraId="2770443F" w14:textId="77777777">
      <w:pPr>
        <w:pStyle w:val="FootnoteText"/>
      </w:pPr>
      <w:r>
        <w:rPr>
          <w:rStyle w:val="FootnoteReference"/>
        </w:rPr>
        <w:footnoteRef/>
      </w:r>
      <w:r>
        <w:t xml:space="preserve"> </w:t>
      </w:r>
      <w:r>
        <w:rPr>
          <w:i/>
        </w:rPr>
        <w:t xml:space="preserve">See Further Notice </w:t>
      </w:r>
      <w:r>
        <w:t xml:space="preserve">at paras. 123-26; </w:t>
      </w:r>
      <w:r w:rsidRPr="004C2E70">
        <w:rPr>
          <w:i/>
          <w:iCs/>
        </w:rPr>
        <w:t>Federal Register Notice</w:t>
      </w:r>
      <w:r>
        <w:t>, 86 Fed. Reg. at 59084.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64EAE0" w14:textId="7CFFCB6D">
    <w:pPr>
      <w:pStyle w:val="Header"/>
      <w:rPr>
        <w:b w:val="0"/>
      </w:rPr>
    </w:pPr>
    <w:r>
      <w:tab/>
      <w:t>Federal Communications Commission</w:t>
    </w:r>
    <w:r>
      <w:tab/>
    </w:r>
    <w:r w:rsidR="00483E69">
      <w:t>DA 21-1395</w:t>
    </w:r>
  </w:p>
  <w:p w:rsidR="00D25FB5" w14:paraId="69939E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F3233A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A814E1" w14:textId="7F95CA3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436C9">
      <w:rPr>
        <w:spacing w:val="-2"/>
      </w:rPr>
      <w:t>DA 21-1395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0D"/>
    <w:rsid w:val="00036039"/>
    <w:rsid w:val="00037F90"/>
    <w:rsid w:val="00062F69"/>
    <w:rsid w:val="000875BF"/>
    <w:rsid w:val="00094DA7"/>
    <w:rsid w:val="00096D8C"/>
    <w:rsid w:val="000B3058"/>
    <w:rsid w:val="000C0B65"/>
    <w:rsid w:val="000D1C39"/>
    <w:rsid w:val="000E05FE"/>
    <w:rsid w:val="000E3D42"/>
    <w:rsid w:val="001128ED"/>
    <w:rsid w:val="00122BD5"/>
    <w:rsid w:val="00133F79"/>
    <w:rsid w:val="0014111C"/>
    <w:rsid w:val="00194A66"/>
    <w:rsid w:val="001D6BCF"/>
    <w:rsid w:val="001E01CA"/>
    <w:rsid w:val="00251121"/>
    <w:rsid w:val="00275CF5"/>
    <w:rsid w:val="0028301F"/>
    <w:rsid w:val="00285017"/>
    <w:rsid w:val="002A2D2E"/>
    <w:rsid w:val="002C00E8"/>
    <w:rsid w:val="00343749"/>
    <w:rsid w:val="00360266"/>
    <w:rsid w:val="003660ED"/>
    <w:rsid w:val="003B0550"/>
    <w:rsid w:val="003B694F"/>
    <w:rsid w:val="003F171C"/>
    <w:rsid w:val="00407C38"/>
    <w:rsid w:val="00412FC5"/>
    <w:rsid w:val="00422276"/>
    <w:rsid w:val="004242F1"/>
    <w:rsid w:val="00445A00"/>
    <w:rsid w:val="00451B0F"/>
    <w:rsid w:val="00483E69"/>
    <w:rsid w:val="004C2E70"/>
    <w:rsid w:val="004C2EE3"/>
    <w:rsid w:val="004E4A22"/>
    <w:rsid w:val="00511968"/>
    <w:rsid w:val="00513DE7"/>
    <w:rsid w:val="0054268C"/>
    <w:rsid w:val="0055614C"/>
    <w:rsid w:val="00566D06"/>
    <w:rsid w:val="005E14C2"/>
    <w:rsid w:val="00607BA5"/>
    <w:rsid w:val="0061180A"/>
    <w:rsid w:val="00626EB6"/>
    <w:rsid w:val="00655D03"/>
    <w:rsid w:val="00683388"/>
    <w:rsid w:val="00683F84"/>
    <w:rsid w:val="006A6A81"/>
    <w:rsid w:val="006F7393"/>
    <w:rsid w:val="0070224F"/>
    <w:rsid w:val="007115F7"/>
    <w:rsid w:val="0078320D"/>
    <w:rsid w:val="00785689"/>
    <w:rsid w:val="0079754B"/>
    <w:rsid w:val="007A1E6D"/>
    <w:rsid w:val="007B0EB2"/>
    <w:rsid w:val="007C776F"/>
    <w:rsid w:val="00810B6F"/>
    <w:rsid w:val="00822CE0"/>
    <w:rsid w:val="00841AB1"/>
    <w:rsid w:val="00860B3B"/>
    <w:rsid w:val="008A5FCF"/>
    <w:rsid w:val="008C68F1"/>
    <w:rsid w:val="008D3621"/>
    <w:rsid w:val="00921803"/>
    <w:rsid w:val="00924669"/>
    <w:rsid w:val="00925851"/>
    <w:rsid w:val="00926503"/>
    <w:rsid w:val="00932D0D"/>
    <w:rsid w:val="009726D8"/>
    <w:rsid w:val="0097753D"/>
    <w:rsid w:val="00983F93"/>
    <w:rsid w:val="009D7308"/>
    <w:rsid w:val="009E4EB0"/>
    <w:rsid w:val="009F76DB"/>
    <w:rsid w:val="00A00FE9"/>
    <w:rsid w:val="00A32C3B"/>
    <w:rsid w:val="00A45F4F"/>
    <w:rsid w:val="00A600A9"/>
    <w:rsid w:val="00A86E99"/>
    <w:rsid w:val="00AA55B7"/>
    <w:rsid w:val="00AA5B9E"/>
    <w:rsid w:val="00AB2407"/>
    <w:rsid w:val="00AB53DF"/>
    <w:rsid w:val="00B07E5C"/>
    <w:rsid w:val="00B811F7"/>
    <w:rsid w:val="00BA5DC6"/>
    <w:rsid w:val="00BA6196"/>
    <w:rsid w:val="00BC0CA6"/>
    <w:rsid w:val="00BC6D8C"/>
    <w:rsid w:val="00C34006"/>
    <w:rsid w:val="00C36B4C"/>
    <w:rsid w:val="00C37078"/>
    <w:rsid w:val="00C426B1"/>
    <w:rsid w:val="00C436C9"/>
    <w:rsid w:val="00C66160"/>
    <w:rsid w:val="00C721AC"/>
    <w:rsid w:val="00C90D6A"/>
    <w:rsid w:val="00CA247E"/>
    <w:rsid w:val="00CA6D21"/>
    <w:rsid w:val="00CC72B6"/>
    <w:rsid w:val="00D0218D"/>
    <w:rsid w:val="00D25FB5"/>
    <w:rsid w:val="00D44223"/>
    <w:rsid w:val="00D4736B"/>
    <w:rsid w:val="00DA2529"/>
    <w:rsid w:val="00DB130A"/>
    <w:rsid w:val="00DB2EBB"/>
    <w:rsid w:val="00DC10A1"/>
    <w:rsid w:val="00DC655F"/>
    <w:rsid w:val="00DD0B59"/>
    <w:rsid w:val="00DD7EBD"/>
    <w:rsid w:val="00DF62B6"/>
    <w:rsid w:val="00E07225"/>
    <w:rsid w:val="00E5409F"/>
    <w:rsid w:val="00E67E71"/>
    <w:rsid w:val="00E7050A"/>
    <w:rsid w:val="00EE6488"/>
    <w:rsid w:val="00F021FA"/>
    <w:rsid w:val="00F27104"/>
    <w:rsid w:val="00F62E97"/>
    <w:rsid w:val="00F64209"/>
    <w:rsid w:val="00F87CEC"/>
    <w:rsid w:val="00F93BF5"/>
    <w:rsid w:val="00FD3527"/>
    <w:rsid w:val="00FF1E5A"/>
    <w:rsid w:val="72F4D4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E297E4"/>
  <w15:chartTrackingRefBased/>
  <w15:docId w15:val="{C6C7FF2D-08A1-4FC0-8DB2-6977AAB2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link w:val="FootnoteText"/>
    <w:rsid w:val="00932D0D"/>
  </w:style>
  <w:style w:type="character" w:customStyle="1" w:styleId="ParaNumChar">
    <w:name w:val="ParaNum Char"/>
    <w:link w:val="ParaNum"/>
    <w:locked/>
    <w:rsid w:val="00932D0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jerusha.burnett@fcc.gov" TargetMode="External" /><Relationship Id="rId7" Type="http://schemas.openxmlformats.org/officeDocument/2006/relationships/hyperlink" Target="mailto:Jonathan.lechte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FR-2021-10-26/pdf/2021-23164.pdf" TargetMode="External" /><Relationship Id="rId2" Type="http://schemas.openxmlformats.org/officeDocument/2006/relationships/hyperlink" Target="https://docs.fcc.gov/public/attachments/FCC-21-105A1.pdf" TargetMode="External" /><Relationship Id="rId3" Type="http://schemas.openxmlformats.org/officeDocument/2006/relationships/hyperlink" Target="https://www.fcc.gov/edocs" TargetMode="External" /><Relationship Id="rId4" Type="http://schemas.openxmlformats.org/officeDocument/2006/relationships/hyperlink" Target="https://www.fcc.gov/ecf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