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4935B85" w14:textId="46D86ECB">
      <w:pPr>
        <w:jc w:val="right"/>
        <w:rPr>
          <w:b/>
          <w:sz w:val="24"/>
        </w:rPr>
      </w:pPr>
      <w:r>
        <w:rPr>
          <w:b/>
          <w:sz w:val="24"/>
        </w:rPr>
        <w:t>DA 21-</w:t>
      </w:r>
      <w:r w:rsidR="007A2963">
        <w:rPr>
          <w:b/>
          <w:sz w:val="24"/>
        </w:rPr>
        <w:t>1403</w:t>
      </w:r>
    </w:p>
    <w:p w:rsidR="00013A8B" w:rsidRPr="00B20363" w:rsidP="00013A8B" w14:paraId="642ADD73" w14:textId="781F300B">
      <w:pPr>
        <w:spacing w:before="60"/>
        <w:jc w:val="right"/>
        <w:rPr>
          <w:b/>
          <w:sz w:val="24"/>
        </w:rPr>
      </w:pPr>
      <w:r>
        <w:rPr>
          <w:b/>
          <w:sz w:val="24"/>
        </w:rPr>
        <w:t xml:space="preserve">Released:  </w:t>
      </w:r>
      <w:r w:rsidR="00AC1B75">
        <w:rPr>
          <w:b/>
          <w:sz w:val="24"/>
        </w:rPr>
        <w:t>November 9</w:t>
      </w:r>
      <w:r w:rsidR="00B01BFF">
        <w:rPr>
          <w:b/>
          <w:sz w:val="24"/>
        </w:rPr>
        <w:t>, 2021</w:t>
      </w:r>
    </w:p>
    <w:p w:rsidR="00013A8B" w:rsidP="00013A8B" w14:paraId="5B7E6057" w14:textId="77777777">
      <w:pPr>
        <w:jc w:val="right"/>
        <w:rPr>
          <w:sz w:val="24"/>
        </w:rPr>
      </w:pPr>
    </w:p>
    <w:p w:rsidR="00B01BFF" w:rsidP="00B01BFF" w14:paraId="6B8CB23C" w14:textId="3D0A1BB7">
      <w:pPr>
        <w:spacing w:after="240"/>
        <w:jc w:val="center"/>
        <w:rPr>
          <w:rFonts w:ascii="Times New Roman Bold" w:hAnsi="Times New Roman Bold"/>
          <w:b/>
          <w:bCs/>
          <w:caps/>
          <w:sz w:val="24"/>
          <w:szCs w:val="24"/>
        </w:rPr>
      </w:pPr>
      <w:r w:rsidRPr="66FD8D42">
        <w:rPr>
          <w:rFonts w:ascii="Times New Roman Bold" w:hAnsi="Times New Roman Bold"/>
          <w:b/>
          <w:bCs/>
          <w:caps/>
          <w:sz w:val="24"/>
          <w:szCs w:val="24"/>
        </w:rPr>
        <w:t xml:space="preserve">Wireline Competition Bureau </w:t>
      </w:r>
      <w:r w:rsidR="006D247C">
        <w:rPr>
          <w:rFonts w:ascii="Times New Roman Bold" w:hAnsi="Times New Roman Bold"/>
          <w:b/>
          <w:bCs/>
          <w:caps/>
          <w:sz w:val="24"/>
          <w:szCs w:val="24"/>
        </w:rPr>
        <w:t xml:space="preserve">completes initial phase of COVID-19 TELEHEALTH PROGRAM ROUND 2 </w:t>
      </w:r>
      <w:r w:rsidR="00AE3840">
        <w:rPr>
          <w:rFonts w:ascii="Times New Roman Bold" w:hAnsi="Times New Roman Bold"/>
          <w:b/>
          <w:bCs/>
          <w:caps/>
          <w:sz w:val="24"/>
          <w:szCs w:val="24"/>
        </w:rPr>
        <w:t xml:space="preserve">AWARDS </w:t>
      </w:r>
      <w:r w:rsidR="006D247C">
        <w:rPr>
          <w:rFonts w:ascii="Times New Roman Bold" w:hAnsi="Times New Roman Bold"/>
          <w:b/>
          <w:bCs/>
          <w:caps/>
          <w:sz w:val="24"/>
          <w:szCs w:val="24"/>
        </w:rPr>
        <w:t xml:space="preserve">AND commences </w:t>
      </w:r>
      <w:r w:rsidR="00E63764">
        <w:rPr>
          <w:rFonts w:ascii="Times New Roman Bold" w:hAnsi="Times New Roman Bold"/>
          <w:b/>
          <w:bCs/>
          <w:caps/>
          <w:sz w:val="24"/>
          <w:szCs w:val="24"/>
        </w:rPr>
        <w:t>ten-day resubmission period</w:t>
      </w:r>
    </w:p>
    <w:p w:rsidR="00B01BFF" w:rsidRPr="00605545" w:rsidP="00B01BFF" w14:paraId="2D6C8D43" w14:textId="35C7E13E">
      <w:pPr>
        <w:spacing w:after="240"/>
        <w:jc w:val="center"/>
        <w:rPr>
          <w:b/>
          <w:bCs/>
          <w:i/>
          <w:iCs/>
          <w:sz w:val="24"/>
          <w:szCs w:val="24"/>
        </w:rPr>
      </w:pPr>
      <w:r>
        <w:rPr>
          <w:b/>
          <w:bCs/>
          <w:i/>
          <w:iCs/>
          <w:sz w:val="24"/>
          <w:szCs w:val="24"/>
        </w:rPr>
        <w:t>75</w:t>
      </w:r>
      <w:r w:rsidRPr="6B57ECD3">
        <w:rPr>
          <w:b/>
          <w:bCs/>
          <w:i/>
          <w:iCs/>
          <w:sz w:val="24"/>
          <w:szCs w:val="24"/>
        </w:rPr>
        <w:t xml:space="preserve"> </w:t>
      </w:r>
      <w:r w:rsidRPr="66FD8D42" w:rsidR="004274E7">
        <w:rPr>
          <w:b/>
          <w:bCs/>
          <w:i/>
          <w:iCs/>
          <w:sz w:val="24"/>
          <w:szCs w:val="24"/>
        </w:rPr>
        <w:t>Health Care Providers Receive Critical Support for Telehealth and Connected Care Services</w:t>
      </w:r>
      <w:r w:rsidR="00713635">
        <w:rPr>
          <w:b/>
          <w:bCs/>
          <w:i/>
          <w:iCs/>
          <w:sz w:val="24"/>
          <w:szCs w:val="24"/>
        </w:rPr>
        <w:t xml:space="preserve"> in the Initial Phase </w:t>
      </w:r>
    </w:p>
    <w:p w:rsidR="00013A8B" w:rsidP="00013A8B" w14:paraId="09A5B95A" w14:textId="79F4F1B6">
      <w:pPr>
        <w:jc w:val="center"/>
        <w:rPr>
          <w:b/>
          <w:sz w:val="24"/>
        </w:rPr>
      </w:pPr>
      <w:r>
        <w:rPr>
          <w:b/>
          <w:sz w:val="24"/>
        </w:rPr>
        <w:t>WC Docket No. 20-89</w:t>
      </w:r>
    </w:p>
    <w:p w:rsidR="0072090C" w:rsidP="0072090C" w14:paraId="4B2450A6" w14:textId="77777777"/>
    <w:p w:rsidR="00713CE0" w:rsidP="0072090C" w14:paraId="1134550D" w14:textId="688DA16D">
      <w:pPr>
        <w:spacing w:after="120"/>
        <w:ind w:firstLine="720"/>
      </w:pPr>
      <w:r>
        <w:t xml:space="preserve">Today, the Wireline Competition Bureau (Bureau) approves the </w:t>
      </w:r>
      <w:r w:rsidR="008463B4">
        <w:t>fourth</w:t>
      </w:r>
      <w:r w:rsidR="00BB33B9">
        <w:t xml:space="preserve"> </w:t>
      </w:r>
      <w:r>
        <w:t xml:space="preserve">group of funding commitments under </w:t>
      </w:r>
      <w:r w:rsidRPr="00EA4A42">
        <w:t>Round 2 of the Coronavirus Disease 2019 (COVID-19) Telehealth Program (Program)</w:t>
      </w:r>
      <w:r>
        <w:t xml:space="preserve"> and commits $</w:t>
      </w:r>
      <w:r w:rsidR="00224732">
        <w:t>42</w:t>
      </w:r>
      <w:r w:rsidR="00FF3A9C">
        <w:t>,</w:t>
      </w:r>
      <w:r w:rsidR="00224732">
        <w:t>163</w:t>
      </w:r>
      <w:r w:rsidR="00FF3A9C">
        <w:t>,</w:t>
      </w:r>
      <w:r w:rsidR="00224732">
        <w:t xml:space="preserve">705 </w:t>
      </w:r>
      <w:r>
        <w:t xml:space="preserve">in funding to </w:t>
      </w:r>
      <w:r w:rsidR="00224732">
        <w:t xml:space="preserve">75 </w:t>
      </w:r>
      <w:r>
        <w:t>health care providers across the Nation.</w:t>
      </w:r>
      <w:r>
        <w:rPr>
          <w:rStyle w:val="FootnoteReference"/>
        </w:rPr>
        <w:footnoteReference w:id="3"/>
      </w:r>
      <w:r>
        <w:t xml:space="preserve">  The funding commitments made today will provide critical support to health care providers on the front lines in the fight against the ongoing coronavirus pandemic.  </w:t>
      </w:r>
      <w:r>
        <w:t xml:space="preserve">A full list of the funding awardees is included in Appendix A of this Public Notice.  </w:t>
      </w:r>
    </w:p>
    <w:p w:rsidR="0072090C" w:rsidP="0072090C" w14:paraId="4B36D622" w14:textId="37869487">
      <w:pPr>
        <w:spacing w:after="120"/>
        <w:ind w:firstLine="720"/>
      </w:pPr>
      <w:r>
        <w:t>T</w:t>
      </w:r>
      <w:r w:rsidR="00795D77">
        <w:t xml:space="preserve">his Public Notice completes the initial </w:t>
      </w:r>
      <w:r w:rsidR="00EF6249">
        <w:t xml:space="preserve">commitment </w:t>
      </w:r>
      <w:r w:rsidR="00795D77">
        <w:t>phase of the Program</w:t>
      </w:r>
      <w:r w:rsidR="004D4066">
        <w:t xml:space="preserve">.  All Program applicants that </w:t>
      </w:r>
      <w:r w:rsidR="00762226">
        <w:t>did not receive funding commitments</w:t>
      </w:r>
      <w:r w:rsidR="00980516">
        <w:t xml:space="preserve"> as part </w:t>
      </w:r>
      <w:r w:rsidR="002766A8">
        <w:t xml:space="preserve">of this initial phase </w:t>
      </w:r>
      <w:r w:rsidR="00AE3840">
        <w:t xml:space="preserve">may </w:t>
      </w:r>
      <w:r w:rsidR="002766A8">
        <w:t>supplement their application</w:t>
      </w:r>
      <w:r w:rsidR="00F54EE8">
        <w:t>s</w:t>
      </w:r>
      <w:r w:rsidR="00AE3840">
        <w:t xml:space="preserve"> during the </w:t>
      </w:r>
      <w:r w:rsidR="00895629">
        <w:t>ten-day resubmission period</w:t>
      </w:r>
      <w:r w:rsidR="00050D88">
        <w:t xml:space="preserve">, which will close on </w:t>
      </w:r>
      <w:r w:rsidR="00F65E74">
        <w:rPr>
          <w:b/>
          <w:bCs/>
        </w:rPr>
        <w:t>Friday, November 19, at 5 PM ET</w:t>
      </w:r>
      <w:r w:rsidR="00D272E3">
        <w:rPr>
          <w:b/>
          <w:bCs/>
        </w:rPr>
        <w:t>.</w:t>
      </w:r>
    </w:p>
    <w:p w:rsidR="0072090C" w:rsidP="0072090C" w14:paraId="4DB3C36E" w14:textId="57558563">
      <w:pPr>
        <w:widowControl/>
        <w:spacing w:after="120"/>
        <w:ind w:firstLine="720"/>
      </w:pPr>
      <w:r>
        <w:t xml:space="preserve">The Federal Communications Commission (Commission) established the Program in April 2020 </w:t>
      </w:r>
      <w:r w:rsidRPr="00EA4A42">
        <w:t>pursuant to the Coronavirus Aid, Relief, and Economic Security (CARES) Act</w:t>
      </w:r>
      <w:r>
        <w:rPr>
          <w:rStyle w:val="FootnoteReference"/>
        </w:rPr>
        <w:footnoteReference w:id="4"/>
      </w:r>
      <w:r>
        <w:t xml:space="preserve"> to provide $200 million in emergency funding to health care providers for</w:t>
      </w:r>
      <w:r w:rsidRPr="00E2385B">
        <w:t xml:space="preserve"> telehealth and connected care services in response to COVID-19</w:t>
      </w:r>
      <w:r>
        <w:t>.</w:t>
      </w:r>
      <w:r>
        <w:rPr>
          <w:rStyle w:val="FootnoteReference"/>
        </w:rPr>
        <w:footnoteReference w:id="5"/>
      </w:r>
      <w:r>
        <w:t xml:space="preserve">  To build on the Program’s success, Congress appropriated </w:t>
      </w:r>
      <w:r w:rsidRPr="006F7CF3">
        <w:t>$249.95 million</w:t>
      </w:r>
      <w:r>
        <w:t xml:space="preserve"> </w:t>
      </w:r>
      <w:r w:rsidR="00AE3840">
        <w:t xml:space="preserve">in additional funding in </w:t>
      </w:r>
      <w:r>
        <w:t>the Consolidated Appropriations Act, 2021</w:t>
      </w:r>
      <w:r w:rsidRPr="00EA4A42">
        <w:t>.</w:t>
      </w:r>
      <w:r>
        <w:rPr>
          <w:rStyle w:val="FootnoteReference"/>
        </w:rPr>
        <w:footnoteReference w:id="6"/>
      </w:r>
      <w:r>
        <w:t xml:space="preserve">  </w:t>
      </w:r>
      <w:r w:rsidRPr="00EA4A42">
        <w:t xml:space="preserve">On March 30, 2021, </w:t>
      </w:r>
      <w:r>
        <w:t xml:space="preserve">the </w:t>
      </w:r>
      <w:r w:rsidRPr="00EA4A42">
        <w:t>Commission</w:t>
      </w:r>
      <w:r>
        <w:t xml:space="preserve"> </w:t>
      </w:r>
      <w:r w:rsidRPr="00EA4A42">
        <w:t xml:space="preserve">released </w:t>
      </w:r>
      <w:r w:rsidRPr="00EA4A42">
        <w:t xml:space="preserve">the </w:t>
      </w:r>
      <w:r w:rsidRPr="66FD8D42">
        <w:rPr>
          <w:i/>
          <w:iCs/>
        </w:rPr>
        <w:t>Second COVID-19 Report and Order</w:t>
      </w:r>
      <w:r w:rsidRPr="00EA4A42">
        <w:t>,</w:t>
      </w:r>
      <w:r>
        <w:rPr>
          <w:rStyle w:val="FootnoteReference"/>
        </w:rPr>
        <w:footnoteReference w:id="7"/>
      </w:r>
      <w:r w:rsidRPr="00EA4A42">
        <w:t xml:space="preserve"> </w:t>
      </w:r>
      <w:r>
        <w:t>which initiated</w:t>
      </w:r>
      <w:r w:rsidRPr="00EA4A42">
        <w:t xml:space="preserve"> </w:t>
      </w:r>
      <w:r>
        <w:t>Round 2 of the Program by adopting additional requirements and processes to implement Congressional direction and improve Program administration.  Applications for Round 2 were accepted from</w:t>
      </w:r>
      <w:r w:rsidRPr="003C0B48">
        <w:t xml:space="preserve"> April 29</w:t>
      </w:r>
      <w:r w:rsidRPr="00FD1589">
        <w:t>, 2021</w:t>
      </w:r>
      <w:r>
        <w:t>,</w:t>
      </w:r>
      <w:r w:rsidRPr="00FD1589">
        <w:t xml:space="preserve"> through </w:t>
      </w:r>
      <w:r w:rsidRPr="00AA052C">
        <w:t>May 6, 2021</w:t>
      </w:r>
      <w:r>
        <w:t>.</w:t>
      </w:r>
      <w:r>
        <w:rPr>
          <w:rStyle w:val="FootnoteReference"/>
        </w:rPr>
        <w:footnoteReference w:id="8"/>
      </w:r>
      <w:r>
        <w:t xml:space="preserve">   </w:t>
      </w:r>
    </w:p>
    <w:p w:rsidR="00F95F74" w:rsidP="00F95F74" w14:paraId="618752C8" w14:textId="2AF17935">
      <w:pPr>
        <w:spacing w:after="120"/>
        <w:ind w:firstLine="720"/>
      </w:pPr>
      <w:r>
        <w:t xml:space="preserve">As the Commission established in the </w:t>
      </w:r>
      <w:r w:rsidRPr="66FD8D42">
        <w:rPr>
          <w:i/>
          <w:iCs/>
        </w:rPr>
        <w:t>Second COVID-19 Report and Order</w:t>
      </w:r>
      <w:r>
        <w:t>, f</w:t>
      </w:r>
      <w:r w:rsidRPr="006F7CF3">
        <w:t xml:space="preserve">unding for Round 2 of the Program </w:t>
      </w:r>
      <w:r>
        <w:t>is to</w:t>
      </w:r>
      <w:r w:rsidRPr="006F7CF3">
        <w:t xml:space="preserve"> be awarded in two phases</w:t>
      </w:r>
      <w:r>
        <w:t>.</w:t>
      </w:r>
      <w:r>
        <w:rPr>
          <w:rStyle w:val="FootnoteReference"/>
        </w:rPr>
        <w:footnoteReference w:id="9"/>
      </w:r>
      <w:r>
        <w:t xml:space="preserve">  </w:t>
      </w:r>
      <w:r w:rsidRPr="006F7CF3">
        <w:t xml:space="preserve">In the initial commitment phase, at least $150 million </w:t>
      </w:r>
      <w:r w:rsidR="009148E6">
        <w:t>was to be</w:t>
      </w:r>
      <w:r w:rsidRPr="006F7CF3">
        <w:t xml:space="preserve"> awarded</w:t>
      </w:r>
      <w:r>
        <w:t xml:space="preserve"> based in part on geographic considerations and on the objective evaluation metrics outlined in the</w:t>
      </w:r>
      <w:r w:rsidRPr="66FD8D42">
        <w:rPr>
          <w:i/>
          <w:iCs/>
        </w:rPr>
        <w:t xml:space="preserve"> Second COVID-19 Report and Order</w:t>
      </w:r>
      <w:r w:rsidRPr="006F7CF3">
        <w:t>.</w:t>
      </w:r>
      <w:r>
        <w:rPr>
          <w:rStyle w:val="FootnoteReference"/>
        </w:rPr>
        <w:footnoteReference w:id="10"/>
      </w:r>
      <w:r>
        <w:t xml:space="preserve">  To date, </w:t>
      </w:r>
      <w:r w:rsidR="00DA1A01">
        <w:t xml:space="preserve">280 </w:t>
      </w:r>
      <w:r>
        <w:t xml:space="preserve">awardees have received funding commitments for </w:t>
      </w:r>
      <w:r w:rsidR="00277FB8">
        <w:t>$165,</w:t>
      </w:r>
      <w:r w:rsidR="00DA1A01">
        <w:t>726</w:t>
      </w:r>
      <w:r w:rsidR="00277FB8">
        <w:t>,</w:t>
      </w:r>
      <w:r w:rsidR="00DA1A01">
        <w:t>081</w:t>
      </w:r>
      <w:r>
        <w:t>.</w:t>
      </w:r>
      <w:r w:rsidR="0094469A">
        <w:t xml:space="preserve">  </w:t>
      </w:r>
    </w:p>
    <w:p w:rsidR="00F95F74" w:rsidP="0019078F" w14:paraId="07DED5F1" w14:textId="04C36A95">
      <w:pPr>
        <w:spacing w:after="120"/>
        <w:ind w:firstLine="720"/>
      </w:pPr>
      <w:r>
        <w:t xml:space="preserve">All </w:t>
      </w:r>
      <w:r>
        <w:t>applicants that did not receive a funding commitment during the initial commitment phase will now have ten days to supplement their applications</w:t>
      </w:r>
      <w:r>
        <w:t xml:space="preserve"> as required by the Consolidated Appropriations Act</w:t>
      </w:r>
      <w:r>
        <w:t>.</w:t>
      </w:r>
      <w:r>
        <w:rPr>
          <w:rStyle w:val="FootnoteReference"/>
        </w:rPr>
        <w:footnoteReference w:id="11"/>
      </w:r>
      <w:r>
        <w:t xml:space="preserve">  </w:t>
      </w:r>
      <w:r w:rsidR="00774D79">
        <w:t xml:space="preserve">Concurrent with the release of this Public Notice, the Bureau will send all </w:t>
      </w:r>
      <w:r>
        <w:t xml:space="preserve">such </w:t>
      </w:r>
      <w:r w:rsidR="00774D79">
        <w:t>a</w:t>
      </w:r>
      <w:r>
        <w:t xml:space="preserve">pplicants </w:t>
      </w:r>
      <w:r w:rsidR="00511D45">
        <w:t xml:space="preserve">an Intent to Deny </w:t>
      </w:r>
      <w:r w:rsidR="00B00809">
        <w:t>L</w:t>
      </w:r>
      <w:r w:rsidR="00511D45">
        <w:t>etter, stating their application’s score</w:t>
      </w:r>
      <w:r w:rsidR="00FC21F6">
        <w:t>, the list of metrics for which the application is currently receiving points,</w:t>
      </w:r>
      <w:r w:rsidR="00511D45">
        <w:t xml:space="preserve"> and the reason that the</w:t>
      </w:r>
      <w:r w:rsidR="00FC21F6">
        <w:t>ir</w:t>
      </w:r>
      <w:r w:rsidR="00511D45">
        <w:t xml:space="preserve"> application was not awarded funding during the initial commitment phase.</w:t>
      </w:r>
      <w:r w:rsidR="00C02246">
        <w:t xml:space="preserve">  </w:t>
      </w:r>
    </w:p>
    <w:p w:rsidR="00C0643A" w:rsidRPr="001D081F" w:rsidP="0019078F" w14:paraId="64315EDB" w14:textId="6FCD2FE4">
      <w:pPr>
        <w:spacing w:after="120"/>
        <w:ind w:firstLine="720"/>
      </w:pPr>
      <w:r>
        <w:t xml:space="preserve">The ten-day period will </w:t>
      </w:r>
      <w:r>
        <w:rPr>
          <w:b/>
          <w:bCs/>
        </w:rPr>
        <w:t xml:space="preserve">begin on </w:t>
      </w:r>
      <w:r w:rsidR="007326EA">
        <w:rPr>
          <w:b/>
          <w:bCs/>
        </w:rPr>
        <w:t>Tuesday, November 9</w:t>
      </w:r>
      <w:r w:rsidR="007276C2">
        <w:rPr>
          <w:b/>
          <w:bCs/>
        </w:rPr>
        <w:t>,</w:t>
      </w:r>
      <w:r>
        <w:rPr>
          <w:b/>
          <w:bCs/>
        </w:rPr>
        <w:t xml:space="preserve"> and will end at </w:t>
      </w:r>
      <w:r w:rsidR="007326EA">
        <w:rPr>
          <w:b/>
          <w:bCs/>
        </w:rPr>
        <w:t>5 PM</w:t>
      </w:r>
      <w:r>
        <w:rPr>
          <w:b/>
          <w:bCs/>
        </w:rPr>
        <w:t xml:space="preserve"> </w:t>
      </w:r>
      <w:r w:rsidR="00A627A2">
        <w:rPr>
          <w:b/>
          <w:bCs/>
        </w:rPr>
        <w:t xml:space="preserve">ET </w:t>
      </w:r>
      <w:r>
        <w:rPr>
          <w:b/>
          <w:bCs/>
        </w:rPr>
        <w:t xml:space="preserve">on </w:t>
      </w:r>
      <w:r w:rsidR="00836F58">
        <w:rPr>
          <w:b/>
          <w:bCs/>
        </w:rPr>
        <w:t>Friday, November 19</w:t>
      </w:r>
      <w:r>
        <w:rPr>
          <w:b/>
          <w:bCs/>
        </w:rPr>
        <w:t xml:space="preserve">.  </w:t>
      </w:r>
      <w:r w:rsidR="002D2B29">
        <w:t xml:space="preserve">After the ten-day </w:t>
      </w:r>
      <w:r w:rsidR="00633A45">
        <w:t xml:space="preserve">resubmission </w:t>
      </w:r>
      <w:r w:rsidR="002D2B29">
        <w:t xml:space="preserve">period, </w:t>
      </w:r>
      <w:r w:rsidR="009775A6">
        <w:t xml:space="preserve">the Universal Service Administrative Company (USAC) </w:t>
      </w:r>
      <w:r w:rsidR="002D2B29">
        <w:t>will re-rank the remaining applications</w:t>
      </w:r>
      <w:r w:rsidR="00240F83">
        <w:t>,</w:t>
      </w:r>
      <w:r w:rsidR="0019078F">
        <w:t xml:space="preserve"> </w:t>
      </w:r>
      <w:r w:rsidR="00240F83">
        <w:t xml:space="preserve">which </w:t>
      </w:r>
      <w:r w:rsidR="0019078F">
        <w:t xml:space="preserve">will include an evaluation of all remaining unfunded Round 2 applications, regardless of whether an applicant has chosen to supplement its application. </w:t>
      </w:r>
      <w:r w:rsidR="002D2B29">
        <w:t xml:space="preserve"> </w:t>
      </w:r>
      <w:r w:rsidR="001917F2">
        <w:t xml:space="preserve">The Bureau will then </w:t>
      </w:r>
      <w:r w:rsidR="002D2B29">
        <w:t xml:space="preserve">commit funding to the highest-scoring </w:t>
      </w:r>
      <w:r w:rsidR="005B358C">
        <w:t xml:space="preserve">remaining </w:t>
      </w:r>
      <w:r w:rsidR="002D2B29">
        <w:t>applications</w:t>
      </w:r>
      <w:r w:rsidR="005B358C">
        <w:t>.</w:t>
      </w:r>
      <w:r w:rsidR="000941D0">
        <w:t xml:space="preserve"> </w:t>
      </w:r>
      <w:r w:rsidR="00B33E50">
        <w:t>$92,</w:t>
      </w:r>
      <w:r w:rsidR="00224732">
        <w:t>082</w:t>
      </w:r>
      <w:r w:rsidR="00B33E50">
        <w:t>,</w:t>
      </w:r>
      <w:r w:rsidR="00224732">
        <w:t xml:space="preserve">563 </w:t>
      </w:r>
      <w:r>
        <w:t>is available for the second and final commitment window.</w:t>
      </w:r>
      <w:r>
        <w:rPr>
          <w:rStyle w:val="FootnoteReference"/>
        </w:rPr>
        <w:footnoteReference w:id="12"/>
      </w:r>
      <w:r>
        <w:t xml:space="preserve"> </w:t>
      </w:r>
      <w:r w:rsidR="009775A6">
        <w:t xml:space="preserve"> </w:t>
      </w:r>
      <w:r w:rsidR="00571AC9">
        <w:t>Because</w:t>
      </w:r>
      <w:r w:rsidR="004E4641">
        <w:t xml:space="preserve"> the ten-day period is specified by statute, waivers of this deadline will not be granted.</w:t>
      </w:r>
      <w:r>
        <w:rPr>
          <w:rStyle w:val="FootnoteReference"/>
        </w:rPr>
        <w:footnoteReference w:id="13"/>
      </w:r>
    </w:p>
    <w:p w:rsidR="0072090C" w:rsidP="0072090C" w14:paraId="769BEE92" w14:textId="41397E11">
      <w:pPr>
        <w:spacing w:after="120"/>
        <w:ind w:firstLine="720"/>
      </w:pPr>
      <w:r>
        <w:t>A more complete guide for applicants to supplement their applications is attached to this Public Notice</w:t>
      </w:r>
      <w:r w:rsidR="009775A6">
        <w:t>.</w:t>
      </w:r>
      <w:r>
        <w:rPr>
          <w:rStyle w:val="FootnoteReference"/>
        </w:rPr>
        <w:footnoteReference w:id="14"/>
      </w:r>
      <w:r>
        <w:t xml:space="preserve"> </w:t>
      </w:r>
      <w:r w:rsidR="009775A6">
        <w:t xml:space="preserve"> The guide </w:t>
      </w:r>
      <w:r w:rsidR="00A60B6B">
        <w:t xml:space="preserve">can also be accessed </w:t>
      </w:r>
      <w:r w:rsidR="000E6BE5">
        <w:t xml:space="preserve">at </w:t>
      </w:r>
      <w:hyperlink r:id="rId5" w:history="1">
        <w:r w:rsidRPr="00F97CBF" w:rsidR="000E6BE5">
          <w:rPr>
            <w:rStyle w:val="Hyperlink"/>
          </w:rPr>
          <w:t>https://www.usac.org/about/covid-19-telehealth-program/covid-19-telehealth-program-application-resources/supplementing-information-instructions/</w:t>
        </w:r>
      </w:hyperlink>
      <w:r w:rsidR="0082045E">
        <w:t>.</w:t>
      </w:r>
      <w:r w:rsidR="00D51437">
        <w:t xml:space="preserve">  </w:t>
      </w:r>
    </w:p>
    <w:p w:rsidR="0072090C" w:rsidP="0072090C" w14:paraId="71FBBD58" w14:textId="70651919">
      <w:pPr>
        <w:spacing w:after="120"/>
        <w:ind w:firstLine="720"/>
        <w:rPr>
          <w:szCs w:val="22"/>
        </w:rPr>
      </w:pPr>
      <w:r w:rsidRPr="001627FE">
        <w:rPr>
          <w:szCs w:val="22"/>
        </w:rPr>
        <w:t xml:space="preserve">For further information regarding this Public Notice, please contact </w:t>
      </w:r>
      <w:r w:rsidR="00262972">
        <w:rPr>
          <w:szCs w:val="22"/>
        </w:rPr>
        <w:t>Nathan Eagan</w:t>
      </w:r>
      <w:r w:rsidRPr="001627FE">
        <w:rPr>
          <w:szCs w:val="22"/>
        </w:rPr>
        <w:t xml:space="preserve">, </w:t>
      </w:r>
      <w:r>
        <w:rPr>
          <w:szCs w:val="22"/>
        </w:rPr>
        <w:t>Attorney Advisor</w:t>
      </w:r>
      <w:r w:rsidRPr="001627FE">
        <w:rPr>
          <w:szCs w:val="22"/>
        </w:rPr>
        <w:t>,</w:t>
      </w:r>
      <w:r>
        <w:rPr>
          <w:szCs w:val="22"/>
        </w:rPr>
        <w:t xml:space="preserve"> Wireline Competition Bureau,</w:t>
      </w:r>
      <w:r w:rsidRPr="001627FE">
        <w:rPr>
          <w:szCs w:val="22"/>
        </w:rPr>
        <w:t xml:space="preserve"> </w:t>
      </w:r>
      <w:hyperlink r:id="rId6" w:history="1">
        <w:r w:rsidR="00DC2194">
          <w:rPr>
            <w:rStyle w:val="Hyperlink"/>
            <w:szCs w:val="22"/>
          </w:rPr>
          <w:t>Nathan.Eagan</w:t>
        </w:r>
        <w:r w:rsidRPr="00092191" w:rsidR="00DC2194">
          <w:rPr>
            <w:rStyle w:val="Hyperlink"/>
            <w:szCs w:val="22"/>
          </w:rPr>
          <w:t>@fcc.gov</w:t>
        </w:r>
      </w:hyperlink>
      <w:r>
        <w:rPr>
          <w:szCs w:val="22"/>
        </w:rPr>
        <w:t xml:space="preserve"> </w:t>
      </w:r>
      <w:r w:rsidRPr="001627FE">
        <w:rPr>
          <w:szCs w:val="22"/>
        </w:rPr>
        <w:t>or (202) 418-</w:t>
      </w:r>
      <w:r w:rsidR="00DC2194">
        <w:rPr>
          <w:szCs w:val="22"/>
        </w:rPr>
        <w:t>0991</w:t>
      </w:r>
      <w:r w:rsidRPr="001627FE">
        <w:rPr>
          <w:szCs w:val="22"/>
        </w:rPr>
        <w:t>.</w:t>
      </w:r>
      <w:r w:rsidRPr="001627FE">
        <w:t xml:space="preserve">  </w:t>
      </w:r>
      <w:r w:rsidRPr="001627FE">
        <w:rPr>
          <w:szCs w:val="22"/>
        </w:rPr>
        <w:t xml:space="preserve">For more information about </w:t>
      </w:r>
      <w:r>
        <w:rPr>
          <w:szCs w:val="22"/>
        </w:rPr>
        <w:t>Round 2</w:t>
      </w:r>
      <w:r w:rsidRPr="001627FE">
        <w:rPr>
          <w:szCs w:val="22"/>
        </w:rPr>
        <w:t>, refer to</w:t>
      </w:r>
      <w:r>
        <w:rPr>
          <w:szCs w:val="22"/>
        </w:rPr>
        <w:t xml:space="preserve"> USAC’s</w:t>
      </w:r>
      <w:r w:rsidRPr="001627FE">
        <w:rPr>
          <w:szCs w:val="22"/>
        </w:rPr>
        <w:t xml:space="preserve"> website at </w:t>
      </w:r>
      <w:hyperlink r:id="rId7" w:history="1">
        <w:r w:rsidRPr="00980287">
          <w:rPr>
            <w:rStyle w:val="Hyperlink"/>
            <w:szCs w:val="22"/>
          </w:rPr>
          <w:t>www.usac.org/about/covid-19-telehealth-program</w:t>
        </w:r>
      </w:hyperlink>
      <w:r>
        <w:rPr>
          <w:szCs w:val="22"/>
        </w:rPr>
        <w:t>.</w:t>
      </w:r>
    </w:p>
    <w:p w:rsidR="0072090C" w:rsidP="00DE158F" w14:paraId="45CC1D7C" w14:textId="20CBDAB3">
      <w:pPr>
        <w:spacing w:after="120"/>
        <w:ind w:firstLine="720"/>
        <w:rPr>
          <w:szCs w:val="22"/>
        </w:rPr>
      </w:pPr>
      <w:r>
        <w:rPr>
          <w:szCs w:val="22"/>
        </w:rPr>
        <w:t xml:space="preserve">For inquiries and support related to Round 2 invoicing, please contact </w:t>
      </w:r>
      <w:hyperlink r:id="rId8" w:history="1">
        <w:r w:rsidRPr="00AB7053">
          <w:rPr>
            <w:rStyle w:val="Hyperlink"/>
            <w:szCs w:val="22"/>
          </w:rPr>
          <w:t>Round2TelehlthInvoicSupp@FCC.gov</w:t>
        </w:r>
      </w:hyperlink>
      <w:r w:rsidRPr="00DA6AD1">
        <w:rPr>
          <w:rStyle w:val="Hyperlink"/>
        </w:rPr>
        <w:t>.</w:t>
      </w:r>
      <w:r w:rsidRPr="001627FE">
        <w:rPr>
          <w:szCs w:val="22"/>
        </w:rPr>
        <w:t xml:space="preserve"> </w:t>
      </w:r>
    </w:p>
    <w:p w:rsidR="00E129F3" w:rsidRPr="001627FE" w:rsidP="00DE158F" w14:paraId="4791D593" w14:textId="77777777">
      <w:pPr>
        <w:spacing w:after="120"/>
        <w:ind w:firstLine="720"/>
        <w:rPr>
          <w:szCs w:val="22"/>
        </w:rPr>
      </w:pPr>
    </w:p>
    <w:p w:rsidR="0072090C" w:rsidP="00E129F3" w14:paraId="38618529" w14:textId="6C6D24BC">
      <w:pPr>
        <w:jc w:val="center"/>
        <w:rPr>
          <w:b/>
          <w:bCs/>
          <w:sz w:val="24"/>
        </w:rPr>
      </w:pPr>
      <w:r w:rsidRPr="001627FE">
        <w:rPr>
          <w:b/>
          <w:bCs/>
          <w:sz w:val="24"/>
        </w:rPr>
        <w:t>-FCC-</w:t>
      </w:r>
    </w:p>
    <w:p w:rsidR="0072090C" w:rsidRPr="00A45AC6" w:rsidP="0072090C" w14:paraId="7C467050" w14:textId="40BB4C5B">
      <w:pPr>
        <w:jc w:val="center"/>
        <w:rPr>
          <w:b/>
          <w:bCs/>
          <w:sz w:val="24"/>
        </w:rPr>
      </w:pPr>
      <w:r w:rsidRPr="00A45AC6">
        <w:rPr>
          <w:b/>
          <w:bCs/>
          <w:szCs w:val="22"/>
        </w:rPr>
        <w:t>APPENDIX A</w:t>
      </w:r>
    </w:p>
    <w:p w:rsidR="0072090C" w:rsidRPr="00A45AC6" w:rsidP="0072090C" w14:paraId="354FB8CE" w14:textId="77777777">
      <w:pPr>
        <w:rPr>
          <w:szCs w:val="22"/>
        </w:rPr>
      </w:pPr>
    </w:p>
    <w:tbl>
      <w:tblPr>
        <w:tblStyle w:val="TableGrid"/>
        <w:tblW w:w="0" w:type="auto"/>
        <w:tblLayout w:type="fixed"/>
        <w:tblLook w:val="04A0"/>
      </w:tblPr>
      <w:tblGrid>
        <w:gridCol w:w="6115"/>
        <w:gridCol w:w="3235"/>
      </w:tblGrid>
      <w:tr w14:paraId="33788AC5" w14:textId="77777777" w:rsidTr="00A10305">
        <w:tblPrEx>
          <w:tblW w:w="0" w:type="auto"/>
          <w:tblLayout w:type="fixed"/>
          <w:tblLook w:val="04A0"/>
        </w:tblPrEx>
        <w:trPr>
          <w:trHeight w:val="590"/>
          <w:tblHeader/>
        </w:trPr>
        <w:tc>
          <w:tcPr>
            <w:tcW w:w="6115" w:type="dxa"/>
          </w:tcPr>
          <w:p w:rsidR="00164BE4" w:rsidRPr="005C35F5" w:rsidP="00A10305" w14:paraId="10793E23" w14:textId="77777777">
            <w:pPr>
              <w:jc w:val="center"/>
              <w:rPr>
                <w:b/>
                <w:szCs w:val="22"/>
              </w:rPr>
            </w:pPr>
            <w:r w:rsidRPr="005C35F5">
              <w:rPr>
                <w:b/>
                <w:szCs w:val="22"/>
              </w:rPr>
              <w:t>Lead Health Care Provider or</w:t>
            </w:r>
          </w:p>
          <w:p w:rsidR="00164BE4" w:rsidRPr="005D0FB5" w:rsidP="00A10305" w14:paraId="1651835C" w14:textId="77777777">
            <w:pPr>
              <w:jc w:val="center"/>
            </w:pPr>
            <w:r w:rsidRPr="005C35F5">
              <w:rPr>
                <w:b/>
                <w:szCs w:val="22"/>
              </w:rPr>
              <w:t>Applicant</w:t>
            </w:r>
          </w:p>
        </w:tc>
        <w:tc>
          <w:tcPr>
            <w:tcW w:w="3235" w:type="dxa"/>
          </w:tcPr>
          <w:p w:rsidR="00164BE4" w:rsidRPr="005C35F5" w:rsidP="00A10305" w14:paraId="50290E34" w14:textId="77777777">
            <w:pPr>
              <w:jc w:val="center"/>
              <w:rPr>
                <w:b/>
                <w:szCs w:val="22"/>
              </w:rPr>
            </w:pPr>
            <w:r w:rsidRPr="005C35F5">
              <w:rPr>
                <w:b/>
                <w:szCs w:val="22"/>
              </w:rPr>
              <w:t>Eligible Funding</w:t>
            </w:r>
          </w:p>
          <w:p w:rsidR="00164BE4" w:rsidRPr="005D0FB5" w:rsidP="00A10305" w14:paraId="5212BA0E" w14:textId="77777777">
            <w:pPr>
              <w:jc w:val="center"/>
            </w:pPr>
            <w:r w:rsidRPr="005C35F5">
              <w:rPr>
                <w:b/>
                <w:szCs w:val="22"/>
              </w:rPr>
              <w:t>Amount</w:t>
            </w:r>
          </w:p>
        </w:tc>
      </w:tr>
      <w:tr w14:paraId="2BF86C0C" w14:textId="77777777" w:rsidTr="00A10305">
        <w:tblPrEx>
          <w:tblW w:w="0" w:type="auto"/>
          <w:tblLayout w:type="fixed"/>
          <w:tblLook w:val="04A0"/>
        </w:tblPrEx>
        <w:trPr>
          <w:trHeight w:val="360"/>
        </w:trPr>
        <w:tc>
          <w:tcPr>
            <w:tcW w:w="6115" w:type="dxa"/>
          </w:tcPr>
          <w:p w:rsidR="00164BE4" w:rsidRPr="00A45AC6" w:rsidP="00A10305" w14:paraId="32707FAF" w14:textId="77777777">
            <w:pPr>
              <w:jc w:val="center"/>
              <w:rPr>
                <w:color w:val="000000"/>
                <w:szCs w:val="22"/>
              </w:rPr>
            </w:pPr>
            <w:r w:rsidRPr="000935C8">
              <w:t>Adler Community Health Services</w:t>
            </w:r>
          </w:p>
        </w:tc>
        <w:tc>
          <w:tcPr>
            <w:tcW w:w="3235" w:type="dxa"/>
            <w:noWrap/>
          </w:tcPr>
          <w:p w:rsidR="00164BE4" w:rsidRPr="00A45AC6" w:rsidP="00A10305" w14:paraId="20DF276E" w14:textId="77777777">
            <w:pPr>
              <w:jc w:val="center"/>
              <w:rPr>
                <w:color w:val="000000"/>
                <w:szCs w:val="22"/>
              </w:rPr>
            </w:pPr>
            <w:r>
              <w:t>$</w:t>
            </w:r>
            <w:r w:rsidRPr="00C83B24">
              <w:t>359,836</w:t>
            </w:r>
          </w:p>
        </w:tc>
      </w:tr>
      <w:tr w14:paraId="0A0C1F71" w14:textId="77777777" w:rsidTr="00A10305">
        <w:tblPrEx>
          <w:tblW w:w="0" w:type="auto"/>
          <w:tblLayout w:type="fixed"/>
          <w:tblLook w:val="04A0"/>
        </w:tblPrEx>
        <w:trPr>
          <w:trHeight w:val="360"/>
        </w:trPr>
        <w:tc>
          <w:tcPr>
            <w:tcW w:w="6115" w:type="dxa"/>
          </w:tcPr>
          <w:p w:rsidR="00164BE4" w:rsidRPr="00A45AC6" w:rsidP="00A10305" w14:paraId="7455CDF7" w14:textId="77777777">
            <w:pPr>
              <w:jc w:val="center"/>
              <w:rPr>
                <w:color w:val="000000"/>
                <w:szCs w:val="22"/>
              </w:rPr>
            </w:pPr>
            <w:r w:rsidRPr="000935C8">
              <w:t>Adult &amp; Child Mental Health Center</w:t>
            </w:r>
          </w:p>
        </w:tc>
        <w:tc>
          <w:tcPr>
            <w:tcW w:w="3235" w:type="dxa"/>
            <w:noWrap/>
          </w:tcPr>
          <w:p w:rsidR="00164BE4" w:rsidRPr="00A45AC6" w:rsidP="00A10305" w14:paraId="1ACB731F" w14:textId="77777777">
            <w:pPr>
              <w:jc w:val="center"/>
              <w:rPr>
                <w:color w:val="000000"/>
                <w:szCs w:val="22"/>
              </w:rPr>
            </w:pPr>
            <w:r>
              <w:t>$</w:t>
            </w:r>
            <w:r w:rsidRPr="00C83B24">
              <w:t>516,208</w:t>
            </w:r>
          </w:p>
        </w:tc>
      </w:tr>
      <w:tr w14:paraId="78CB417A" w14:textId="77777777" w:rsidTr="00A10305">
        <w:tblPrEx>
          <w:tblW w:w="0" w:type="auto"/>
          <w:tblLayout w:type="fixed"/>
          <w:tblLook w:val="04A0"/>
        </w:tblPrEx>
        <w:trPr>
          <w:trHeight w:val="360"/>
        </w:trPr>
        <w:tc>
          <w:tcPr>
            <w:tcW w:w="6115" w:type="dxa"/>
          </w:tcPr>
          <w:p w:rsidR="00164BE4" w:rsidRPr="00A45AC6" w:rsidP="00A10305" w14:paraId="0E1EE7DA" w14:textId="77777777">
            <w:pPr>
              <w:jc w:val="center"/>
              <w:rPr>
                <w:color w:val="000000"/>
                <w:szCs w:val="22"/>
              </w:rPr>
            </w:pPr>
            <w:r w:rsidRPr="000935C8">
              <w:t xml:space="preserve">Advantage Behavioral Health Systems </w:t>
            </w:r>
          </w:p>
        </w:tc>
        <w:tc>
          <w:tcPr>
            <w:tcW w:w="3235" w:type="dxa"/>
            <w:noWrap/>
          </w:tcPr>
          <w:p w:rsidR="00164BE4" w:rsidRPr="00A45AC6" w:rsidP="00A10305" w14:paraId="52B159B4" w14:textId="77777777">
            <w:pPr>
              <w:jc w:val="center"/>
              <w:rPr>
                <w:color w:val="000000"/>
                <w:szCs w:val="22"/>
              </w:rPr>
            </w:pPr>
            <w:r>
              <w:t>$</w:t>
            </w:r>
            <w:r w:rsidRPr="00C83B24">
              <w:t>222,406</w:t>
            </w:r>
          </w:p>
        </w:tc>
      </w:tr>
      <w:tr w14:paraId="2DAC90F5" w14:textId="77777777" w:rsidTr="00A10305">
        <w:tblPrEx>
          <w:tblW w:w="0" w:type="auto"/>
          <w:tblLayout w:type="fixed"/>
          <w:tblLook w:val="04A0"/>
        </w:tblPrEx>
        <w:trPr>
          <w:trHeight w:val="360"/>
        </w:trPr>
        <w:tc>
          <w:tcPr>
            <w:tcW w:w="6115" w:type="dxa"/>
          </w:tcPr>
          <w:p w:rsidR="00164BE4" w:rsidRPr="00A45AC6" w:rsidP="00A10305" w14:paraId="289BE586" w14:textId="77777777">
            <w:pPr>
              <w:jc w:val="center"/>
              <w:rPr>
                <w:color w:val="000000"/>
                <w:szCs w:val="22"/>
              </w:rPr>
            </w:pPr>
            <w:r w:rsidRPr="000935C8">
              <w:t>Albany Medical Center</w:t>
            </w:r>
          </w:p>
        </w:tc>
        <w:tc>
          <w:tcPr>
            <w:tcW w:w="3235" w:type="dxa"/>
            <w:noWrap/>
          </w:tcPr>
          <w:p w:rsidR="00164BE4" w:rsidRPr="00A45AC6" w:rsidP="00A10305" w14:paraId="7FC1176C" w14:textId="77777777">
            <w:pPr>
              <w:jc w:val="center"/>
              <w:rPr>
                <w:color w:val="000000"/>
                <w:szCs w:val="22"/>
              </w:rPr>
            </w:pPr>
            <w:r>
              <w:t>$</w:t>
            </w:r>
            <w:r w:rsidRPr="00C83B24">
              <w:t>810,801</w:t>
            </w:r>
          </w:p>
        </w:tc>
      </w:tr>
      <w:tr w14:paraId="5C7F8535" w14:textId="77777777" w:rsidTr="00A10305">
        <w:tblPrEx>
          <w:tblW w:w="0" w:type="auto"/>
          <w:tblLayout w:type="fixed"/>
          <w:tblLook w:val="04A0"/>
        </w:tblPrEx>
        <w:trPr>
          <w:trHeight w:val="360"/>
        </w:trPr>
        <w:tc>
          <w:tcPr>
            <w:tcW w:w="6115" w:type="dxa"/>
          </w:tcPr>
          <w:p w:rsidR="00164BE4" w:rsidRPr="00A45AC6" w:rsidP="00A10305" w14:paraId="5041D142" w14:textId="77777777">
            <w:pPr>
              <w:jc w:val="center"/>
              <w:rPr>
                <w:color w:val="000000"/>
              </w:rPr>
            </w:pPr>
            <w:r>
              <w:t>Ammonoosuc Community Health Services</w:t>
            </w:r>
          </w:p>
        </w:tc>
        <w:tc>
          <w:tcPr>
            <w:tcW w:w="3235" w:type="dxa"/>
            <w:noWrap/>
          </w:tcPr>
          <w:p w:rsidR="00164BE4" w:rsidRPr="00A45AC6" w:rsidP="00A10305" w14:paraId="0805AB0B" w14:textId="77777777">
            <w:pPr>
              <w:jc w:val="center"/>
              <w:rPr>
                <w:color w:val="000000"/>
                <w:szCs w:val="22"/>
              </w:rPr>
            </w:pPr>
            <w:r>
              <w:t>$</w:t>
            </w:r>
            <w:r w:rsidRPr="00C83B24">
              <w:t>332,854</w:t>
            </w:r>
          </w:p>
        </w:tc>
      </w:tr>
      <w:tr w14:paraId="6331606F" w14:textId="77777777" w:rsidTr="00A10305">
        <w:tblPrEx>
          <w:tblW w:w="0" w:type="auto"/>
          <w:tblLayout w:type="fixed"/>
          <w:tblLook w:val="04A0"/>
        </w:tblPrEx>
        <w:trPr>
          <w:trHeight w:val="360"/>
        </w:trPr>
        <w:tc>
          <w:tcPr>
            <w:tcW w:w="6115" w:type="dxa"/>
          </w:tcPr>
          <w:p w:rsidR="00164BE4" w:rsidRPr="00A45AC6" w:rsidP="00A10305" w14:paraId="232635A5" w14:textId="77777777">
            <w:pPr>
              <w:jc w:val="center"/>
              <w:rPr>
                <w:color w:val="000000"/>
              </w:rPr>
            </w:pPr>
            <w:r>
              <w:t>Aspire Indiana</w:t>
            </w:r>
          </w:p>
        </w:tc>
        <w:tc>
          <w:tcPr>
            <w:tcW w:w="3235" w:type="dxa"/>
            <w:noWrap/>
          </w:tcPr>
          <w:p w:rsidR="00164BE4" w:rsidRPr="00A45AC6" w:rsidP="00A10305" w14:paraId="0BE4CA4B" w14:textId="77777777">
            <w:pPr>
              <w:jc w:val="center"/>
              <w:rPr>
                <w:color w:val="000000"/>
                <w:szCs w:val="22"/>
              </w:rPr>
            </w:pPr>
            <w:r>
              <w:t>$</w:t>
            </w:r>
            <w:r w:rsidRPr="00C83B24">
              <w:t>211,861</w:t>
            </w:r>
          </w:p>
        </w:tc>
      </w:tr>
      <w:tr w14:paraId="04CCB653" w14:textId="77777777" w:rsidTr="00A10305">
        <w:tblPrEx>
          <w:tblW w:w="0" w:type="auto"/>
          <w:tblLayout w:type="fixed"/>
          <w:tblLook w:val="04A0"/>
        </w:tblPrEx>
        <w:trPr>
          <w:trHeight w:val="360"/>
        </w:trPr>
        <w:tc>
          <w:tcPr>
            <w:tcW w:w="6115" w:type="dxa"/>
          </w:tcPr>
          <w:p w:rsidR="00164BE4" w:rsidRPr="00A45AC6" w:rsidP="00A10305" w14:paraId="784D5D36" w14:textId="77777777">
            <w:pPr>
              <w:jc w:val="center"/>
              <w:rPr>
                <w:color w:val="000000"/>
                <w:szCs w:val="22"/>
              </w:rPr>
            </w:pPr>
            <w:r w:rsidRPr="000935C8">
              <w:t>Astor Services for Children and Families</w:t>
            </w:r>
          </w:p>
        </w:tc>
        <w:tc>
          <w:tcPr>
            <w:tcW w:w="3235" w:type="dxa"/>
            <w:noWrap/>
          </w:tcPr>
          <w:p w:rsidR="00164BE4" w:rsidRPr="00A45AC6" w:rsidP="00A10305" w14:paraId="4AFDC71E" w14:textId="77777777">
            <w:pPr>
              <w:jc w:val="center"/>
              <w:rPr>
                <w:color w:val="000000"/>
                <w:szCs w:val="22"/>
              </w:rPr>
            </w:pPr>
            <w:r>
              <w:t>$</w:t>
            </w:r>
            <w:r w:rsidRPr="00C83B24">
              <w:t>344,119</w:t>
            </w:r>
          </w:p>
        </w:tc>
      </w:tr>
      <w:tr w14:paraId="50CCC894" w14:textId="77777777" w:rsidTr="00A10305">
        <w:tblPrEx>
          <w:tblW w:w="0" w:type="auto"/>
          <w:tblLayout w:type="fixed"/>
          <w:tblLook w:val="04A0"/>
        </w:tblPrEx>
        <w:trPr>
          <w:trHeight w:val="360"/>
        </w:trPr>
        <w:tc>
          <w:tcPr>
            <w:tcW w:w="6115" w:type="dxa"/>
          </w:tcPr>
          <w:p w:rsidR="00164BE4" w:rsidRPr="00A45AC6" w:rsidP="00A10305" w14:paraId="3C7B3B42" w14:textId="77777777">
            <w:pPr>
              <w:jc w:val="center"/>
              <w:rPr>
                <w:color w:val="000000"/>
                <w:szCs w:val="22"/>
              </w:rPr>
            </w:pPr>
            <w:r w:rsidRPr="000935C8">
              <w:t>Barnes-Jewish Hospital</w:t>
            </w:r>
          </w:p>
        </w:tc>
        <w:tc>
          <w:tcPr>
            <w:tcW w:w="3235" w:type="dxa"/>
            <w:noWrap/>
          </w:tcPr>
          <w:p w:rsidR="00164BE4" w:rsidRPr="00A45AC6" w:rsidP="00A10305" w14:paraId="5E9D3A27" w14:textId="77777777">
            <w:pPr>
              <w:jc w:val="center"/>
            </w:pPr>
            <w:r>
              <w:t>$996,722</w:t>
            </w:r>
          </w:p>
        </w:tc>
      </w:tr>
      <w:tr w14:paraId="5223BC02" w14:textId="77777777" w:rsidTr="00A10305">
        <w:tblPrEx>
          <w:tblW w:w="0" w:type="auto"/>
          <w:tblLayout w:type="fixed"/>
          <w:tblLook w:val="04A0"/>
        </w:tblPrEx>
        <w:trPr>
          <w:trHeight w:val="360"/>
        </w:trPr>
        <w:tc>
          <w:tcPr>
            <w:tcW w:w="6115" w:type="dxa"/>
          </w:tcPr>
          <w:p w:rsidR="00164BE4" w:rsidP="00A10305" w14:paraId="5B37AA82" w14:textId="77777777">
            <w:pPr>
              <w:jc w:val="center"/>
            </w:pPr>
            <w:r>
              <w:t>Los Barrios Unidos Community Clinic</w:t>
            </w:r>
          </w:p>
        </w:tc>
        <w:tc>
          <w:tcPr>
            <w:tcW w:w="3235" w:type="dxa"/>
            <w:noWrap/>
          </w:tcPr>
          <w:p w:rsidR="00164BE4" w:rsidP="00A10305" w14:paraId="019527C7" w14:textId="77777777">
            <w:pPr>
              <w:jc w:val="center"/>
            </w:pPr>
            <w:r>
              <w:t>$951,800</w:t>
            </w:r>
          </w:p>
        </w:tc>
      </w:tr>
      <w:tr w14:paraId="31C76214" w14:textId="77777777" w:rsidTr="00A10305">
        <w:tblPrEx>
          <w:tblW w:w="0" w:type="auto"/>
          <w:tblLayout w:type="fixed"/>
          <w:tblLook w:val="04A0"/>
        </w:tblPrEx>
        <w:trPr>
          <w:trHeight w:val="360"/>
        </w:trPr>
        <w:tc>
          <w:tcPr>
            <w:tcW w:w="6115" w:type="dxa"/>
          </w:tcPr>
          <w:p w:rsidR="00164BE4" w:rsidRPr="00A45AC6" w:rsidP="00A10305" w14:paraId="3FF073D7" w14:textId="77777777">
            <w:pPr>
              <w:jc w:val="center"/>
              <w:rPr>
                <w:color w:val="000000"/>
              </w:rPr>
            </w:pPr>
            <w:r>
              <w:t>Bay Area Community Health</w:t>
            </w:r>
          </w:p>
        </w:tc>
        <w:tc>
          <w:tcPr>
            <w:tcW w:w="3235" w:type="dxa"/>
            <w:noWrap/>
          </w:tcPr>
          <w:p w:rsidR="00164BE4" w:rsidRPr="00A45AC6" w:rsidP="00A10305" w14:paraId="0698DF9E" w14:textId="77777777">
            <w:pPr>
              <w:jc w:val="center"/>
              <w:rPr>
                <w:color w:val="000000"/>
                <w:szCs w:val="22"/>
              </w:rPr>
            </w:pPr>
            <w:r>
              <w:t>$</w:t>
            </w:r>
            <w:r w:rsidRPr="00C83B24">
              <w:t>960,436</w:t>
            </w:r>
          </w:p>
        </w:tc>
      </w:tr>
      <w:tr w14:paraId="1791AA1D" w14:textId="77777777" w:rsidTr="00A10305">
        <w:tblPrEx>
          <w:tblW w:w="0" w:type="auto"/>
          <w:tblLayout w:type="fixed"/>
          <w:tblLook w:val="04A0"/>
        </w:tblPrEx>
        <w:trPr>
          <w:trHeight w:val="360"/>
        </w:trPr>
        <w:tc>
          <w:tcPr>
            <w:tcW w:w="6115" w:type="dxa"/>
          </w:tcPr>
          <w:p w:rsidR="00164BE4" w:rsidRPr="007D03F7" w:rsidP="00A10305" w14:paraId="490A5D27" w14:textId="77777777">
            <w:pPr>
              <w:jc w:val="center"/>
              <w:rPr>
                <w:color w:val="000000"/>
                <w:szCs w:val="22"/>
              </w:rPr>
            </w:pPr>
            <w:r w:rsidRPr="007D03F7">
              <w:t>Billings Area Office Indian Health Service</w:t>
            </w:r>
          </w:p>
        </w:tc>
        <w:tc>
          <w:tcPr>
            <w:tcW w:w="3235" w:type="dxa"/>
            <w:noWrap/>
          </w:tcPr>
          <w:p w:rsidR="00164BE4" w:rsidRPr="00A45AC6" w:rsidP="00A10305" w14:paraId="2DA46A60" w14:textId="77777777">
            <w:pPr>
              <w:jc w:val="center"/>
              <w:rPr>
                <w:color w:val="000000"/>
                <w:szCs w:val="22"/>
              </w:rPr>
            </w:pPr>
            <w:r>
              <w:t>$</w:t>
            </w:r>
            <w:r w:rsidRPr="00C83B24">
              <w:t>1,000,000</w:t>
            </w:r>
          </w:p>
        </w:tc>
      </w:tr>
      <w:tr w14:paraId="62DFC569" w14:textId="77777777" w:rsidTr="00A10305">
        <w:tblPrEx>
          <w:tblW w:w="0" w:type="auto"/>
          <w:tblLayout w:type="fixed"/>
          <w:tblLook w:val="04A0"/>
        </w:tblPrEx>
        <w:trPr>
          <w:trHeight w:val="360"/>
        </w:trPr>
        <w:tc>
          <w:tcPr>
            <w:tcW w:w="6115" w:type="dxa"/>
          </w:tcPr>
          <w:p w:rsidR="00164BE4" w:rsidRPr="00A45AC6" w:rsidP="00A10305" w14:paraId="4A37C7B7" w14:textId="77777777">
            <w:pPr>
              <w:jc w:val="center"/>
              <w:rPr>
                <w:color w:val="000000"/>
                <w:szCs w:val="22"/>
              </w:rPr>
            </w:pPr>
            <w:r w:rsidRPr="000935C8">
              <w:t>Bluebonnet Trails Community Services</w:t>
            </w:r>
          </w:p>
        </w:tc>
        <w:tc>
          <w:tcPr>
            <w:tcW w:w="3235" w:type="dxa"/>
            <w:noWrap/>
          </w:tcPr>
          <w:p w:rsidR="00164BE4" w:rsidRPr="00A45AC6" w:rsidP="00A10305" w14:paraId="58F5A5A0" w14:textId="77777777">
            <w:pPr>
              <w:jc w:val="center"/>
              <w:rPr>
                <w:color w:val="000000"/>
                <w:szCs w:val="22"/>
              </w:rPr>
            </w:pPr>
            <w:r>
              <w:t>$</w:t>
            </w:r>
            <w:r w:rsidRPr="00C83B24">
              <w:t>724,411</w:t>
            </w:r>
          </w:p>
        </w:tc>
      </w:tr>
      <w:tr w14:paraId="15CBEDA5" w14:textId="77777777" w:rsidTr="00A10305">
        <w:tblPrEx>
          <w:tblW w:w="0" w:type="auto"/>
          <w:tblLayout w:type="fixed"/>
          <w:tblLook w:val="04A0"/>
        </w:tblPrEx>
        <w:trPr>
          <w:trHeight w:val="360"/>
        </w:trPr>
        <w:tc>
          <w:tcPr>
            <w:tcW w:w="6115" w:type="dxa"/>
          </w:tcPr>
          <w:p w:rsidR="00164BE4" w:rsidRPr="00A45AC6" w:rsidP="00A10305" w14:paraId="3DA548A0" w14:textId="436C5795">
            <w:pPr>
              <w:jc w:val="center"/>
              <w:rPr>
                <w:color w:val="000000"/>
              </w:rPr>
            </w:pPr>
            <w:r>
              <w:t>Broad Top Area Medical Center</w:t>
            </w:r>
          </w:p>
        </w:tc>
        <w:tc>
          <w:tcPr>
            <w:tcW w:w="3235" w:type="dxa"/>
            <w:noWrap/>
          </w:tcPr>
          <w:p w:rsidR="00164BE4" w:rsidRPr="00A45AC6" w:rsidP="00A10305" w14:paraId="08E00928" w14:textId="77777777">
            <w:pPr>
              <w:jc w:val="center"/>
              <w:rPr>
                <w:color w:val="000000"/>
                <w:szCs w:val="22"/>
              </w:rPr>
            </w:pPr>
            <w:r>
              <w:t>$</w:t>
            </w:r>
            <w:r w:rsidRPr="00C83B24">
              <w:t>354,602</w:t>
            </w:r>
          </w:p>
        </w:tc>
      </w:tr>
      <w:tr w14:paraId="2E85754B" w14:textId="77777777" w:rsidTr="00A10305">
        <w:tblPrEx>
          <w:tblW w:w="0" w:type="auto"/>
          <w:tblLayout w:type="fixed"/>
          <w:tblLook w:val="04A0"/>
        </w:tblPrEx>
        <w:trPr>
          <w:trHeight w:val="360"/>
        </w:trPr>
        <w:tc>
          <w:tcPr>
            <w:tcW w:w="6115" w:type="dxa"/>
          </w:tcPr>
          <w:p w:rsidR="00164BE4" w:rsidRPr="00A45AC6" w:rsidP="00A10305" w14:paraId="4B688990" w14:textId="77777777">
            <w:pPr>
              <w:jc w:val="center"/>
              <w:rPr>
                <w:color w:val="000000"/>
                <w:szCs w:val="22"/>
              </w:rPr>
            </w:pPr>
            <w:r w:rsidRPr="000935C8">
              <w:t>Brooks Rehabilitation Hospital</w:t>
            </w:r>
          </w:p>
        </w:tc>
        <w:tc>
          <w:tcPr>
            <w:tcW w:w="3235" w:type="dxa"/>
            <w:noWrap/>
          </w:tcPr>
          <w:p w:rsidR="00164BE4" w:rsidRPr="00A45AC6" w:rsidP="00A10305" w14:paraId="0472431D" w14:textId="77777777">
            <w:pPr>
              <w:jc w:val="center"/>
              <w:rPr>
                <w:color w:val="000000"/>
                <w:szCs w:val="22"/>
              </w:rPr>
            </w:pPr>
            <w:r>
              <w:t>$</w:t>
            </w:r>
            <w:r w:rsidRPr="00C83B24">
              <w:t>218,599</w:t>
            </w:r>
          </w:p>
        </w:tc>
      </w:tr>
      <w:tr w14:paraId="5857F422" w14:textId="77777777" w:rsidTr="00A10305">
        <w:tblPrEx>
          <w:tblW w:w="0" w:type="auto"/>
          <w:tblLayout w:type="fixed"/>
          <w:tblLook w:val="04A0"/>
        </w:tblPrEx>
        <w:trPr>
          <w:trHeight w:val="360"/>
        </w:trPr>
        <w:tc>
          <w:tcPr>
            <w:tcW w:w="6115" w:type="dxa"/>
          </w:tcPr>
          <w:p w:rsidR="00164BE4" w:rsidRPr="00A45AC6" w:rsidP="00A10305" w14:paraId="50F19C35" w14:textId="77777777">
            <w:pPr>
              <w:jc w:val="center"/>
              <w:rPr>
                <w:color w:val="000000"/>
                <w:szCs w:val="22"/>
              </w:rPr>
            </w:pPr>
            <w:r w:rsidRPr="000935C8">
              <w:t>CareSTL</w:t>
            </w:r>
            <w:r w:rsidRPr="000935C8">
              <w:t xml:space="preserve"> Health</w:t>
            </w:r>
          </w:p>
        </w:tc>
        <w:tc>
          <w:tcPr>
            <w:tcW w:w="3235" w:type="dxa"/>
            <w:noWrap/>
          </w:tcPr>
          <w:p w:rsidR="00164BE4" w:rsidRPr="00A45AC6" w:rsidP="00A10305" w14:paraId="60026E8D" w14:textId="77777777">
            <w:pPr>
              <w:jc w:val="center"/>
              <w:rPr>
                <w:color w:val="000000"/>
                <w:szCs w:val="22"/>
              </w:rPr>
            </w:pPr>
            <w:r>
              <w:t>$</w:t>
            </w:r>
            <w:r w:rsidRPr="00C83B24">
              <w:t>386,476</w:t>
            </w:r>
          </w:p>
        </w:tc>
      </w:tr>
      <w:tr w14:paraId="3BA2493A" w14:textId="77777777" w:rsidTr="00A10305">
        <w:tblPrEx>
          <w:tblW w:w="0" w:type="auto"/>
          <w:tblLayout w:type="fixed"/>
          <w:tblLook w:val="04A0"/>
        </w:tblPrEx>
        <w:trPr>
          <w:trHeight w:val="360"/>
        </w:trPr>
        <w:tc>
          <w:tcPr>
            <w:tcW w:w="6115" w:type="dxa"/>
          </w:tcPr>
          <w:p w:rsidR="00164BE4" w:rsidRPr="00A45AC6" w:rsidP="00A10305" w14:paraId="413D9F2F" w14:textId="77777777">
            <w:pPr>
              <w:jc w:val="center"/>
              <w:rPr>
                <w:color w:val="000000"/>
                <w:szCs w:val="22"/>
              </w:rPr>
            </w:pPr>
            <w:r>
              <w:t>C</w:t>
            </w:r>
            <w:r w:rsidRPr="000935C8">
              <w:t>aromont</w:t>
            </w:r>
            <w:r w:rsidRPr="000935C8">
              <w:t xml:space="preserve"> </w:t>
            </w:r>
            <w:r>
              <w:t>R</w:t>
            </w:r>
            <w:r w:rsidRPr="000935C8">
              <w:t xml:space="preserve">egional </w:t>
            </w:r>
            <w:r>
              <w:t>M</w:t>
            </w:r>
            <w:r w:rsidRPr="000935C8">
              <w:t xml:space="preserve">edical </w:t>
            </w:r>
            <w:r>
              <w:t>C</w:t>
            </w:r>
            <w:r w:rsidRPr="000935C8">
              <w:t>enter</w:t>
            </w:r>
          </w:p>
        </w:tc>
        <w:tc>
          <w:tcPr>
            <w:tcW w:w="3235" w:type="dxa"/>
            <w:noWrap/>
          </w:tcPr>
          <w:p w:rsidR="00164BE4" w:rsidRPr="00A45AC6" w:rsidP="00A10305" w14:paraId="741097F3" w14:textId="77777777">
            <w:pPr>
              <w:jc w:val="center"/>
              <w:rPr>
                <w:color w:val="000000"/>
                <w:szCs w:val="22"/>
              </w:rPr>
            </w:pPr>
            <w:r>
              <w:t>$</w:t>
            </w:r>
            <w:r w:rsidRPr="00C83B24">
              <w:t>130,591</w:t>
            </w:r>
          </w:p>
        </w:tc>
      </w:tr>
      <w:tr w14:paraId="622FC308" w14:textId="77777777" w:rsidTr="00A10305">
        <w:tblPrEx>
          <w:tblW w:w="0" w:type="auto"/>
          <w:tblLayout w:type="fixed"/>
          <w:tblLook w:val="04A0"/>
        </w:tblPrEx>
        <w:trPr>
          <w:trHeight w:val="360"/>
        </w:trPr>
        <w:tc>
          <w:tcPr>
            <w:tcW w:w="6115" w:type="dxa"/>
          </w:tcPr>
          <w:p w:rsidR="00164BE4" w:rsidRPr="00A45AC6" w:rsidP="00A10305" w14:paraId="5BE00AF6" w14:textId="77777777">
            <w:pPr>
              <w:jc w:val="center"/>
              <w:rPr>
                <w:color w:val="000000"/>
                <w:szCs w:val="22"/>
              </w:rPr>
            </w:pPr>
            <w:r>
              <w:t>Catholic Health Initiatives</w:t>
            </w:r>
          </w:p>
        </w:tc>
        <w:tc>
          <w:tcPr>
            <w:tcW w:w="3235" w:type="dxa"/>
            <w:noWrap/>
          </w:tcPr>
          <w:p w:rsidR="00164BE4" w:rsidRPr="00A45AC6" w:rsidP="00A10305" w14:paraId="3D1177DA" w14:textId="77777777">
            <w:pPr>
              <w:jc w:val="center"/>
              <w:rPr>
                <w:color w:val="000000"/>
                <w:szCs w:val="22"/>
              </w:rPr>
            </w:pPr>
            <w:r>
              <w:t>$</w:t>
            </w:r>
            <w:r w:rsidRPr="00C83B24">
              <w:t>1,000,000</w:t>
            </w:r>
          </w:p>
        </w:tc>
      </w:tr>
      <w:tr w14:paraId="467A8BE3" w14:textId="77777777" w:rsidTr="00A10305">
        <w:tblPrEx>
          <w:tblW w:w="0" w:type="auto"/>
          <w:tblLayout w:type="fixed"/>
          <w:tblLook w:val="04A0"/>
        </w:tblPrEx>
        <w:trPr>
          <w:trHeight w:val="360"/>
        </w:trPr>
        <w:tc>
          <w:tcPr>
            <w:tcW w:w="6115" w:type="dxa"/>
          </w:tcPr>
          <w:p w:rsidR="00164BE4" w:rsidRPr="00A45AC6" w:rsidP="00A10305" w14:paraId="5D59E5C4" w14:textId="77777777">
            <w:pPr>
              <w:jc w:val="center"/>
              <w:rPr>
                <w:color w:val="000000"/>
                <w:szCs w:val="22"/>
              </w:rPr>
            </w:pPr>
            <w:r w:rsidRPr="000935C8">
              <w:t xml:space="preserve">Centro de </w:t>
            </w:r>
            <w:r w:rsidRPr="000935C8">
              <w:t>Salud</w:t>
            </w:r>
            <w:r w:rsidRPr="000935C8">
              <w:t xml:space="preserve"> Familiar La Fe </w:t>
            </w:r>
          </w:p>
        </w:tc>
        <w:tc>
          <w:tcPr>
            <w:tcW w:w="3235" w:type="dxa"/>
            <w:noWrap/>
          </w:tcPr>
          <w:p w:rsidR="00164BE4" w:rsidRPr="00A45AC6" w:rsidP="00A10305" w14:paraId="5CD08491" w14:textId="77777777">
            <w:pPr>
              <w:jc w:val="center"/>
              <w:rPr>
                <w:color w:val="000000"/>
                <w:szCs w:val="22"/>
              </w:rPr>
            </w:pPr>
            <w:r>
              <w:t>$</w:t>
            </w:r>
            <w:r w:rsidRPr="00C83B24">
              <w:t>750,948</w:t>
            </w:r>
          </w:p>
        </w:tc>
      </w:tr>
      <w:tr w14:paraId="3A6F1F4E" w14:textId="77777777" w:rsidTr="00A10305">
        <w:tblPrEx>
          <w:tblW w:w="0" w:type="auto"/>
          <w:tblLayout w:type="fixed"/>
          <w:tblLook w:val="04A0"/>
        </w:tblPrEx>
        <w:trPr>
          <w:trHeight w:val="360"/>
        </w:trPr>
        <w:tc>
          <w:tcPr>
            <w:tcW w:w="6115" w:type="dxa"/>
          </w:tcPr>
          <w:p w:rsidR="00164BE4" w:rsidRPr="00A45AC6" w:rsidP="00A10305" w14:paraId="66555BCE" w14:textId="77777777">
            <w:pPr>
              <w:jc w:val="center"/>
              <w:rPr>
                <w:color w:val="000000"/>
                <w:szCs w:val="22"/>
              </w:rPr>
            </w:pPr>
            <w:r w:rsidRPr="000935C8">
              <w:t>CGH Medical Center</w:t>
            </w:r>
          </w:p>
        </w:tc>
        <w:tc>
          <w:tcPr>
            <w:tcW w:w="3235" w:type="dxa"/>
            <w:noWrap/>
          </w:tcPr>
          <w:p w:rsidR="00164BE4" w:rsidRPr="00A45AC6" w:rsidP="00A10305" w14:paraId="73AFCD97" w14:textId="77777777">
            <w:pPr>
              <w:jc w:val="center"/>
              <w:rPr>
                <w:color w:val="000000"/>
                <w:szCs w:val="22"/>
              </w:rPr>
            </w:pPr>
            <w:r>
              <w:t>$</w:t>
            </w:r>
            <w:r w:rsidRPr="00C83B24">
              <w:t>183,015</w:t>
            </w:r>
          </w:p>
        </w:tc>
      </w:tr>
      <w:tr w14:paraId="4A35CDFA" w14:textId="77777777" w:rsidTr="00A10305">
        <w:tblPrEx>
          <w:tblW w:w="0" w:type="auto"/>
          <w:tblLayout w:type="fixed"/>
          <w:tblLook w:val="04A0"/>
        </w:tblPrEx>
        <w:trPr>
          <w:trHeight w:val="360"/>
        </w:trPr>
        <w:tc>
          <w:tcPr>
            <w:tcW w:w="6115" w:type="dxa"/>
          </w:tcPr>
          <w:p w:rsidR="00164BE4" w:rsidRPr="000935C8" w:rsidP="00A10305" w14:paraId="5410BA24" w14:textId="77777777">
            <w:pPr>
              <w:jc w:val="center"/>
            </w:pPr>
            <w:r>
              <w:t>CHI Saint Joseph Health System</w:t>
            </w:r>
          </w:p>
        </w:tc>
        <w:tc>
          <w:tcPr>
            <w:tcW w:w="3235" w:type="dxa"/>
            <w:noWrap/>
          </w:tcPr>
          <w:p w:rsidR="00164BE4" w:rsidP="00A10305" w14:paraId="20C1E9DF" w14:textId="77777777">
            <w:pPr>
              <w:jc w:val="center"/>
            </w:pPr>
            <w:r>
              <w:t>$403,191</w:t>
            </w:r>
          </w:p>
        </w:tc>
      </w:tr>
      <w:tr w14:paraId="13B6916F" w14:textId="77777777" w:rsidTr="00A10305">
        <w:tblPrEx>
          <w:tblW w:w="0" w:type="auto"/>
          <w:tblLayout w:type="fixed"/>
          <w:tblLook w:val="04A0"/>
        </w:tblPrEx>
        <w:trPr>
          <w:trHeight w:val="360"/>
        </w:trPr>
        <w:tc>
          <w:tcPr>
            <w:tcW w:w="6115" w:type="dxa"/>
          </w:tcPr>
          <w:p w:rsidR="00164BE4" w:rsidRPr="00A45AC6" w:rsidP="00A10305" w14:paraId="0D2BD1FB" w14:textId="77777777">
            <w:pPr>
              <w:jc w:val="center"/>
              <w:rPr>
                <w:color w:val="000000"/>
              </w:rPr>
            </w:pPr>
            <w:r>
              <w:t>The Children's Hospital of Philadelphia</w:t>
            </w:r>
          </w:p>
        </w:tc>
        <w:tc>
          <w:tcPr>
            <w:tcW w:w="3235" w:type="dxa"/>
            <w:noWrap/>
          </w:tcPr>
          <w:p w:rsidR="00164BE4" w:rsidRPr="00A45AC6" w:rsidP="00A10305" w14:paraId="65233BB6" w14:textId="77777777">
            <w:pPr>
              <w:jc w:val="center"/>
              <w:rPr>
                <w:color w:val="000000"/>
                <w:szCs w:val="22"/>
              </w:rPr>
            </w:pPr>
            <w:r>
              <w:t>$</w:t>
            </w:r>
            <w:r w:rsidRPr="00C83B24">
              <w:t>869,672</w:t>
            </w:r>
          </w:p>
        </w:tc>
      </w:tr>
      <w:tr w14:paraId="1532C514" w14:textId="77777777" w:rsidTr="00A10305">
        <w:tblPrEx>
          <w:tblW w:w="0" w:type="auto"/>
          <w:tblLayout w:type="fixed"/>
          <w:tblLook w:val="04A0"/>
        </w:tblPrEx>
        <w:trPr>
          <w:trHeight w:val="360"/>
        </w:trPr>
        <w:tc>
          <w:tcPr>
            <w:tcW w:w="6115" w:type="dxa"/>
          </w:tcPr>
          <w:p w:rsidR="00164BE4" w:rsidRPr="00A45AC6" w:rsidP="00A10305" w14:paraId="5DF5FA68" w14:textId="77777777">
            <w:pPr>
              <w:jc w:val="center"/>
              <w:rPr>
                <w:color w:val="000000"/>
              </w:rPr>
            </w:pPr>
            <w:r>
              <w:t>Community Health Programs</w:t>
            </w:r>
          </w:p>
        </w:tc>
        <w:tc>
          <w:tcPr>
            <w:tcW w:w="3235" w:type="dxa"/>
            <w:noWrap/>
          </w:tcPr>
          <w:p w:rsidR="00164BE4" w:rsidRPr="00A45AC6" w:rsidP="00A10305" w14:paraId="409452A1" w14:textId="77777777">
            <w:pPr>
              <w:jc w:val="center"/>
              <w:rPr>
                <w:color w:val="000000"/>
                <w:szCs w:val="22"/>
              </w:rPr>
            </w:pPr>
            <w:r>
              <w:t>$</w:t>
            </w:r>
            <w:r w:rsidRPr="00C83B24">
              <w:t>164,079</w:t>
            </w:r>
          </w:p>
        </w:tc>
      </w:tr>
      <w:tr w14:paraId="4BC3D345" w14:textId="77777777" w:rsidTr="00A10305">
        <w:tblPrEx>
          <w:tblW w:w="0" w:type="auto"/>
          <w:tblLayout w:type="fixed"/>
          <w:tblLook w:val="04A0"/>
        </w:tblPrEx>
        <w:trPr>
          <w:trHeight w:val="360"/>
        </w:trPr>
        <w:tc>
          <w:tcPr>
            <w:tcW w:w="6115" w:type="dxa"/>
          </w:tcPr>
          <w:p w:rsidR="00164BE4" w:rsidRPr="00A45AC6" w:rsidP="00A10305" w14:paraId="57BF5AE5" w14:textId="77777777">
            <w:pPr>
              <w:jc w:val="center"/>
              <w:rPr>
                <w:color w:val="000000"/>
                <w:szCs w:val="22"/>
              </w:rPr>
            </w:pPr>
            <w:r w:rsidRPr="000935C8">
              <w:t>Duke University Health System</w:t>
            </w:r>
          </w:p>
        </w:tc>
        <w:tc>
          <w:tcPr>
            <w:tcW w:w="3235" w:type="dxa"/>
            <w:noWrap/>
          </w:tcPr>
          <w:p w:rsidR="00164BE4" w:rsidRPr="00A45AC6" w:rsidP="00A10305" w14:paraId="630ED9BB" w14:textId="77777777">
            <w:pPr>
              <w:jc w:val="center"/>
              <w:rPr>
                <w:color w:val="000000"/>
                <w:szCs w:val="22"/>
              </w:rPr>
            </w:pPr>
            <w:r>
              <w:t>$</w:t>
            </w:r>
            <w:r w:rsidRPr="00C83B24">
              <w:t>955,557</w:t>
            </w:r>
          </w:p>
        </w:tc>
      </w:tr>
      <w:tr w14:paraId="3BBFF5FE" w14:textId="77777777" w:rsidTr="00A10305">
        <w:tblPrEx>
          <w:tblW w:w="0" w:type="auto"/>
          <w:tblLayout w:type="fixed"/>
          <w:tblLook w:val="04A0"/>
        </w:tblPrEx>
        <w:trPr>
          <w:trHeight w:val="360"/>
        </w:trPr>
        <w:tc>
          <w:tcPr>
            <w:tcW w:w="6115" w:type="dxa"/>
          </w:tcPr>
          <w:p w:rsidR="00164BE4" w:rsidRPr="00A45AC6" w:rsidP="00A10305" w14:paraId="328CCCF8" w14:textId="77777777">
            <w:pPr>
              <w:jc w:val="center"/>
              <w:rPr>
                <w:color w:val="000000"/>
                <w:szCs w:val="22"/>
              </w:rPr>
            </w:pPr>
            <w:r w:rsidRPr="000935C8">
              <w:t xml:space="preserve">El Centro del Barrio </w:t>
            </w:r>
          </w:p>
        </w:tc>
        <w:tc>
          <w:tcPr>
            <w:tcW w:w="3235" w:type="dxa"/>
            <w:noWrap/>
          </w:tcPr>
          <w:p w:rsidR="00164BE4" w:rsidRPr="00A45AC6" w:rsidP="00A10305" w14:paraId="5EA003D5" w14:textId="77777777">
            <w:pPr>
              <w:jc w:val="center"/>
              <w:rPr>
                <w:color w:val="000000"/>
                <w:szCs w:val="22"/>
              </w:rPr>
            </w:pPr>
            <w:r>
              <w:t>$</w:t>
            </w:r>
            <w:r w:rsidRPr="00C83B24">
              <w:t>999,879</w:t>
            </w:r>
          </w:p>
        </w:tc>
      </w:tr>
      <w:tr w14:paraId="75AC0E71" w14:textId="77777777" w:rsidTr="00A10305">
        <w:tblPrEx>
          <w:tblW w:w="0" w:type="auto"/>
          <w:tblLayout w:type="fixed"/>
          <w:tblLook w:val="04A0"/>
        </w:tblPrEx>
        <w:trPr>
          <w:trHeight w:val="360"/>
        </w:trPr>
        <w:tc>
          <w:tcPr>
            <w:tcW w:w="6115" w:type="dxa"/>
          </w:tcPr>
          <w:p w:rsidR="00164BE4" w:rsidRPr="00A45AC6" w:rsidP="00A10305" w14:paraId="4E4CF587" w14:textId="77777777">
            <w:pPr>
              <w:jc w:val="center"/>
              <w:rPr>
                <w:color w:val="000000"/>
              </w:rPr>
            </w:pPr>
            <w:r w:rsidRPr="003A47E3">
              <w:t>Elliot Health System</w:t>
            </w:r>
          </w:p>
        </w:tc>
        <w:tc>
          <w:tcPr>
            <w:tcW w:w="3235" w:type="dxa"/>
            <w:noWrap/>
          </w:tcPr>
          <w:p w:rsidR="00164BE4" w:rsidRPr="00A45AC6" w:rsidP="00A10305" w14:paraId="7974173A" w14:textId="77777777">
            <w:pPr>
              <w:jc w:val="center"/>
              <w:rPr>
                <w:color w:val="000000"/>
                <w:szCs w:val="22"/>
              </w:rPr>
            </w:pPr>
            <w:r>
              <w:t>$</w:t>
            </w:r>
            <w:r w:rsidRPr="00C83B24">
              <w:t>984,953</w:t>
            </w:r>
          </w:p>
        </w:tc>
      </w:tr>
      <w:tr w14:paraId="517A1EB8" w14:textId="77777777" w:rsidTr="00A10305">
        <w:tblPrEx>
          <w:tblW w:w="0" w:type="auto"/>
          <w:tblLayout w:type="fixed"/>
          <w:tblLook w:val="04A0"/>
        </w:tblPrEx>
        <w:trPr>
          <w:trHeight w:val="360"/>
        </w:trPr>
        <w:tc>
          <w:tcPr>
            <w:tcW w:w="6115" w:type="dxa"/>
          </w:tcPr>
          <w:p w:rsidR="00164BE4" w:rsidRPr="00A45AC6" w:rsidP="00A10305" w14:paraId="64B30759" w14:textId="77777777">
            <w:pPr>
              <w:jc w:val="center"/>
              <w:rPr>
                <w:color w:val="000000"/>
                <w:szCs w:val="22"/>
              </w:rPr>
            </w:pPr>
            <w:r w:rsidRPr="000935C8">
              <w:t>FamilyCare</w:t>
            </w:r>
            <w:r w:rsidRPr="000935C8">
              <w:t xml:space="preserve"> Health Center</w:t>
            </w:r>
          </w:p>
        </w:tc>
        <w:tc>
          <w:tcPr>
            <w:tcW w:w="3235" w:type="dxa"/>
            <w:noWrap/>
          </w:tcPr>
          <w:p w:rsidR="00164BE4" w:rsidRPr="00A45AC6" w:rsidP="00A10305" w14:paraId="432DDCBD" w14:textId="77777777">
            <w:pPr>
              <w:jc w:val="center"/>
              <w:rPr>
                <w:color w:val="000000"/>
                <w:szCs w:val="22"/>
              </w:rPr>
            </w:pPr>
            <w:r>
              <w:t>$</w:t>
            </w:r>
            <w:r w:rsidRPr="00C83B24">
              <w:t>406,896</w:t>
            </w:r>
          </w:p>
        </w:tc>
      </w:tr>
      <w:tr w14:paraId="13F1B6EF" w14:textId="77777777" w:rsidTr="00A10305">
        <w:tblPrEx>
          <w:tblW w:w="0" w:type="auto"/>
          <w:tblLayout w:type="fixed"/>
          <w:tblLook w:val="04A0"/>
        </w:tblPrEx>
        <w:trPr>
          <w:trHeight w:val="360"/>
        </w:trPr>
        <w:tc>
          <w:tcPr>
            <w:tcW w:w="6115" w:type="dxa"/>
          </w:tcPr>
          <w:p w:rsidR="00164BE4" w:rsidRPr="00A45AC6" w:rsidP="00A10305" w14:paraId="54F94D70" w14:textId="079BE51E">
            <w:pPr>
              <w:jc w:val="center"/>
              <w:rPr>
                <w:color w:val="000000"/>
              </w:rPr>
            </w:pPr>
            <w:r>
              <w:t>Fort Defiance Indian Hospital Board</w:t>
            </w:r>
          </w:p>
        </w:tc>
        <w:tc>
          <w:tcPr>
            <w:tcW w:w="3235" w:type="dxa"/>
            <w:noWrap/>
          </w:tcPr>
          <w:p w:rsidR="00164BE4" w:rsidRPr="00A45AC6" w:rsidP="00A10305" w14:paraId="7B1C9E4C" w14:textId="77777777">
            <w:pPr>
              <w:jc w:val="center"/>
              <w:rPr>
                <w:color w:val="000000"/>
                <w:szCs w:val="22"/>
              </w:rPr>
            </w:pPr>
            <w:r>
              <w:t>$</w:t>
            </w:r>
            <w:r w:rsidRPr="00C83B24">
              <w:t>244,614</w:t>
            </w:r>
          </w:p>
        </w:tc>
      </w:tr>
      <w:tr w14:paraId="65282374" w14:textId="77777777" w:rsidTr="00A10305">
        <w:tblPrEx>
          <w:tblW w:w="0" w:type="auto"/>
          <w:tblLayout w:type="fixed"/>
          <w:tblLook w:val="04A0"/>
        </w:tblPrEx>
        <w:trPr>
          <w:trHeight w:val="360"/>
        </w:trPr>
        <w:tc>
          <w:tcPr>
            <w:tcW w:w="6115" w:type="dxa"/>
          </w:tcPr>
          <w:p w:rsidR="00164BE4" w:rsidRPr="000935C8" w:rsidP="00A10305" w14:paraId="3B03A2E6" w14:textId="77777777">
            <w:pPr>
              <w:jc w:val="center"/>
            </w:pPr>
            <w:r>
              <w:t>Highlands Health: Laurel Highlands Free &amp; Charitable Medical Clinic</w:t>
            </w:r>
          </w:p>
        </w:tc>
        <w:tc>
          <w:tcPr>
            <w:tcW w:w="3235" w:type="dxa"/>
            <w:noWrap/>
          </w:tcPr>
          <w:p w:rsidR="00164BE4" w:rsidP="00A10305" w14:paraId="158D349D" w14:textId="77777777">
            <w:pPr>
              <w:jc w:val="center"/>
            </w:pPr>
            <w:r>
              <w:t>$198,530</w:t>
            </w:r>
          </w:p>
        </w:tc>
      </w:tr>
      <w:tr w14:paraId="4B71D98A" w14:textId="77777777" w:rsidTr="00A10305">
        <w:tblPrEx>
          <w:tblW w:w="0" w:type="auto"/>
          <w:tblLayout w:type="fixed"/>
          <w:tblLook w:val="04A0"/>
        </w:tblPrEx>
        <w:trPr>
          <w:trHeight w:val="360"/>
        </w:trPr>
        <w:tc>
          <w:tcPr>
            <w:tcW w:w="6115" w:type="dxa"/>
          </w:tcPr>
          <w:p w:rsidR="00164BE4" w:rsidRPr="00A45AC6" w:rsidP="00A10305" w14:paraId="4FE510BA" w14:textId="77777777">
            <w:pPr>
              <w:jc w:val="center"/>
              <w:rPr>
                <w:color w:val="000000"/>
                <w:szCs w:val="22"/>
              </w:rPr>
            </w:pPr>
            <w:r w:rsidRPr="000935C8">
              <w:t>Honor Community Health</w:t>
            </w:r>
          </w:p>
        </w:tc>
        <w:tc>
          <w:tcPr>
            <w:tcW w:w="3235" w:type="dxa"/>
            <w:noWrap/>
          </w:tcPr>
          <w:p w:rsidR="00164BE4" w:rsidRPr="00A45AC6" w:rsidP="00A10305" w14:paraId="21BF8584" w14:textId="77777777">
            <w:pPr>
              <w:jc w:val="center"/>
              <w:rPr>
                <w:color w:val="000000"/>
                <w:szCs w:val="22"/>
              </w:rPr>
            </w:pPr>
            <w:r>
              <w:t>$</w:t>
            </w:r>
            <w:r w:rsidRPr="00C83B24">
              <w:t>693,990</w:t>
            </w:r>
          </w:p>
        </w:tc>
      </w:tr>
      <w:tr w14:paraId="1EF0FD3C" w14:textId="77777777" w:rsidTr="00A10305">
        <w:tblPrEx>
          <w:tblW w:w="0" w:type="auto"/>
          <w:tblLayout w:type="fixed"/>
          <w:tblLook w:val="04A0"/>
        </w:tblPrEx>
        <w:trPr>
          <w:trHeight w:val="360"/>
        </w:trPr>
        <w:tc>
          <w:tcPr>
            <w:tcW w:w="6115" w:type="dxa"/>
          </w:tcPr>
          <w:p w:rsidR="00164BE4" w:rsidRPr="00A45AC6" w:rsidP="00A10305" w14:paraId="69B37300" w14:textId="77777777">
            <w:pPr>
              <w:jc w:val="center"/>
              <w:rPr>
                <w:color w:val="000000"/>
                <w:szCs w:val="22"/>
              </w:rPr>
            </w:pPr>
            <w:r>
              <w:t>Horizon Health Center</w:t>
            </w:r>
          </w:p>
        </w:tc>
        <w:tc>
          <w:tcPr>
            <w:tcW w:w="3235" w:type="dxa"/>
            <w:noWrap/>
          </w:tcPr>
          <w:p w:rsidR="00164BE4" w:rsidRPr="00A45AC6" w:rsidP="00A10305" w14:paraId="244FA81C" w14:textId="77777777">
            <w:pPr>
              <w:jc w:val="center"/>
              <w:rPr>
                <w:color w:val="000000"/>
                <w:szCs w:val="22"/>
              </w:rPr>
            </w:pPr>
            <w:r>
              <w:t>$</w:t>
            </w:r>
            <w:r w:rsidRPr="00C83B24">
              <w:t>74,100</w:t>
            </w:r>
          </w:p>
        </w:tc>
      </w:tr>
      <w:tr w14:paraId="005EBA06" w14:textId="77777777" w:rsidTr="00A10305">
        <w:tblPrEx>
          <w:tblW w:w="0" w:type="auto"/>
          <w:tblLayout w:type="fixed"/>
          <w:tblLook w:val="04A0"/>
        </w:tblPrEx>
        <w:trPr>
          <w:trHeight w:val="360"/>
        </w:trPr>
        <w:tc>
          <w:tcPr>
            <w:tcW w:w="6115" w:type="dxa"/>
          </w:tcPr>
          <w:p w:rsidR="00164BE4" w:rsidRPr="00A45AC6" w:rsidP="00A10305" w14:paraId="1E2FB014" w14:textId="77777777">
            <w:pPr>
              <w:spacing w:line="259" w:lineRule="auto"/>
              <w:jc w:val="center"/>
            </w:pPr>
            <w:r>
              <w:t>Intermountain Centers for Human Development</w:t>
            </w:r>
          </w:p>
        </w:tc>
        <w:tc>
          <w:tcPr>
            <w:tcW w:w="3235" w:type="dxa"/>
            <w:noWrap/>
          </w:tcPr>
          <w:p w:rsidR="00164BE4" w:rsidRPr="00A45AC6" w:rsidP="00A10305" w14:paraId="2682BB78" w14:textId="77777777">
            <w:pPr>
              <w:jc w:val="center"/>
              <w:rPr>
                <w:color w:val="000000"/>
                <w:szCs w:val="22"/>
              </w:rPr>
            </w:pPr>
            <w:r>
              <w:t>$</w:t>
            </w:r>
            <w:r w:rsidRPr="00C83B24">
              <w:t>183,393</w:t>
            </w:r>
          </w:p>
        </w:tc>
      </w:tr>
      <w:tr w14:paraId="328B4BF9" w14:textId="77777777" w:rsidTr="00A10305">
        <w:tblPrEx>
          <w:tblW w:w="0" w:type="auto"/>
          <w:tblLayout w:type="fixed"/>
          <w:tblLook w:val="04A0"/>
        </w:tblPrEx>
        <w:trPr>
          <w:trHeight w:val="360"/>
        </w:trPr>
        <w:tc>
          <w:tcPr>
            <w:tcW w:w="6115" w:type="dxa"/>
          </w:tcPr>
          <w:p w:rsidR="00164BE4" w:rsidRPr="00A45AC6" w:rsidP="00A10305" w14:paraId="4D1319F9" w14:textId="77777777">
            <w:pPr>
              <w:jc w:val="center"/>
              <w:rPr>
                <w:color w:val="000000"/>
                <w:szCs w:val="22"/>
              </w:rPr>
            </w:pPr>
            <w:r w:rsidRPr="000935C8">
              <w:t>Kirkland Village</w:t>
            </w:r>
          </w:p>
        </w:tc>
        <w:tc>
          <w:tcPr>
            <w:tcW w:w="3235" w:type="dxa"/>
            <w:noWrap/>
          </w:tcPr>
          <w:p w:rsidR="00164BE4" w:rsidRPr="00A45AC6" w:rsidP="00A10305" w14:paraId="70D83C39" w14:textId="77777777">
            <w:pPr>
              <w:jc w:val="center"/>
              <w:rPr>
                <w:color w:val="000000"/>
                <w:szCs w:val="22"/>
              </w:rPr>
            </w:pPr>
            <w:r>
              <w:t>$</w:t>
            </w:r>
            <w:r w:rsidRPr="00C83B24">
              <w:t>1,000,000</w:t>
            </w:r>
          </w:p>
        </w:tc>
      </w:tr>
      <w:tr w14:paraId="4997A270" w14:textId="77777777" w:rsidTr="00A10305">
        <w:tblPrEx>
          <w:tblW w:w="0" w:type="auto"/>
          <w:tblLayout w:type="fixed"/>
          <w:tblLook w:val="04A0"/>
        </w:tblPrEx>
        <w:trPr>
          <w:trHeight w:val="360"/>
        </w:trPr>
        <w:tc>
          <w:tcPr>
            <w:tcW w:w="6115" w:type="dxa"/>
          </w:tcPr>
          <w:p w:rsidR="00164BE4" w:rsidRPr="00A45AC6" w:rsidP="00A10305" w14:paraId="24EE4D46" w14:textId="77777777">
            <w:pPr>
              <w:jc w:val="center"/>
              <w:rPr>
                <w:color w:val="000000"/>
              </w:rPr>
            </w:pPr>
            <w:r>
              <w:t>Konza</w:t>
            </w:r>
            <w:r>
              <w:t xml:space="preserve"> Prairie Community Health Center </w:t>
            </w:r>
          </w:p>
        </w:tc>
        <w:tc>
          <w:tcPr>
            <w:tcW w:w="3235" w:type="dxa"/>
            <w:noWrap/>
          </w:tcPr>
          <w:p w:rsidR="00164BE4" w:rsidRPr="00A45AC6" w:rsidP="00A10305" w14:paraId="65174AA6" w14:textId="77777777">
            <w:pPr>
              <w:jc w:val="center"/>
              <w:rPr>
                <w:color w:val="000000"/>
                <w:szCs w:val="22"/>
              </w:rPr>
            </w:pPr>
            <w:r>
              <w:t>$</w:t>
            </w:r>
            <w:r w:rsidRPr="00C83B24">
              <w:t>488,176</w:t>
            </w:r>
          </w:p>
        </w:tc>
      </w:tr>
      <w:tr w14:paraId="3BA9815B" w14:textId="77777777" w:rsidTr="00A10305">
        <w:tblPrEx>
          <w:tblW w:w="0" w:type="auto"/>
          <w:tblLayout w:type="fixed"/>
          <w:tblLook w:val="04A0"/>
        </w:tblPrEx>
        <w:trPr>
          <w:trHeight w:val="360"/>
        </w:trPr>
        <w:tc>
          <w:tcPr>
            <w:tcW w:w="6115" w:type="dxa"/>
          </w:tcPr>
          <w:p w:rsidR="00164BE4" w:rsidRPr="00A45AC6" w:rsidP="00A10305" w14:paraId="593F7E40" w14:textId="77777777">
            <w:pPr>
              <w:jc w:val="center"/>
              <w:rPr>
                <w:color w:val="000000"/>
                <w:szCs w:val="22"/>
              </w:rPr>
            </w:pPr>
            <w:r w:rsidRPr="000935C8">
              <w:t xml:space="preserve">Lakewood Resource and Referral Center </w:t>
            </w:r>
          </w:p>
        </w:tc>
        <w:tc>
          <w:tcPr>
            <w:tcW w:w="3235" w:type="dxa"/>
            <w:noWrap/>
          </w:tcPr>
          <w:p w:rsidR="00164BE4" w:rsidRPr="00A45AC6" w:rsidP="00A10305" w14:paraId="73DB35BD" w14:textId="77777777">
            <w:pPr>
              <w:jc w:val="center"/>
              <w:rPr>
                <w:color w:val="000000"/>
                <w:szCs w:val="22"/>
              </w:rPr>
            </w:pPr>
            <w:r>
              <w:t>$</w:t>
            </w:r>
            <w:r w:rsidRPr="00C83B24">
              <w:t>999,010</w:t>
            </w:r>
          </w:p>
        </w:tc>
      </w:tr>
      <w:tr w14:paraId="088764FD" w14:textId="77777777" w:rsidTr="00A10305">
        <w:tblPrEx>
          <w:tblW w:w="0" w:type="auto"/>
          <w:tblLayout w:type="fixed"/>
          <w:tblLook w:val="04A0"/>
        </w:tblPrEx>
        <w:trPr>
          <w:trHeight w:val="360"/>
        </w:trPr>
        <w:tc>
          <w:tcPr>
            <w:tcW w:w="6115" w:type="dxa"/>
          </w:tcPr>
          <w:p w:rsidR="00164BE4" w:rsidRPr="00A45AC6" w:rsidP="00A10305" w14:paraId="70D456E6" w14:textId="77777777">
            <w:pPr>
              <w:jc w:val="center"/>
              <w:rPr>
                <w:highlight w:val="yellow"/>
              </w:rPr>
            </w:pPr>
            <w:r>
              <w:t>LifeStream</w:t>
            </w:r>
            <w:r>
              <w:t xml:space="preserve"> </w:t>
            </w:r>
            <w:r w:rsidRPr="003A47E3">
              <w:t>Behavioral Center</w:t>
            </w:r>
          </w:p>
        </w:tc>
        <w:tc>
          <w:tcPr>
            <w:tcW w:w="3235" w:type="dxa"/>
            <w:noWrap/>
          </w:tcPr>
          <w:p w:rsidR="00164BE4" w:rsidRPr="00A45AC6" w:rsidP="00A10305" w14:paraId="1D16A367" w14:textId="77777777">
            <w:pPr>
              <w:jc w:val="center"/>
              <w:rPr>
                <w:color w:val="000000"/>
              </w:rPr>
            </w:pPr>
            <w:r>
              <w:t>$338,100</w:t>
            </w:r>
          </w:p>
        </w:tc>
      </w:tr>
      <w:tr w14:paraId="7AEA4314" w14:textId="77777777" w:rsidTr="00A10305">
        <w:tblPrEx>
          <w:tblW w:w="0" w:type="auto"/>
          <w:tblLayout w:type="fixed"/>
          <w:tblLook w:val="04A0"/>
        </w:tblPrEx>
        <w:trPr>
          <w:trHeight w:val="360"/>
        </w:trPr>
        <w:tc>
          <w:tcPr>
            <w:tcW w:w="6115" w:type="dxa"/>
          </w:tcPr>
          <w:p w:rsidR="00164BE4" w:rsidRPr="00A45AC6" w:rsidP="00A10305" w14:paraId="4D39E4B9" w14:textId="77777777">
            <w:pPr>
              <w:jc w:val="center"/>
              <w:rPr>
                <w:color w:val="000000"/>
                <w:szCs w:val="22"/>
              </w:rPr>
            </w:pPr>
            <w:r w:rsidRPr="000935C8">
              <w:t>Louisiana Independent Hospital Network Coalition</w:t>
            </w:r>
          </w:p>
        </w:tc>
        <w:tc>
          <w:tcPr>
            <w:tcW w:w="3235" w:type="dxa"/>
            <w:noWrap/>
          </w:tcPr>
          <w:p w:rsidR="00164BE4" w:rsidRPr="00A45AC6" w:rsidP="00A10305" w14:paraId="41086A7E" w14:textId="77777777">
            <w:pPr>
              <w:jc w:val="center"/>
              <w:rPr>
                <w:color w:val="000000"/>
                <w:szCs w:val="22"/>
              </w:rPr>
            </w:pPr>
            <w:r>
              <w:t>$</w:t>
            </w:r>
            <w:r w:rsidRPr="00C83B24">
              <w:t>452,758</w:t>
            </w:r>
          </w:p>
        </w:tc>
      </w:tr>
      <w:tr w14:paraId="520FD657" w14:textId="77777777" w:rsidTr="00A10305">
        <w:tblPrEx>
          <w:tblW w:w="0" w:type="auto"/>
          <w:tblLayout w:type="fixed"/>
          <w:tblLook w:val="04A0"/>
        </w:tblPrEx>
        <w:trPr>
          <w:trHeight w:val="360"/>
        </w:trPr>
        <w:tc>
          <w:tcPr>
            <w:tcW w:w="6115" w:type="dxa"/>
          </w:tcPr>
          <w:p w:rsidR="00164BE4" w:rsidRPr="00A45AC6" w:rsidP="00A10305" w14:paraId="081C5845" w14:textId="77777777">
            <w:pPr>
              <w:jc w:val="center"/>
              <w:rPr>
                <w:color w:val="000000"/>
                <w:szCs w:val="22"/>
              </w:rPr>
            </w:pPr>
            <w:r w:rsidRPr="000935C8">
              <w:t xml:space="preserve">Maricopa County Special Health Care District </w:t>
            </w:r>
          </w:p>
        </w:tc>
        <w:tc>
          <w:tcPr>
            <w:tcW w:w="3235" w:type="dxa"/>
            <w:noWrap/>
          </w:tcPr>
          <w:p w:rsidR="00164BE4" w:rsidRPr="00A45AC6" w:rsidP="00A10305" w14:paraId="4273083D" w14:textId="77777777">
            <w:pPr>
              <w:jc w:val="center"/>
              <w:rPr>
                <w:color w:val="000000"/>
                <w:szCs w:val="22"/>
              </w:rPr>
            </w:pPr>
            <w:r>
              <w:t>$</w:t>
            </w:r>
            <w:r w:rsidRPr="00C83B24">
              <w:t>975,530</w:t>
            </w:r>
          </w:p>
        </w:tc>
      </w:tr>
      <w:tr w14:paraId="3CDF3F39" w14:textId="77777777" w:rsidTr="00A10305">
        <w:tblPrEx>
          <w:tblW w:w="0" w:type="auto"/>
          <w:tblLayout w:type="fixed"/>
          <w:tblLook w:val="04A0"/>
        </w:tblPrEx>
        <w:trPr>
          <w:trHeight w:val="360"/>
        </w:trPr>
        <w:tc>
          <w:tcPr>
            <w:tcW w:w="6115" w:type="dxa"/>
          </w:tcPr>
          <w:p w:rsidR="00164BE4" w:rsidRPr="00A45AC6" w:rsidP="00A10305" w14:paraId="449E9AB3" w14:textId="77777777">
            <w:pPr>
              <w:jc w:val="center"/>
              <w:rPr>
                <w:color w:val="000000"/>
              </w:rPr>
            </w:pPr>
            <w:r w:rsidRPr="003A47E3">
              <w:t>University of Maryland Medical System</w:t>
            </w:r>
          </w:p>
        </w:tc>
        <w:tc>
          <w:tcPr>
            <w:tcW w:w="3235" w:type="dxa"/>
            <w:noWrap/>
          </w:tcPr>
          <w:p w:rsidR="00164BE4" w:rsidRPr="00A45AC6" w:rsidP="00A10305" w14:paraId="13A1AFBA" w14:textId="77777777">
            <w:pPr>
              <w:jc w:val="center"/>
              <w:rPr>
                <w:color w:val="000000"/>
                <w:szCs w:val="22"/>
              </w:rPr>
            </w:pPr>
            <w:r>
              <w:t>$</w:t>
            </w:r>
            <w:r w:rsidRPr="00C83B24">
              <w:t>795,146</w:t>
            </w:r>
          </w:p>
        </w:tc>
      </w:tr>
      <w:tr w14:paraId="1C4F9DF7" w14:textId="77777777" w:rsidTr="00A10305">
        <w:tblPrEx>
          <w:tblW w:w="0" w:type="auto"/>
          <w:tblLayout w:type="fixed"/>
          <w:tblLook w:val="04A0"/>
        </w:tblPrEx>
        <w:trPr>
          <w:trHeight w:val="360"/>
        </w:trPr>
        <w:tc>
          <w:tcPr>
            <w:tcW w:w="6115" w:type="dxa"/>
          </w:tcPr>
          <w:p w:rsidR="00164BE4" w:rsidRPr="00A45AC6" w:rsidP="00A10305" w14:paraId="5B894094" w14:textId="77777777">
            <w:pPr>
              <w:jc w:val="center"/>
              <w:rPr>
                <w:color w:val="000000"/>
                <w:szCs w:val="22"/>
              </w:rPr>
            </w:pPr>
            <w:r w:rsidRPr="000935C8">
              <w:t>Memorial Hospital of South Bend</w:t>
            </w:r>
          </w:p>
        </w:tc>
        <w:tc>
          <w:tcPr>
            <w:tcW w:w="3235" w:type="dxa"/>
            <w:noWrap/>
          </w:tcPr>
          <w:p w:rsidR="00164BE4" w:rsidRPr="00A45AC6" w:rsidP="00A10305" w14:paraId="3B7F438F" w14:textId="77777777">
            <w:pPr>
              <w:jc w:val="center"/>
              <w:rPr>
                <w:color w:val="000000"/>
                <w:szCs w:val="22"/>
              </w:rPr>
            </w:pPr>
            <w:r>
              <w:t>$</w:t>
            </w:r>
            <w:r w:rsidRPr="00C83B24">
              <w:t>116,571</w:t>
            </w:r>
          </w:p>
        </w:tc>
      </w:tr>
      <w:tr w14:paraId="4BFFB351" w14:textId="77777777" w:rsidTr="00A10305">
        <w:tblPrEx>
          <w:tblW w:w="0" w:type="auto"/>
          <w:tblLayout w:type="fixed"/>
          <w:tblLook w:val="04A0"/>
        </w:tblPrEx>
        <w:trPr>
          <w:trHeight w:val="360"/>
        </w:trPr>
        <w:tc>
          <w:tcPr>
            <w:tcW w:w="6115" w:type="dxa"/>
          </w:tcPr>
          <w:p w:rsidR="00164BE4" w:rsidRPr="00A45AC6" w:rsidP="00A10305" w14:paraId="356BDE7A" w14:textId="77777777">
            <w:pPr>
              <w:jc w:val="center"/>
              <w:rPr>
                <w:color w:val="000000"/>
                <w:szCs w:val="22"/>
              </w:rPr>
            </w:pPr>
            <w:r w:rsidRPr="000935C8">
              <w:t xml:space="preserve">Methodist Hospitals </w:t>
            </w:r>
            <w:r>
              <w:t>–</w:t>
            </w:r>
            <w:r w:rsidRPr="000935C8">
              <w:t xml:space="preserve"> Northlake</w:t>
            </w:r>
          </w:p>
        </w:tc>
        <w:tc>
          <w:tcPr>
            <w:tcW w:w="3235" w:type="dxa"/>
            <w:noWrap/>
          </w:tcPr>
          <w:p w:rsidR="00164BE4" w:rsidRPr="00A45AC6" w:rsidP="00A10305" w14:paraId="0642CEAF" w14:textId="77777777">
            <w:pPr>
              <w:jc w:val="center"/>
              <w:rPr>
                <w:color w:val="000000"/>
                <w:szCs w:val="22"/>
              </w:rPr>
            </w:pPr>
            <w:r>
              <w:t>$</w:t>
            </w:r>
            <w:r w:rsidRPr="00C83B24">
              <w:t>1,000,000</w:t>
            </w:r>
          </w:p>
        </w:tc>
      </w:tr>
      <w:tr w14:paraId="4DAB6846" w14:textId="77777777" w:rsidTr="00A10305">
        <w:tblPrEx>
          <w:tblW w:w="0" w:type="auto"/>
          <w:tblLayout w:type="fixed"/>
          <w:tblLook w:val="04A0"/>
        </w:tblPrEx>
        <w:trPr>
          <w:trHeight w:val="360"/>
        </w:trPr>
        <w:tc>
          <w:tcPr>
            <w:tcW w:w="6115" w:type="dxa"/>
          </w:tcPr>
          <w:p w:rsidR="00164BE4" w:rsidRPr="00A45AC6" w:rsidP="00A10305" w14:paraId="2B8EF68E" w14:textId="77777777">
            <w:pPr>
              <w:jc w:val="center"/>
              <w:rPr>
                <w:color w:val="000000"/>
                <w:szCs w:val="22"/>
              </w:rPr>
            </w:pPr>
            <w:r w:rsidRPr="000935C8">
              <w:t>MidMichigan Health</w:t>
            </w:r>
          </w:p>
        </w:tc>
        <w:tc>
          <w:tcPr>
            <w:tcW w:w="3235" w:type="dxa"/>
            <w:noWrap/>
          </w:tcPr>
          <w:p w:rsidR="00164BE4" w:rsidRPr="00A45AC6" w:rsidP="00A10305" w14:paraId="26956E0B" w14:textId="77777777">
            <w:pPr>
              <w:jc w:val="center"/>
              <w:rPr>
                <w:color w:val="000000"/>
                <w:szCs w:val="22"/>
              </w:rPr>
            </w:pPr>
            <w:r>
              <w:t>$</w:t>
            </w:r>
            <w:r w:rsidRPr="00C83B24">
              <w:t>765,175</w:t>
            </w:r>
          </w:p>
        </w:tc>
      </w:tr>
      <w:tr w14:paraId="21030415" w14:textId="77777777" w:rsidTr="00A10305">
        <w:tblPrEx>
          <w:tblW w:w="0" w:type="auto"/>
          <w:tblLayout w:type="fixed"/>
          <w:tblLook w:val="04A0"/>
        </w:tblPrEx>
        <w:trPr>
          <w:trHeight w:val="360"/>
        </w:trPr>
        <w:tc>
          <w:tcPr>
            <w:tcW w:w="6115" w:type="dxa"/>
          </w:tcPr>
          <w:p w:rsidR="00164BE4" w:rsidRPr="00A45AC6" w:rsidP="00A10305" w14:paraId="43CC1BD2" w14:textId="77777777">
            <w:pPr>
              <w:jc w:val="center"/>
              <w:rPr>
                <w:color w:val="000000"/>
                <w:szCs w:val="22"/>
              </w:rPr>
            </w:pPr>
            <w:r w:rsidRPr="000935C8">
              <w:t>Mid-State Health Center</w:t>
            </w:r>
          </w:p>
        </w:tc>
        <w:tc>
          <w:tcPr>
            <w:tcW w:w="3235" w:type="dxa"/>
            <w:noWrap/>
          </w:tcPr>
          <w:p w:rsidR="00164BE4" w:rsidRPr="00A45AC6" w:rsidP="00A10305" w14:paraId="085431B1" w14:textId="77777777">
            <w:pPr>
              <w:jc w:val="center"/>
              <w:rPr>
                <w:color w:val="000000"/>
                <w:szCs w:val="22"/>
              </w:rPr>
            </w:pPr>
            <w:r>
              <w:t>$</w:t>
            </w:r>
            <w:r w:rsidRPr="00C83B24">
              <w:t>198,662</w:t>
            </w:r>
          </w:p>
        </w:tc>
      </w:tr>
      <w:tr w14:paraId="4BD18E30" w14:textId="77777777" w:rsidTr="00A10305">
        <w:tblPrEx>
          <w:tblW w:w="0" w:type="auto"/>
          <w:tblLayout w:type="fixed"/>
          <w:tblLook w:val="04A0"/>
        </w:tblPrEx>
        <w:trPr>
          <w:trHeight w:val="360"/>
        </w:trPr>
        <w:tc>
          <w:tcPr>
            <w:tcW w:w="6115" w:type="dxa"/>
          </w:tcPr>
          <w:p w:rsidR="00164BE4" w:rsidRPr="00A45AC6" w:rsidP="00A10305" w14:paraId="0BC056A0" w14:textId="77777777">
            <w:pPr>
              <w:jc w:val="center"/>
              <w:rPr>
                <w:color w:val="000000"/>
              </w:rPr>
            </w:pPr>
            <w:r>
              <w:t>Mountain Health and Wellness</w:t>
            </w:r>
          </w:p>
        </w:tc>
        <w:tc>
          <w:tcPr>
            <w:tcW w:w="3235" w:type="dxa"/>
            <w:noWrap/>
          </w:tcPr>
          <w:p w:rsidR="00164BE4" w:rsidRPr="00A45AC6" w:rsidP="00A10305" w14:paraId="6CC7E60E" w14:textId="77777777">
            <w:pPr>
              <w:jc w:val="center"/>
              <w:rPr>
                <w:color w:val="000000"/>
                <w:szCs w:val="22"/>
              </w:rPr>
            </w:pPr>
            <w:r>
              <w:t>$</w:t>
            </w:r>
            <w:r w:rsidRPr="00C83B24">
              <w:t>920,385</w:t>
            </w:r>
          </w:p>
        </w:tc>
      </w:tr>
      <w:tr w14:paraId="25185C1F" w14:textId="77777777" w:rsidTr="00A10305">
        <w:tblPrEx>
          <w:tblW w:w="0" w:type="auto"/>
          <w:tblLayout w:type="fixed"/>
          <w:tblLook w:val="04A0"/>
        </w:tblPrEx>
        <w:trPr>
          <w:trHeight w:val="360"/>
        </w:trPr>
        <w:tc>
          <w:tcPr>
            <w:tcW w:w="6115" w:type="dxa"/>
          </w:tcPr>
          <w:p w:rsidR="00164BE4" w:rsidRPr="00A45AC6" w:rsidP="00A10305" w14:paraId="41489EE1" w14:textId="77777777">
            <w:pPr>
              <w:jc w:val="center"/>
              <w:rPr>
                <w:color w:val="000000"/>
                <w:szCs w:val="22"/>
              </w:rPr>
            </w:pPr>
            <w:r w:rsidRPr="000935C8">
              <w:t>Mountain Park Health Center</w:t>
            </w:r>
          </w:p>
        </w:tc>
        <w:tc>
          <w:tcPr>
            <w:tcW w:w="3235" w:type="dxa"/>
            <w:noWrap/>
          </w:tcPr>
          <w:p w:rsidR="00164BE4" w:rsidRPr="00A45AC6" w:rsidP="00A10305" w14:paraId="1A03F69B" w14:textId="77777777">
            <w:pPr>
              <w:jc w:val="center"/>
              <w:rPr>
                <w:color w:val="000000"/>
                <w:szCs w:val="22"/>
              </w:rPr>
            </w:pPr>
            <w:r>
              <w:t>$</w:t>
            </w:r>
            <w:r w:rsidRPr="00C83B24">
              <w:t>165,844</w:t>
            </w:r>
          </w:p>
        </w:tc>
      </w:tr>
      <w:tr w14:paraId="3C830ABB" w14:textId="77777777" w:rsidTr="00A10305">
        <w:tblPrEx>
          <w:tblW w:w="0" w:type="auto"/>
          <w:tblLayout w:type="fixed"/>
          <w:tblLook w:val="04A0"/>
        </w:tblPrEx>
        <w:trPr>
          <w:trHeight w:val="360"/>
        </w:trPr>
        <w:tc>
          <w:tcPr>
            <w:tcW w:w="6115" w:type="dxa"/>
          </w:tcPr>
          <w:p w:rsidR="00164BE4" w:rsidRPr="00A45AC6" w:rsidP="00A10305" w14:paraId="3292D380" w14:textId="77777777">
            <w:pPr>
              <w:jc w:val="center"/>
              <w:rPr>
                <w:color w:val="000000"/>
              </w:rPr>
            </w:pPr>
            <w:r>
              <w:t>Munson Healthcare</w:t>
            </w:r>
          </w:p>
        </w:tc>
        <w:tc>
          <w:tcPr>
            <w:tcW w:w="3235" w:type="dxa"/>
            <w:noWrap/>
          </w:tcPr>
          <w:p w:rsidR="00164BE4" w:rsidRPr="00A45AC6" w:rsidP="00A10305" w14:paraId="45C89EDB" w14:textId="77777777">
            <w:pPr>
              <w:jc w:val="center"/>
              <w:rPr>
                <w:color w:val="000000"/>
                <w:szCs w:val="22"/>
              </w:rPr>
            </w:pPr>
            <w:r>
              <w:t>$</w:t>
            </w:r>
            <w:r w:rsidRPr="00C83B24">
              <w:t>485,407</w:t>
            </w:r>
          </w:p>
        </w:tc>
      </w:tr>
      <w:tr w14:paraId="63DE608B" w14:textId="77777777" w:rsidTr="00A10305">
        <w:tblPrEx>
          <w:tblW w:w="0" w:type="auto"/>
          <w:tblLayout w:type="fixed"/>
          <w:tblLook w:val="04A0"/>
        </w:tblPrEx>
        <w:trPr>
          <w:trHeight w:val="360"/>
        </w:trPr>
        <w:tc>
          <w:tcPr>
            <w:tcW w:w="6115" w:type="dxa"/>
          </w:tcPr>
          <w:p w:rsidR="00164BE4" w:rsidRPr="00A45AC6" w:rsidP="00A10305" w14:paraId="0A3F733D" w14:textId="77777777">
            <w:pPr>
              <w:jc w:val="center"/>
              <w:rPr>
                <w:color w:val="000000"/>
                <w:szCs w:val="22"/>
              </w:rPr>
            </w:pPr>
            <w:r w:rsidRPr="000935C8">
              <w:t>Native American Community Health Center</w:t>
            </w:r>
          </w:p>
        </w:tc>
        <w:tc>
          <w:tcPr>
            <w:tcW w:w="3235" w:type="dxa"/>
            <w:noWrap/>
          </w:tcPr>
          <w:p w:rsidR="00164BE4" w:rsidRPr="00A45AC6" w:rsidP="00A10305" w14:paraId="3F34B3B1" w14:textId="77777777">
            <w:pPr>
              <w:jc w:val="center"/>
              <w:rPr>
                <w:color w:val="000000"/>
                <w:szCs w:val="22"/>
              </w:rPr>
            </w:pPr>
            <w:r>
              <w:t>$</w:t>
            </w:r>
            <w:r w:rsidRPr="00C83B24">
              <w:t>416,006</w:t>
            </w:r>
          </w:p>
        </w:tc>
      </w:tr>
      <w:tr w14:paraId="1A89CD76" w14:textId="77777777" w:rsidTr="00A10305">
        <w:tblPrEx>
          <w:tblW w:w="0" w:type="auto"/>
          <w:tblLayout w:type="fixed"/>
          <w:tblLook w:val="04A0"/>
        </w:tblPrEx>
        <w:trPr>
          <w:trHeight w:val="360"/>
        </w:trPr>
        <w:tc>
          <w:tcPr>
            <w:tcW w:w="6115" w:type="dxa"/>
          </w:tcPr>
          <w:p w:rsidR="00164BE4" w:rsidRPr="00A45AC6" w:rsidP="00A10305" w14:paraId="652AAD21" w14:textId="77777777">
            <w:pPr>
              <w:jc w:val="center"/>
              <w:rPr>
                <w:color w:val="000000"/>
                <w:szCs w:val="22"/>
              </w:rPr>
            </w:pPr>
            <w:r w:rsidRPr="000935C8">
              <w:t>Nemours Children's Hospital</w:t>
            </w:r>
          </w:p>
        </w:tc>
        <w:tc>
          <w:tcPr>
            <w:tcW w:w="3235" w:type="dxa"/>
            <w:noWrap/>
          </w:tcPr>
          <w:p w:rsidR="00164BE4" w:rsidRPr="00A45AC6" w:rsidP="00A10305" w14:paraId="3140B5C3" w14:textId="77777777">
            <w:pPr>
              <w:jc w:val="center"/>
              <w:rPr>
                <w:color w:val="000000"/>
                <w:szCs w:val="22"/>
              </w:rPr>
            </w:pPr>
            <w:r>
              <w:t>$</w:t>
            </w:r>
            <w:r w:rsidRPr="00C83B24">
              <w:t>904,048</w:t>
            </w:r>
          </w:p>
        </w:tc>
      </w:tr>
      <w:tr w14:paraId="16EA4D2C" w14:textId="77777777" w:rsidTr="00A10305">
        <w:tblPrEx>
          <w:tblW w:w="0" w:type="auto"/>
          <w:tblLayout w:type="fixed"/>
          <w:tblLook w:val="04A0"/>
        </w:tblPrEx>
        <w:trPr>
          <w:trHeight w:val="360"/>
        </w:trPr>
        <w:tc>
          <w:tcPr>
            <w:tcW w:w="6115" w:type="dxa"/>
          </w:tcPr>
          <w:p w:rsidR="00164BE4" w:rsidRPr="00A45AC6" w:rsidP="00A10305" w14:paraId="339BF69E" w14:textId="77777777">
            <w:pPr>
              <w:jc w:val="center"/>
              <w:rPr>
                <w:color w:val="000000"/>
                <w:szCs w:val="22"/>
              </w:rPr>
            </w:pPr>
            <w:r w:rsidRPr="000935C8">
              <w:t>North Mississippi Medical Center-Tupelo</w:t>
            </w:r>
          </w:p>
        </w:tc>
        <w:tc>
          <w:tcPr>
            <w:tcW w:w="3235" w:type="dxa"/>
            <w:noWrap/>
          </w:tcPr>
          <w:p w:rsidR="00164BE4" w:rsidRPr="00A45AC6" w:rsidP="00A10305" w14:paraId="0150E192" w14:textId="77777777">
            <w:pPr>
              <w:jc w:val="center"/>
              <w:rPr>
                <w:color w:val="000000"/>
                <w:szCs w:val="22"/>
              </w:rPr>
            </w:pPr>
            <w:r>
              <w:t>$</w:t>
            </w:r>
            <w:r w:rsidRPr="00C83B24">
              <w:t>1,000,000</w:t>
            </w:r>
          </w:p>
        </w:tc>
      </w:tr>
      <w:tr w14:paraId="7AAB039A" w14:textId="77777777" w:rsidTr="00A10305">
        <w:tblPrEx>
          <w:tblW w:w="0" w:type="auto"/>
          <w:tblLayout w:type="fixed"/>
          <w:tblLook w:val="04A0"/>
        </w:tblPrEx>
        <w:trPr>
          <w:trHeight w:val="360"/>
        </w:trPr>
        <w:tc>
          <w:tcPr>
            <w:tcW w:w="6115" w:type="dxa"/>
          </w:tcPr>
          <w:p w:rsidR="00164BE4" w:rsidRPr="00A45AC6" w:rsidP="00A10305" w14:paraId="359F4E21" w14:textId="77777777">
            <w:pPr>
              <w:jc w:val="center"/>
              <w:rPr>
                <w:color w:val="000000"/>
                <w:szCs w:val="22"/>
              </w:rPr>
            </w:pPr>
            <w:r w:rsidRPr="000935C8">
              <w:t>North Valley Hospital</w:t>
            </w:r>
          </w:p>
        </w:tc>
        <w:tc>
          <w:tcPr>
            <w:tcW w:w="3235" w:type="dxa"/>
            <w:noWrap/>
          </w:tcPr>
          <w:p w:rsidR="00164BE4" w:rsidRPr="00A45AC6" w:rsidP="00A10305" w14:paraId="3B850F5C" w14:textId="77777777">
            <w:pPr>
              <w:jc w:val="center"/>
              <w:rPr>
                <w:color w:val="000000"/>
                <w:szCs w:val="22"/>
              </w:rPr>
            </w:pPr>
            <w:r>
              <w:t>$</w:t>
            </w:r>
            <w:r w:rsidRPr="00C83B24">
              <w:t>92,591</w:t>
            </w:r>
          </w:p>
        </w:tc>
      </w:tr>
      <w:tr w14:paraId="2CEAE04B" w14:textId="77777777" w:rsidTr="00A10305">
        <w:tblPrEx>
          <w:tblW w:w="0" w:type="auto"/>
          <w:tblLayout w:type="fixed"/>
          <w:tblLook w:val="04A0"/>
        </w:tblPrEx>
        <w:trPr>
          <w:trHeight w:val="360"/>
        </w:trPr>
        <w:tc>
          <w:tcPr>
            <w:tcW w:w="6115" w:type="dxa"/>
          </w:tcPr>
          <w:p w:rsidR="00164BE4" w:rsidRPr="00A45AC6" w:rsidP="00A10305" w14:paraId="0DB61A38" w14:textId="77777777">
            <w:pPr>
              <w:jc w:val="center"/>
              <w:rPr>
                <w:color w:val="000000"/>
                <w:szCs w:val="22"/>
              </w:rPr>
            </w:pPr>
            <w:r w:rsidRPr="000935C8">
              <w:t>Northern Lakes Community Mental Health</w:t>
            </w:r>
          </w:p>
        </w:tc>
        <w:tc>
          <w:tcPr>
            <w:tcW w:w="3235" w:type="dxa"/>
            <w:noWrap/>
          </w:tcPr>
          <w:p w:rsidR="00164BE4" w:rsidRPr="00A45AC6" w:rsidP="00A10305" w14:paraId="1E187FC8" w14:textId="77777777">
            <w:pPr>
              <w:jc w:val="center"/>
              <w:rPr>
                <w:color w:val="000000"/>
                <w:szCs w:val="22"/>
              </w:rPr>
            </w:pPr>
            <w:r>
              <w:t>$</w:t>
            </w:r>
            <w:r w:rsidRPr="00C83B24">
              <w:t>404,812</w:t>
            </w:r>
          </w:p>
        </w:tc>
      </w:tr>
      <w:tr w14:paraId="6CDF95B2" w14:textId="77777777" w:rsidTr="00A10305">
        <w:tblPrEx>
          <w:tblW w:w="0" w:type="auto"/>
          <w:tblLayout w:type="fixed"/>
          <w:tblLook w:val="04A0"/>
        </w:tblPrEx>
        <w:trPr>
          <w:trHeight w:val="360"/>
        </w:trPr>
        <w:tc>
          <w:tcPr>
            <w:tcW w:w="6115" w:type="dxa"/>
          </w:tcPr>
          <w:p w:rsidR="00164BE4" w:rsidRPr="00A45AC6" w:rsidP="00A10305" w14:paraId="49AB5F68" w14:textId="77777777">
            <w:pPr>
              <w:jc w:val="center"/>
              <w:rPr>
                <w:color w:val="000000"/>
                <w:szCs w:val="22"/>
              </w:rPr>
            </w:pPr>
            <w:r w:rsidRPr="000935C8">
              <w:t>Norton Healthcare</w:t>
            </w:r>
          </w:p>
        </w:tc>
        <w:tc>
          <w:tcPr>
            <w:tcW w:w="3235" w:type="dxa"/>
            <w:noWrap/>
          </w:tcPr>
          <w:p w:rsidR="00164BE4" w:rsidRPr="00A45AC6" w:rsidP="00A10305" w14:paraId="4E780188" w14:textId="77777777">
            <w:pPr>
              <w:jc w:val="center"/>
              <w:rPr>
                <w:color w:val="000000"/>
                <w:szCs w:val="22"/>
              </w:rPr>
            </w:pPr>
            <w:r>
              <w:t>$</w:t>
            </w:r>
            <w:r w:rsidRPr="00C83B24">
              <w:t>964,576</w:t>
            </w:r>
          </w:p>
        </w:tc>
      </w:tr>
      <w:tr w14:paraId="2546C5F0" w14:textId="77777777" w:rsidTr="00A10305">
        <w:tblPrEx>
          <w:tblW w:w="0" w:type="auto"/>
          <w:tblLayout w:type="fixed"/>
          <w:tblLook w:val="04A0"/>
        </w:tblPrEx>
        <w:trPr>
          <w:trHeight w:val="360"/>
        </w:trPr>
        <w:tc>
          <w:tcPr>
            <w:tcW w:w="6115" w:type="dxa"/>
          </w:tcPr>
          <w:p w:rsidR="00164BE4" w:rsidRPr="00A45AC6" w:rsidP="00A10305" w14:paraId="587EBEF4" w14:textId="77777777">
            <w:pPr>
              <w:jc w:val="center"/>
              <w:rPr>
                <w:color w:val="000000"/>
                <w:szCs w:val="22"/>
              </w:rPr>
            </w:pPr>
            <w:r w:rsidRPr="000935C8">
              <w:t>Ochsner Medical Center</w:t>
            </w:r>
          </w:p>
        </w:tc>
        <w:tc>
          <w:tcPr>
            <w:tcW w:w="3235" w:type="dxa"/>
            <w:noWrap/>
          </w:tcPr>
          <w:p w:rsidR="00164BE4" w:rsidRPr="00A45AC6" w:rsidP="00A10305" w14:paraId="1170890F" w14:textId="77777777">
            <w:pPr>
              <w:jc w:val="center"/>
              <w:rPr>
                <w:color w:val="000000"/>
                <w:szCs w:val="22"/>
              </w:rPr>
            </w:pPr>
            <w:r>
              <w:t>$</w:t>
            </w:r>
            <w:r w:rsidRPr="00C83B24">
              <w:t>999,996</w:t>
            </w:r>
          </w:p>
        </w:tc>
      </w:tr>
      <w:tr w14:paraId="6D559125" w14:textId="77777777" w:rsidTr="00A10305">
        <w:tblPrEx>
          <w:tblW w:w="0" w:type="auto"/>
          <w:tblLayout w:type="fixed"/>
          <w:tblLook w:val="04A0"/>
        </w:tblPrEx>
        <w:trPr>
          <w:trHeight w:val="360"/>
        </w:trPr>
        <w:tc>
          <w:tcPr>
            <w:tcW w:w="6115" w:type="dxa"/>
          </w:tcPr>
          <w:p w:rsidR="00164BE4" w:rsidRPr="00A45AC6" w:rsidP="00A10305" w14:paraId="27245896" w14:textId="77777777">
            <w:pPr>
              <w:jc w:val="center"/>
              <w:rPr>
                <w:color w:val="000000"/>
                <w:szCs w:val="22"/>
              </w:rPr>
            </w:pPr>
            <w:r w:rsidRPr="000935C8">
              <w:t>Ossining Open Door</w:t>
            </w:r>
          </w:p>
        </w:tc>
        <w:tc>
          <w:tcPr>
            <w:tcW w:w="3235" w:type="dxa"/>
            <w:noWrap/>
          </w:tcPr>
          <w:p w:rsidR="00164BE4" w:rsidRPr="00A45AC6" w:rsidP="00A10305" w14:paraId="38674883" w14:textId="77777777">
            <w:pPr>
              <w:jc w:val="center"/>
              <w:rPr>
                <w:color w:val="000000"/>
                <w:szCs w:val="22"/>
              </w:rPr>
            </w:pPr>
            <w:r>
              <w:t>$</w:t>
            </w:r>
            <w:r w:rsidRPr="00C83B24">
              <w:t>426,039</w:t>
            </w:r>
          </w:p>
        </w:tc>
      </w:tr>
      <w:tr w14:paraId="177AAB05" w14:textId="77777777" w:rsidTr="00A10305">
        <w:tblPrEx>
          <w:tblW w:w="0" w:type="auto"/>
          <w:tblLayout w:type="fixed"/>
          <w:tblLook w:val="04A0"/>
        </w:tblPrEx>
        <w:trPr>
          <w:trHeight w:val="360"/>
        </w:trPr>
        <w:tc>
          <w:tcPr>
            <w:tcW w:w="6115" w:type="dxa"/>
          </w:tcPr>
          <w:p w:rsidR="00164BE4" w:rsidRPr="00A45AC6" w:rsidP="00A10305" w14:paraId="06AE2431" w14:textId="77777777">
            <w:pPr>
              <w:jc w:val="center"/>
              <w:rPr>
                <w:color w:val="000000"/>
                <w:szCs w:val="22"/>
              </w:rPr>
            </w:pPr>
            <w:r>
              <w:t>Professional Care Services of West Tennessee</w:t>
            </w:r>
          </w:p>
        </w:tc>
        <w:tc>
          <w:tcPr>
            <w:tcW w:w="3235" w:type="dxa"/>
            <w:noWrap/>
          </w:tcPr>
          <w:p w:rsidR="00164BE4" w:rsidRPr="00A45AC6" w:rsidP="00A10305" w14:paraId="61AF2711" w14:textId="77777777">
            <w:pPr>
              <w:jc w:val="center"/>
              <w:rPr>
                <w:color w:val="000000"/>
                <w:szCs w:val="22"/>
              </w:rPr>
            </w:pPr>
            <w:r>
              <w:t>$</w:t>
            </w:r>
            <w:r w:rsidRPr="00C83B24">
              <w:t>195,953</w:t>
            </w:r>
          </w:p>
        </w:tc>
      </w:tr>
      <w:tr w14:paraId="3B99E70A" w14:textId="77777777" w:rsidTr="00A10305">
        <w:tblPrEx>
          <w:tblW w:w="0" w:type="auto"/>
          <w:tblLayout w:type="fixed"/>
          <w:tblLook w:val="04A0"/>
        </w:tblPrEx>
        <w:trPr>
          <w:trHeight w:val="360"/>
        </w:trPr>
        <w:tc>
          <w:tcPr>
            <w:tcW w:w="6115" w:type="dxa"/>
          </w:tcPr>
          <w:p w:rsidR="00164BE4" w:rsidRPr="00A45AC6" w:rsidP="00A10305" w14:paraId="57FF8B3F" w14:textId="77777777">
            <w:pPr>
              <w:jc w:val="center"/>
              <w:rPr>
                <w:color w:val="000000"/>
                <w:szCs w:val="22"/>
              </w:rPr>
            </w:pPr>
            <w:r>
              <w:t>Project Vida Health Center</w:t>
            </w:r>
          </w:p>
        </w:tc>
        <w:tc>
          <w:tcPr>
            <w:tcW w:w="3235" w:type="dxa"/>
            <w:noWrap/>
          </w:tcPr>
          <w:p w:rsidR="00164BE4" w:rsidRPr="00A45AC6" w:rsidP="00A10305" w14:paraId="018DE514" w14:textId="77777777">
            <w:pPr>
              <w:jc w:val="center"/>
              <w:rPr>
                <w:color w:val="000000"/>
                <w:szCs w:val="22"/>
              </w:rPr>
            </w:pPr>
            <w:r>
              <w:t>$</w:t>
            </w:r>
            <w:r w:rsidRPr="00C83B24">
              <w:t>384,159</w:t>
            </w:r>
          </w:p>
        </w:tc>
      </w:tr>
      <w:tr w14:paraId="6A8AB372" w14:textId="77777777" w:rsidTr="00A10305">
        <w:tblPrEx>
          <w:tblW w:w="0" w:type="auto"/>
          <w:tblLayout w:type="fixed"/>
          <w:tblLook w:val="04A0"/>
        </w:tblPrEx>
        <w:trPr>
          <w:trHeight w:val="360"/>
        </w:trPr>
        <w:tc>
          <w:tcPr>
            <w:tcW w:w="6115" w:type="dxa"/>
          </w:tcPr>
          <w:p w:rsidR="00164BE4" w:rsidRPr="00A45AC6" w:rsidP="00A10305" w14:paraId="1A413C02" w14:textId="77777777">
            <w:pPr>
              <w:jc w:val="center"/>
              <w:rPr>
                <w:color w:val="000000"/>
                <w:szCs w:val="22"/>
              </w:rPr>
            </w:pPr>
            <w:r w:rsidRPr="000935C8">
              <w:t>Red Lake Hospital</w:t>
            </w:r>
          </w:p>
        </w:tc>
        <w:tc>
          <w:tcPr>
            <w:tcW w:w="3235" w:type="dxa"/>
            <w:noWrap/>
          </w:tcPr>
          <w:p w:rsidR="00164BE4" w:rsidRPr="00A45AC6" w:rsidP="00A10305" w14:paraId="53A7E1B5" w14:textId="77777777">
            <w:pPr>
              <w:jc w:val="center"/>
              <w:rPr>
                <w:color w:val="000000"/>
                <w:szCs w:val="22"/>
              </w:rPr>
            </w:pPr>
            <w:r>
              <w:t>$</w:t>
            </w:r>
            <w:r w:rsidRPr="00C83B24">
              <w:t>291,148</w:t>
            </w:r>
          </w:p>
        </w:tc>
      </w:tr>
      <w:tr w14:paraId="5E4C640D" w14:textId="77777777" w:rsidTr="00A10305">
        <w:tblPrEx>
          <w:tblW w:w="0" w:type="auto"/>
          <w:tblLayout w:type="fixed"/>
          <w:tblLook w:val="04A0"/>
        </w:tblPrEx>
        <w:trPr>
          <w:trHeight w:val="360"/>
        </w:trPr>
        <w:tc>
          <w:tcPr>
            <w:tcW w:w="6115" w:type="dxa"/>
          </w:tcPr>
          <w:p w:rsidR="00164BE4" w:rsidRPr="00A45AC6" w:rsidP="00A10305" w14:paraId="6612FC52" w14:textId="77777777">
            <w:pPr>
              <w:jc w:val="center"/>
              <w:rPr>
                <w:color w:val="000000"/>
                <w:szCs w:val="22"/>
              </w:rPr>
            </w:pPr>
            <w:r w:rsidRPr="000935C8">
              <w:t>Scheurer</w:t>
            </w:r>
            <w:r w:rsidRPr="000935C8">
              <w:t xml:space="preserve"> Hospital</w:t>
            </w:r>
          </w:p>
        </w:tc>
        <w:tc>
          <w:tcPr>
            <w:tcW w:w="3235" w:type="dxa"/>
            <w:noWrap/>
          </w:tcPr>
          <w:p w:rsidR="00164BE4" w:rsidRPr="00A45AC6" w:rsidP="00A10305" w14:paraId="0166C2D0" w14:textId="77777777">
            <w:pPr>
              <w:jc w:val="center"/>
              <w:rPr>
                <w:color w:val="000000"/>
                <w:szCs w:val="22"/>
              </w:rPr>
            </w:pPr>
            <w:r>
              <w:t>$</w:t>
            </w:r>
            <w:r w:rsidRPr="00C83B24">
              <w:t>161,488</w:t>
            </w:r>
          </w:p>
        </w:tc>
      </w:tr>
      <w:tr w14:paraId="1502A2D1" w14:textId="77777777" w:rsidTr="00A10305">
        <w:tblPrEx>
          <w:tblW w:w="0" w:type="auto"/>
          <w:tblLayout w:type="fixed"/>
          <w:tblLook w:val="04A0"/>
        </w:tblPrEx>
        <w:trPr>
          <w:trHeight w:val="360"/>
        </w:trPr>
        <w:tc>
          <w:tcPr>
            <w:tcW w:w="6115" w:type="dxa"/>
          </w:tcPr>
          <w:p w:rsidR="00164BE4" w:rsidRPr="00A45AC6" w:rsidP="00A10305" w14:paraId="33A7334C" w14:textId="77777777">
            <w:pPr>
              <w:jc w:val="center"/>
              <w:rPr>
                <w:color w:val="000000"/>
                <w:szCs w:val="22"/>
              </w:rPr>
            </w:pPr>
            <w:r w:rsidRPr="000935C8">
              <w:t>Shawnee Christian Healthcare Center</w:t>
            </w:r>
          </w:p>
        </w:tc>
        <w:tc>
          <w:tcPr>
            <w:tcW w:w="3235" w:type="dxa"/>
            <w:noWrap/>
          </w:tcPr>
          <w:p w:rsidR="00164BE4" w:rsidRPr="00A45AC6" w:rsidP="00A10305" w14:paraId="3067B11E" w14:textId="77777777">
            <w:pPr>
              <w:jc w:val="center"/>
              <w:rPr>
                <w:color w:val="000000"/>
                <w:szCs w:val="22"/>
              </w:rPr>
            </w:pPr>
            <w:r>
              <w:t>$</w:t>
            </w:r>
            <w:r w:rsidRPr="00C83B24">
              <w:t>320,808</w:t>
            </w:r>
          </w:p>
        </w:tc>
      </w:tr>
      <w:tr w14:paraId="46DCE862" w14:textId="77777777" w:rsidTr="00A10305">
        <w:tblPrEx>
          <w:tblW w:w="0" w:type="auto"/>
          <w:tblLayout w:type="fixed"/>
          <w:tblLook w:val="04A0"/>
        </w:tblPrEx>
        <w:trPr>
          <w:trHeight w:val="360"/>
        </w:trPr>
        <w:tc>
          <w:tcPr>
            <w:tcW w:w="6115" w:type="dxa"/>
          </w:tcPr>
          <w:p w:rsidR="00164BE4" w:rsidRPr="00A45AC6" w:rsidP="00A10305" w14:paraId="212CFA61" w14:textId="77777777">
            <w:pPr>
              <w:jc w:val="center"/>
              <w:rPr>
                <w:color w:val="000000"/>
              </w:rPr>
            </w:pPr>
            <w:r w:rsidRPr="003A47E3">
              <w:t>Sisters of Charity</w:t>
            </w:r>
          </w:p>
        </w:tc>
        <w:tc>
          <w:tcPr>
            <w:tcW w:w="3235" w:type="dxa"/>
            <w:noWrap/>
          </w:tcPr>
          <w:p w:rsidR="00164BE4" w:rsidRPr="00A45AC6" w:rsidP="00A10305" w14:paraId="558E1588" w14:textId="77777777">
            <w:pPr>
              <w:jc w:val="center"/>
              <w:rPr>
                <w:color w:val="000000"/>
                <w:szCs w:val="22"/>
              </w:rPr>
            </w:pPr>
            <w:r>
              <w:t>$</w:t>
            </w:r>
            <w:r w:rsidRPr="00C83B24">
              <w:t>955,102</w:t>
            </w:r>
          </w:p>
        </w:tc>
      </w:tr>
      <w:tr w14:paraId="56C681AD" w14:textId="77777777" w:rsidTr="00A10305">
        <w:tblPrEx>
          <w:tblW w:w="0" w:type="auto"/>
          <w:tblLayout w:type="fixed"/>
          <w:tblLook w:val="04A0"/>
        </w:tblPrEx>
        <w:trPr>
          <w:trHeight w:val="360"/>
        </w:trPr>
        <w:tc>
          <w:tcPr>
            <w:tcW w:w="6115" w:type="dxa"/>
          </w:tcPr>
          <w:p w:rsidR="00164BE4" w:rsidRPr="00A45AC6" w:rsidP="00A10305" w14:paraId="23CBD99C" w14:textId="77777777">
            <w:pPr>
              <w:jc w:val="center"/>
              <w:rPr>
                <w:color w:val="000000"/>
                <w:szCs w:val="22"/>
              </w:rPr>
            </w:pPr>
            <w:r w:rsidRPr="000935C8">
              <w:t>Southern Illinois University School of Medicine</w:t>
            </w:r>
          </w:p>
        </w:tc>
        <w:tc>
          <w:tcPr>
            <w:tcW w:w="3235" w:type="dxa"/>
            <w:noWrap/>
          </w:tcPr>
          <w:p w:rsidR="00164BE4" w:rsidRPr="00A45AC6" w:rsidP="00A10305" w14:paraId="5E67FFA0" w14:textId="77777777">
            <w:pPr>
              <w:jc w:val="center"/>
              <w:rPr>
                <w:color w:val="000000"/>
                <w:szCs w:val="22"/>
              </w:rPr>
            </w:pPr>
            <w:r>
              <w:t>$</w:t>
            </w:r>
            <w:r w:rsidRPr="00C83B24">
              <w:t>967,430</w:t>
            </w:r>
          </w:p>
        </w:tc>
      </w:tr>
      <w:tr w14:paraId="0E34536C" w14:textId="77777777" w:rsidTr="00A10305">
        <w:tblPrEx>
          <w:tblW w:w="0" w:type="auto"/>
          <w:tblLayout w:type="fixed"/>
          <w:tblLook w:val="04A0"/>
        </w:tblPrEx>
        <w:trPr>
          <w:trHeight w:val="360"/>
        </w:trPr>
        <w:tc>
          <w:tcPr>
            <w:tcW w:w="6115" w:type="dxa"/>
          </w:tcPr>
          <w:p w:rsidR="00164BE4" w:rsidRPr="00A45AC6" w:rsidP="00A10305" w14:paraId="1869C0E9" w14:textId="77777777">
            <w:pPr>
              <w:jc w:val="center"/>
              <w:rPr>
                <w:color w:val="000000"/>
                <w:szCs w:val="22"/>
              </w:rPr>
            </w:pPr>
            <w:r w:rsidRPr="000935C8">
              <w:t>St. Croix Regional Medical Center</w:t>
            </w:r>
          </w:p>
        </w:tc>
        <w:tc>
          <w:tcPr>
            <w:tcW w:w="3235" w:type="dxa"/>
            <w:noWrap/>
          </w:tcPr>
          <w:p w:rsidR="00164BE4" w:rsidRPr="00A45AC6" w:rsidP="00A10305" w14:paraId="2C1A762C" w14:textId="77777777">
            <w:pPr>
              <w:jc w:val="center"/>
              <w:rPr>
                <w:color w:val="000000"/>
                <w:szCs w:val="22"/>
              </w:rPr>
            </w:pPr>
            <w:r>
              <w:t>$</w:t>
            </w:r>
            <w:r w:rsidRPr="00C83B24">
              <w:t>437,475</w:t>
            </w:r>
          </w:p>
        </w:tc>
      </w:tr>
      <w:tr w14:paraId="48C7AC74" w14:textId="77777777" w:rsidTr="00A10305">
        <w:tblPrEx>
          <w:tblW w:w="0" w:type="auto"/>
          <w:tblLayout w:type="fixed"/>
          <w:tblLook w:val="04A0"/>
        </w:tblPrEx>
        <w:trPr>
          <w:trHeight w:val="360"/>
        </w:trPr>
        <w:tc>
          <w:tcPr>
            <w:tcW w:w="6115" w:type="dxa"/>
          </w:tcPr>
          <w:p w:rsidR="00164BE4" w:rsidRPr="00A45AC6" w:rsidP="00A10305" w14:paraId="08711D1F" w14:textId="77777777">
            <w:pPr>
              <w:jc w:val="center"/>
              <w:rPr>
                <w:color w:val="000000"/>
                <w:szCs w:val="22"/>
              </w:rPr>
            </w:pPr>
            <w:r w:rsidRPr="000935C8">
              <w:t>St. Joseph Mercy Oakland</w:t>
            </w:r>
          </w:p>
        </w:tc>
        <w:tc>
          <w:tcPr>
            <w:tcW w:w="3235" w:type="dxa"/>
            <w:noWrap/>
          </w:tcPr>
          <w:p w:rsidR="00164BE4" w:rsidRPr="00A45AC6" w:rsidP="00A10305" w14:paraId="7676DB4A" w14:textId="77777777">
            <w:pPr>
              <w:jc w:val="center"/>
              <w:rPr>
                <w:color w:val="000000"/>
                <w:szCs w:val="22"/>
              </w:rPr>
            </w:pPr>
            <w:r>
              <w:t>$</w:t>
            </w:r>
            <w:r w:rsidRPr="00C83B24">
              <w:t>306,927</w:t>
            </w:r>
          </w:p>
        </w:tc>
      </w:tr>
      <w:tr w14:paraId="404D4B44" w14:textId="77777777" w:rsidTr="00A10305">
        <w:tblPrEx>
          <w:tblW w:w="0" w:type="auto"/>
          <w:tblLayout w:type="fixed"/>
          <w:tblLook w:val="04A0"/>
        </w:tblPrEx>
        <w:trPr>
          <w:trHeight w:val="360"/>
        </w:trPr>
        <w:tc>
          <w:tcPr>
            <w:tcW w:w="6115" w:type="dxa"/>
          </w:tcPr>
          <w:p w:rsidR="00164BE4" w:rsidRPr="00A45AC6" w:rsidP="00A10305" w14:paraId="2F2FC0AC" w14:textId="77777777">
            <w:pPr>
              <w:jc w:val="center"/>
              <w:rPr>
                <w:color w:val="000000"/>
              </w:rPr>
            </w:pPr>
            <w:r>
              <w:t>Sunset Park Health Center at NYU Langone</w:t>
            </w:r>
          </w:p>
        </w:tc>
        <w:tc>
          <w:tcPr>
            <w:tcW w:w="3235" w:type="dxa"/>
            <w:noWrap/>
          </w:tcPr>
          <w:p w:rsidR="00164BE4" w:rsidRPr="00A45AC6" w:rsidP="00A10305" w14:paraId="55FF5ADA" w14:textId="77777777">
            <w:pPr>
              <w:jc w:val="center"/>
              <w:rPr>
                <w:color w:val="000000"/>
                <w:szCs w:val="22"/>
              </w:rPr>
            </w:pPr>
            <w:r>
              <w:t>$</w:t>
            </w:r>
            <w:r w:rsidRPr="00C83B24">
              <w:t>1,000,000</w:t>
            </w:r>
          </w:p>
        </w:tc>
      </w:tr>
      <w:tr w14:paraId="2D95ED99" w14:textId="77777777" w:rsidTr="00A10305">
        <w:tblPrEx>
          <w:tblW w:w="0" w:type="auto"/>
          <w:tblLayout w:type="fixed"/>
          <w:tblLook w:val="04A0"/>
        </w:tblPrEx>
        <w:trPr>
          <w:trHeight w:val="360"/>
        </w:trPr>
        <w:tc>
          <w:tcPr>
            <w:tcW w:w="6115" w:type="dxa"/>
          </w:tcPr>
          <w:p w:rsidR="00164BE4" w:rsidRPr="00A45AC6" w:rsidP="00A10305" w14:paraId="704D4305" w14:textId="77777777">
            <w:pPr>
              <w:jc w:val="center"/>
              <w:rPr>
                <w:color w:val="000000"/>
                <w:szCs w:val="22"/>
              </w:rPr>
            </w:pPr>
            <w:r w:rsidRPr="000935C8">
              <w:t>Tampa Family Health Centers</w:t>
            </w:r>
          </w:p>
        </w:tc>
        <w:tc>
          <w:tcPr>
            <w:tcW w:w="3235" w:type="dxa"/>
            <w:noWrap/>
          </w:tcPr>
          <w:p w:rsidR="00164BE4" w:rsidRPr="00A45AC6" w:rsidP="00A10305" w14:paraId="5F11166B" w14:textId="77777777">
            <w:pPr>
              <w:jc w:val="center"/>
              <w:rPr>
                <w:color w:val="000000"/>
                <w:szCs w:val="22"/>
              </w:rPr>
            </w:pPr>
            <w:r>
              <w:t>$</w:t>
            </w:r>
            <w:r w:rsidRPr="00C83B24">
              <w:t>657,250</w:t>
            </w:r>
          </w:p>
        </w:tc>
      </w:tr>
      <w:tr w14:paraId="46F0B21B" w14:textId="77777777" w:rsidTr="00A10305">
        <w:tblPrEx>
          <w:tblW w:w="0" w:type="auto"/>
          <w:tblLayout w:type="fixed"/>
          <w:tblLook w:val="04A0"/>
        </w:tblPrEx>
        <w:trPr>
          <w:trHeight w:val="360"/>
        </w:trPr>
        <w:tc>
          <w:tcPr>
            <w:tcW w:w="6115" w:type="dxa"/>
          </w:tcPr>
          <w:p w:rsidR="00164BE4" w:rsidRPr="00A45AC6" w:rsidP="00A10305" w14:paraId="6BC8E18B" w14:textId="7A203FAF">
            <w:pPr>
              <w:jc w:val="center"/>
              <w:rPr>
                <w:color w:val="000000"/>
              </w:rPr>
            </w:pPr>
            <w:r>
              <w:t>TCA Health</w:t>
            </w:r>
          </w:p>
        </w:tc>
        <w:tc>
          <w:tcPr>
            <w:tcW w:w="3235" w:type="dxa"/>
            <w:noWrap/>
          </w:tcPr>
          <w:p w:rsidR="00164BE4" w:rsidRPr="00A45AC6" w:rsidP="00A10305" w14:paraId="14817EF8" w14:textId="77777777">
            <w:pPr>
              <w:jc w:val="center"/>
              <w:rPr>
                <w:color w:val="000000"/>
                <w:szCs w:val="22"/>
              </w:rPr>
            </w:pPr>
            <w:r>
              <w:t>$</w:t>
            </w:r>
            <w:r w:rsidRPr="00C83B24">
              <w:t>99,574</w:t>
            </w:r>
          </w:p>
        </w:tc>
      </w:tr>
      <w:tr w14:paraId="61D544C9" w14:textId="77777777" w:rsidTr="00A10305">
        <w:tblPrEx>
          <w:tblW w:w="0" w:type="auto"/>
          <w:tblLayout w:type="fixed"/>
          <w:tblLook w:val="04A0"/>
        </w:tblPrEx>
        <w:trPr>
          <w:trHeight w:val="360"/>
        </w:trPr>
        <w:tc>
          <w:tcPr>
            <w:tcW w:w="6115" w:type="dxa"/>
          </w:tcPr>
          <w:p w:rsidR="00164BE4" w:rsidRPr="00A45AC6" w:rsidP="00A10305" w14:paraId="1AED90A0" w14:textId="77777777">
            <w:pPr>
              <w:jc w:val="center"/>
              <w:rPr>
                <w:color w:val="000000"/>
              </w:rPr>
            </w:pPr>
            <w:r>
              <w:t xml:space="preserve">University Medical Center Management Corporation </w:t>
            </w:r>
          </w:p>
        </w:tc>
        <w:tc>
          <w:tcPr>
            <w:tcW w:w="3235" w:type="dxa"/>
            <w:noWrap/>
          </w:tcPr>
          <w:p w:rsidR="00164BE4" w:rsidRPr="00A45AC6" w:rsidP="00A10305" w14:paraId="26D2034C" w14:textId="77777777">
            <w:pPr>
              <w:jc w:val="center"/>
              <w:rPr>
                <w:color w:val="000000"/>
                <w:szCs w:val="22"/>
              </w:rPr>
            </w:pPr>
            <w:r>
              <w:t>$</w:t>
            </w:r>
            <w:r w:rsidRPr="00C83B24">
              <w:t>996,376</w:t>
            </w:r>
          </w:p>
        </w:tc>
      </w:tr>
      <w:tr w14:paraId="36CD3F78" w14:textId="77777777" w:rsidTr="00A10305">
        <w:tblPrEx>
          <w:tblW w:w="0" w:type="auto"/>
          <w:tblLayout w:type="fixed"/>
          <w:tblLook w:val="04A0"/>
        </w:tblPrEx>
        <w:trPr>
          <w:trHeight w:val="360"/>
        </w:trPr>
        <w:tc>
          <w:tcPr>
            <w:tcW w:w="6115" w:type="dxa"/>
          </w:tcPr>
          <w:p w:rsidR="00164BE4" w:rsidRPr="00A45AC6" w:rsidP="00A10305" w14:paraId="4DBCCC7A" w14:textId="77777777">
            <w:pPr>
              <w:jc w:val="center"/>
              <w:rPr>
                <w:color w:val="000000"/>
                <w:szCs w:val="22"/>
              </w:rPr>
            </w:pPr>
            <w:r w:rsidRPr="000935C8">
              <w:t>Valle del Sol</w:t>
            </w:r>
          </w:p>
        </w:tc>
        <w:tc>
          <w:tcPr>
            <w:tcW w:w="3235" w:type="dxa"/>
            <w:noWrap/>
          </w:tcPr>
          <w:p w:rsidR="00164BE4" w:rsidRPr="00A45AC6" w:rsidP="00A10305" w14:paraId="5EFD4F04" w14:textId="77777777">
            <w:pPr>
              <w:jc w:val="center"/>
              <w:rPr>
                <w:color w:val="000000"/>
                <w:szCs w:val="22"/>
              </w:rPr>
            </w:pPr>
            <w:r>
              <w:t>$</w:t>
            </w:r>
            <w:r w:rsidRPr="00C83B24">
              <w:t>383,959</w:t>
            </w:r>
          </w:p>
        </w:tc>
      </w:tr>
      <w:tr w14:paraId="1613D746" w14:textId="77777777" w:rsidTr="00A10305">
        <w:tblPrEx>
          <w:tblW w:w="0" w:type="auto"/>
          <w:tblLayout w:type="fixed"/>
          <w:tblLook w:val="04A0"/>
        </w:tblPrEx>
        <w:trPr>
          <w:trHeight w:val="360"/>
        </w:trPr>
        <w:tc>
          <w:tcPr>
            <w:tcW w:w="6115" w:type="dxa"/>
          </w:tcPr>
          <w:p w:rsidR="00164BE4" w:rsidRPr="00A45AC6" w:rsidP="00A10305" w14:paraId="7B08B176" w14:textId="77777777">
            <w:pPr>
              <w:jc w:val="center"/>
              <w:rPr>
                <w:color w:val="000000"/>
                <w:szCs w:val="22"/>
              </w:rPr>
            </w:pPr>
            <w:r w:rsidRPr="000935C8">
              <w:t>Valley Health</w:t>
            </w:r>
          </w:p>
        </w:tc>
        <w:tc>
          <w:tcPr>
            <w:tcW w:w="3235" w:type="dxa"/>
            <w:noWrap/>
          </w:tcPr>
          <w:p w:rsidR="00164BE4" w:rsidRPr="00A45AC6" w:rsidP="00A10305" w14:paraId="178CF807" w14:textId="77777777">
            <w:pPr>
              <w:jc w:val="center"/>
              <w:rPr>
                <w:color w:val="000000"/>
                <w:szCs w:val="22"/>
              </w:rPr>
            </w:pPr>
            <w:r>
              <w:t>$</w:t>
            </w:r>
            <w:r w:rsidRPr="00C83B24">
              <w:t>1,000,000</w:t>
            </w:r>
          </w:p>
        </w:tc>
      </w:tr>
      <w:tr w14:paraId="6C7839AB" w14:textId="77777777" w:rsidTr="00A10305">
        <w:tblPrEx>
          <w:tblW w:w="0" w:type="auto"/>
          <w:tblLayout w:type="fixed"/>
          <w:tblLook w:val="04A0"/>
        </w:tblPrEx>
        <w:trPr>
          <w:trHeight w:val="360"/>
        </w:trPr>
        <w:tc>
          <w:tcPr>
            <w:tcW w:w="6115" w:type="dxa"/>
          </w:tcPr>
          <w:p w:rsidR="00164BE4" w:rsidRPr="00A45AC6" w:rsidP="00A10305" w14:paraId="12364AC9" w14:textId="77777777">
            <w:pPr>
              <w:jc w:val="center"/>
              <w:rPr>
                <w:color w:val="000000"/>
              </w:rPr>
            </w:pPr>
            <w:r>
              <w:t>The Visiting Nurse Association of Central Jersey Community Health Center</w:t>
            </w:r>
          </w:p>
        </w:tc>
        <w:tc>
          <w:tcPr>
            <w:tcW w:w="3235" w:type="dxa"/>
            <w:noWrap/>
          </w:tcPr>
          <w:p w:rsidR="00164BE4" w:rsidRPr="00A45AC6" w:rsidP="00A10305" w14:paraId="47DFB6E5" w14:textId="77777777">
            <w:pPr>
              <w:jc w:val="center"/>
              <w:rPr>
                <w:color w:val="000000"/>
                <w:szCs w:val="22"/>
              </w:rPr>
            </w:pPr>
            <w:r>
              <w:t>$</w:t>
            </w:r>
            <w:r w:rsidRPr="00C83B24">
              <w:t>204,808</w:t>
            </w:r>
          </w:p>
        </w:tc>
      </w:tr>
      <w:tr w14:paraId="5B138F0F" w14:textId="77777777" w:rsidTr="00A10305">
        <w:tblPrEx>
          <w:tblW w:w="0" w:type="auto"/>
          <w:tblLayout w:type="fixed"/>
          <w:tblLook w:val="04A0"/>
        </w:tblPrEx>
        <w:trPr>
          <w:trHeight w:val="360"/>
        </w:trPr>
        <w:tc>
          <w:tcPr>
            <w:tcW w:w="6115" w:type="dxa"/>
          </w:tcPr>
          <w:p w:rsidR="00164BE4" w:rsidRPr="00A45AC6" w:rsidP="00A10305" w14:paraId="5B494417" w14:textId="77777777">
            <w:pPr>
              <w:jc w:val="center"/>
              <w:rPr>
                <w:color w:val="000000"/>
                <w:szCs w:val="22"/>
              </w:rPr>
            </w:pPr>
            <w:r w:rsidRPr="000935C8">
              <w:t>Washington University School of Medicine</w:t>
            </w:r>
          </w:p>
        </w:tc>
        <w:tc>
          <w:tcPr>
            <w:tcW w:w="3235" w:type="dxa"/>
            <w:noWrap/>
          </w:tcPr>
          <w:p w:rsidR="00164BE4" w:rsidRPr="00A45AC6" w:rsidP="00A10305" w14:paraId="24C600A5" w14:textId="77777777">
            <w:pPr>
              <w:jc w:val="center"/>
              <w:rPr>
                <w:color w:val="000000"/>
                <w:szCs w:val="22"/>
              </w:rPr>
            </w:pPr>
            <w:r>
              <w:t>$</w:t>
            </w:r>
            <w:r w:rsidRPr="00C83B24">
              <w:t>737,109</w:t>
            </w:r>
          </w:p>
        </w:tc>
      </w:tr>
      <w:tr w14:paraId="4713A1BB" w14:textId="77777777" w:rsidTr="00A10305">
        <w:tblPrEx>
          <w:tblW w:w="0" w:type="auto"/>
          <w:tblLayout w:type="fixed"/>
          <w:tblLook w:val="04A0"/>
        </w:tblPrEx>
        <w:trPr>
          <w:trHeight w:val="360"/>
        </w:trPr>
        <w:tc>
          <w:tcPr>
            <w:tcW w:w="6115" w:type="dxa"/>
          </w:tcPr>
          <w:p w:rsidR="00164BE4" w:rsidRPr="00A45AC6" w:rsidP="00A10305" w14:paraId="1864197A" w14:textId="77777777">
            <w:pPr>
              <w:jc w:val="center"/>
              <w:rPr>
                <w:color w:val="000000"/>
                <w:szCs w:val="22"/>
              </w:rPr>
            </w:pPr>
            <w:r w:rsidRPr="000935C8">
              <w:t>The Wright Center Medical Group</w:t>
            </w:r>
          </w:p>
        </w:tc>
        <w:tc>
          <w:tcPr>
            <w:tcW w:w="3235" w:type="dxa"/>
            <w:noWrap/>
          </w:tcPr>
          <w:p w:rsidR="00164BE4" w:rsidRPr="00A45AC6" w:rsidP="00A10305" w14:paraId="53322DCB" w14:textId="77777777">
            <w:pPr>
              <w:jc w:val="center"/>
              <w:rPr>
                <w:color w:val="000000"/>
                <w:szCs w:val="22"/>
              </w:rPr>
            </w:pPr>
            <w:r>
              <w:t>$</w:t>
            </w:r>
            <w:r w:rsidRPr="00C83B24">
              <w:t>491,814</w:t>
            </w:r>
          </w:p>
        </w:tc>
      </w:tr>
      <w:tr w14:paraId="559BAD0C" w14:textId="77777777" w:rsidTr="00A10305">
        <w:tblPrEx>
          <w:tblW w:w="0" w:type="auto"/>
          <w:tblLayout w:type="fixed"/>
          <w:tblLook w:val="04A0"/>
        </w:tblPrEx>
        <w:trPr>
          <w:trHeight w:val="360"/>
        </w:trPr>
        <w:tc>
          <w:tcPr>
            <w:tcW w:w="6115" w:type="dxa"/>
          </w:tcPr>
          <w:p w:rsidR="00164BE4" w:rsidRPr="00A45AC6" w:rsidP="00A10305" w14:paraId="57306CBB" w14:textId="77777777">
            <w:pPr>
              <w:jc w:val="center"/>
              <w:rPr>
                <w:color w:val="000000"/>
                <w:szCs w:val="22"/>
              </w:rPr>
            </w:pPr>
            <w:r w:rsidRPr="000935C8">
              <w:t xml:space="preserve">Yakutat Community Health Center </w:t>
            </w:r>
          </w:p>
        </w:tc>
        <w:tc>
          <w:tcPr>
            <w:tcW w:w="3235" w:type="dxa"/>
            <w:noWrap/>
          </w:tcPr>
          <w:p w:rsidR="00164BE4" w:rsidRPr="00A45AC6" w:rsidP="00A10305" w14:paraId="77C82E0D" w14:textId="77777777">
            <w:pPr>
              <w:jc w:val="center"/>
              <w:rPr>
                <w:color w:val="000000"/>
                <w:szCs w:val="22"/>
              </w:rPr>
            </w:pPr>
            <w:r>
              <w:t>$</w:t>
            </w:r>
            <w:r w:rsidRPr="00C83B24">
              <w:t>454,343</w:t>
            </w:r>
          </w:p>
        </w:tc>
      </w:tr>
      <w:tr w14:paraId="0779BF2B" w14:textId="77777777" w:rsidTr="00A10305">
        <w:tblPrEx>
          <w:tblW w:w="0" w:type="auto"/>
          <w:tblLayout w:type="fixed"/>
          <w:tblLook w:val="04A0"/>
        </w:tblPrEx>
        <w:trPr>
          <w:trHeight w:val="360"/>
        </w:trPr>
        <w:tc>
          <w:tcPr>
            <w:tcW w:w="6115" w:type="dxa"/>
          </w:tcPr>
          <w:p w:rsidR="00164BE4" w:rsidRPr="00A45AC6" w:rsidP="00A10305" w14:paraId="504A76CE" w14:textId="77777777">
            <w:pPr>
              <w:jc w:val="center"/>
              <w:rPr>
                <w:color w:val="000000"/>
              </w:rPr>
            </w:pPr>
            <w:r>
              <w:t>York County Community Action</w:t>
            </w:r>
          </w:p>
        </w:tc>
        <w:tc>
          <w:tcPr>
            <w:tcW w:w="3235" w:type="dxa"/>
            <w:noWrap/>
          </w:tcPr>
          <w:p w:rsidR="00164BE4" w:rsidRPr="00A45AC6" w:rsidP="00A10305" w14:paraId="53BCA7AF" w14:textId="77777777">
            <w:pPr>
              <w:jc w:val="center"/>
              <w:rPr>
                <w:color w:val="000000"/>
                <w:szCs w:val="22"/>
              </w:rPr>
            </w:pPr>
            <w:r>
              <w:t>$</w:t>
            </w:r>
            <w:r w:rsidRPr="00C83B24">
              <w:t>346,506</w:t>
            </w:r>
          </w:p>
        </w:tc>
      </w:tr>
      <w:tr w14:paraId="22A9E5B3" w14:textId="77777777" w:rsidTr="00A10305">
        <w:tblPrEx>
          <w:tblW w:w="0" w:type="auto"/>
          <w:tblLayout w:type="fixed"/>
          <w:tblLook w:val="04A0"/>
        </w:tblPrEx>
        <w:trPr>
          <w:trHeight w:val="360"/>
        </w:trPr>
        <w:tc>
          <w:tcPr>
            <w:tcW w:w="6115" w:type="dxa"/>
          </w:tcPr>
          <w:p w:rsidR="00164BE4" w:rsidRPr="000935C8" w:rsidP="00A10305" w14:paraId="64A778E2" w14:textId="77777777">
            <w:pPr>
              <w:jc w:val="center"/>
            </w:pPr>
            <w:r>
              <w:t>Yukon-Kuskokwim Health Corporation</w:t>
            </w:r>
          </w:p>
        </w:tc>
        <w:tc>
          <w:tcPr>
            <w:tcW w:w="3235" w:type="dxa"/>
            <w:noWrap/>
          </w:tcPr>
          <w:p w:rsidR="00164BE4" w:rsidRPr="00C83B24" w:rsidP="00A10305" w14:paraId="07D57303" w14:textId="77777777">
            <w:pPr>
              <w:jc w:val="center"/>
            </w:pPr>
            <w:r>
              <w:t>$</w:t>
            </w:r>
            <w:r w:rsidRPr="00C83B24">
              <w:t>520,597</w:t>
            </w:r>
          </w:p>
        </w:tc>
      </w:tr>
      <w:tr w14:paraId="054E4225" w14:textId="77777777" w:rsidTr="00A10305">
        <w:tblPrEx>
          <w:tblW w:w="0" w:type="auto"/>
          <w:tblLayout w:type="fixed"/>
          <w:tblLook w:val="04A0"/>
        </w:tblPrEx>
        <w:trPr>
          <w:trHeight w:val="360"/>
        </w:trPr>
        <w:tc>
          <w:tcPr>
            <w:tcW w:w="6115" w:type="dxa"/>
          </w:tcPr>
          <w:p w:rsidR="00164BE4" w:rsidRPr="000935C8" w:rsidP="00A10305" w14:paraId="6ADDD2ED" w14:textId="77777777">
            <w:pPr>
              <w:jc w:val="center"/>
            </w:pPr>
            <w:r w:rsidRPr="000935C8">
              <w:t>Zufall</w:t>
            </w:r>
            <w:r w:rsidRPr="000935C8">
              <w:t xml:space="preserve"> Health Center</w:t>
            </w:r>
          </w:p>
        </w:tc>
        <w:tc>
          <w:tcPr>
            <w:tcW w:w="3235" w:type="dxa"/>
            <w:noWrap/>
          </w:tcPr>
          <w:p w:rsidR="00164BE4" w:rsidRPr="00C83B24" w:rsidP="00A10305" w14:paraId="5AF1B233" w14:textId="77777777">
            <w:pPr>
              <w:jc w:val="center"/>
            </w:pPr>
            <w:r>
              <w:t>$</w:t>
            </w:r>
            <w:r w:rsidRPr="00C83B24">
              <w:t>707,508</w:t>
            </w:r>
          </w:p>
        </w:tc>
      </w:tr>
    </w:tbl>
    <w:p w:rsidR="00F648C8" w:rsidP="0072090C" w14:paraId="15EDDBE0" w14:textId="3425272E">
      <w:pPr>
        <w:rPr>
          <w:b/>
          <w:sz w:val="24"/>
        </w:rPr>
      </w:pPr>
    </w:p>
    <w:p w:rsidR="00F648C8" w14:paraId="321BC31B" w14:textId="7DE7660A">
      <w:pPr>
        <w:widowControl/>
        <w:rPr>
          <w:b/>
          <w:sz w:val="24"/>
        </w:rPr>
      </w:pPr>
      <w:r>
        <w:rPr>
          <w:b/>
          <w:sz w:val="24"/>
        </w:rPr>
        <w:br w:type="page"/>
      </w:r>
    </w:p>
    <w:p w:rsidR="0072090C" w:rsidP="00F648C8" w14:paraId="0FBF2CC4" w14:textId="1D4C3757">
      <w:pPr>
        <w:jc w:val="center"/>
        <w:rPr>
          <w:b/>
          <w:sz w:val="24"/>
        </w:rPr>
      </w:pPr>
      <w:r w:rsidRPr="00AD717E">
        <w:rPr>
          <w:b/>
          <w:sz w:val="24"/>
        </w:rPr>
        <w:t>APPENDIX  B</w:t>
      </w:r>
    </w:p>
    <w:p w:rsidR="003D0554" w:rsidP="00F648C8" w14:paraId="0FF3C100" w14:textId="77777777">
      <w:pPr>
        <w:jc w:val="center"/>
        <w:rPr>
          <w:b/>
          <w:sz w:val="24"/>
        </w:rPr>
      </w:pPr>
    </w:p>
    <w:p w:rsidR="00FA713D" w:rsidP="00FA713D" w14:paraId="1CB20361" w14:textId="3001A461">
      <w:pPr>
        <w:jc w:val="center"/>
        <w:rPr>
          <w:b/>
          <w:bCs/>
          <w:u w:val="single"/>
        </w:rPr>
      </w:pPr>
      <w:r>
        <w:rPr>
          <w:b/>
          <w:bCs/>
          <w:u w:val="single"/>
        </w:rPr>
        <w:t xml:space="preserve">COVID-19 TELEHEALTH PROGRAM ROUND 2 </w:t>
      </w:r>
      <w:r>
        <w:rPr>
          <w:b/>
          <w:bCs/>
          <w:u w:val="single"/>
        </w:rPr>
        <w:t>–</w:t>
      </w:r>
      <w:r>
        <w:rPr>
          <w:b/>
          <w:bCs/>
          <w:u w:val="single"/>
        </w:rPr>
        <w:t xml:space="preserve"> </w:t>
      </w:r>
    </w:p>
    <w:p w:rsidR="00CB1F16" w:rsidP="00FA713D" w14:paraId="74CB0671" w14:textId="602C4077">
      <w:pPr>
        <w:jc w:val="center"/>
        <w:rPr>
          <w:b/>
          <w:bCs/>
          <w:u w:val="single"/>
        </w:rPr>
      </w:pPr>
      <w:r>
        <w:rPr>
          <w:b/>
          <w:bCs/>
          <w:u w:val="single"/>
        </w:rPr>
        <w:t>INSTRUCTIONS FOR SUPPLEMENTING APPLICATIONS</w:t>
      </w:r>
    </w:p>
    <w:p w:rsidR="00BB2C68" w:rsidRPr="00A10305" w:rsidP="00AD717E" w14:paraId="0E4334F2" w14:textId="77777777">
      <w:pPr>
        <w:ind w:left="720"/>
        <w:jc w:val="center"/>
        <w:rPr>
          <w:b/>
          <w:bCs/>
          <w:u w:val="single"/>
        </w:rPr>
      </w:pPr>
    </w:p>
    <w:p w:rsidR="00CB1F16" w:rsidRPr="00AD717E" w:rsidP="00CB1F16" w14:paraId="2BC30966" w14:textId="77777777">
      <w:pPr>
        <w:pStyle w:val="ListParagraph"/>
        <w:numPr>
          <w:ilvl w:val="0"/>
          <w:numId w:val="7"/>
        </w:numPr>
        <w:rPr>
          <w:rFonts w:ascii="Times New Roman" w:hAnsi="Times New Roman" w:cs="Times New Roman"/>
        </w:rPr>
      </w:pPr>
      <w:r w:rsidRPr="00AD717E">
        <w:rPr>
          <w:rFonts w:ascii="Times New Roman" w:hAnsi="Times New Roman" w:cs="Times New Roman"/>
        </w:rPr>
        <w:t xml:space="preserve">Program applicants are </w:t>
      </w:r>
      <w:r w:rsidRPr="00AD717E">
        <w:rPr>
          <w:rFonts w:ascii="Times New Roman" w:hAnsi="Times New Roman" w:cs="Times New Roman"/>
          <w:b/>
          <w:bCs/>
        </w:rPr>
        <w:t xml:space="preserve">not </w:t>
      </w:r>
      <w:r w:rsidRPr="00AD717E">
        <w:rPr>
          <w:rFonts w:ascii="Times New Roman" w:hAnsi="Times New Roman" w:cs="Times New Roman"/>
        </w:rPr>
        <w:t>required to supplement their applications; applications will not lose any points even if they are not supplemented. All remaining applications, regardless of whether they include supplemental information, will be considered for awards from the outstanding funding.</w:t>
      </w:r>
    </w:p>
    <w:p w:rsidR="00CB1F16" w:rsidRPr="00AD717E" w:rsidP="00CB1F16" w14:paraId="744C5AB4" w14:textId="77777777">
      <w:pPr>
        <w:pStyle w:val="ListParagraph"/>
        <w:numPr>
          <w:ilvl w:val="0"/>
          <w:numId w:val="7"/>
        </w:numPr>
        <w:rPr>
          <w:rFonts w:ascii="Times New Roman" w:hAnsi="Times New Roman" w:cs="Times New Roman"/>
        </w:rPr>
      </w:pPr>
      <w:r w:rsidRPr="00AD717E">
        <w:rPr>
          <w:rFonts w:ascii="Times New Roman" w:hAnsi="Times New Roman" w:cs="Times New Roman"/>
        </w:rPr>
        <w:t xml:space="preserve">Applications should </w:t>
      </w:r>
      <w:r w:rsidRPr="00AD717E">
        <w:rPr>
          <w:rFonts w:ascii="Times New Roman" w:hAnsi="Times New Roman" w:cs="Times New Roman"/>
          <w:b/>
          <w:bCs/>
        </w:rPr>
        <w:t>only</w:t>
      </w:r>
      <w:r w:rsidRPr="00AD717E">
        <w:rPr>
          <w:rFonts w:ascii="Times New Roman" w:hAnsi="Times New Roman" w:cs="Times New Roman"/>
        </w:rPr>
        <w:t xml:space="preserve"> be supplemented with information that was not included in the original application. Only the application evaluation metrics may be supplemented; changes to funding requests may not be made. A list of the application metrics, and the corresponding points for the metrics, can be found on page 18 of the Commission’s </w:t>
      </w:r>
      <w:hyperlink r:id="rId9" w:history="1">
        <w:r w:rsidRPr="00AD717E">
          <w:rPr>
            <w:rStyle w:val="Hyperlink"/>
            <w:rFonts w:ascii="Times New Roman" w:hAnsi="Times New Roman" w:cs="Times New Roman"/>
            <w:i/>
            <w:iCs/>
          </w:rPr>
          <w:t>Round 2 Report and Order</w:t>
        </w:r>
      </w:hyperlink>
      <w:r w:rsidRPr="00AD717E">
        <w:rPr>
          <w:rFonts w:ascii="Times New Roman" w:hAnsi="Times New Roman" w:cs="Times New Roman"/>
        </w:rPr>
        <w:t>.</w:t>
      </w:r>
    </w:p>
    <w:p w:rsidR="00CB1F16" w:rsidRPr="00AD717E" w:rsidP="00CB1F16" w14:paraId="3040A4A0" w14:textId="77777777">
      <w:pPr>
        <w:pStyle w:val="ListParagraph"/>
        <w:numPr>
          <w:ilvl w:val="0"/>
          <w:numId w:val="7"/>
        </w:numPr>
        <w:rPr>
          <w:rFonts w:ascii="Times New Roman" w:hAnsi="Times New Roman" w:cs="Times New Roman"/>
        </w:rPr>
      </w:pPr>
      <w:r w:rsidRPr="00AD717E">
        <w:rPr>
          <w:rFonts w:ascii="Times New Roman" w:hAnsi="Times New Roman" w:cs="Times New Roman"/>
        </w:rPr>
        <w:t>When deciding whether to supplement their applications, applicants should check to make sure that they did not omit any material information, e.g., location on Tribal land, from their original applications.</w:t>
      </w:r>
    </w:p>
    <w:p w:rsidR="00CB1F16" w:rsidRPr="00AD717E" w:rsidP="00CB1F16" w14:paraId="3AF86412" w14:textId="75A07D0A">
      <w:pPr>
        <w:pStyle w:val="ListParagraph"/>
        <w:numPr>
          <w:ilvl w:val="0"/>
          <w:numId w:val="7"/>
        </w:numPr>
        <w:rPr>
          <w:rFonts w:ascii="Times New Roman" w:hAnsi="Times New Roman" w:cs="Times New Roman"/>
        </w:rPr>
      </w:pPr>
      <w:r w:rsidRPr="00AD717E">
        <w:rPr>
          <w:rFonts w:ascii="Times New Roman" w:hAnsi="Times New Roman" w:cs="Times New Roman"/>
        </w:rPr>
        <w:t>Applicants may use the COVID-19 Hotspot data set from either May 6, 2021, or Friday, November 19, 2021 consistent with the Bureau’s Order</w:t>
      </w:r>
      <w:r w:rsidR="00FA713D">
        <w:rPr>
          <w:rFonts w:ascii="Times New Roman" w:hAnsi="Times New Roman" w:cs="Times New Roman"/>
        </w:rPr>
        <w:t>:</w:t>
      </w:r>
      <w:r w:rsidRPr="00AD717E">
        <w:rPr>
          <w:rFonts w:ascii="Times New Roman" w:hAnsi="Times New Roman" w:cs="Times New Roman"/>
        </w:rPr>
        <w:t xml:space="preserve"> </w:t>
      </w:r>
      <w:hyperlink r:id="rId10" w:history="1">
        <w:r w:rsidRPr="006C5840" w:rsidR="00D96942">
          <w:rPr>
            <w:rStyle w:val="Hyperlink"/>
            <w:rFonts w:ascii="Times New Roman" w:hAnsi="Times New Roman" w:cs="Times New Roman"/>
          </w:rPr>
          <w:t>https://www.fcc.gov/edocs/search-results?t=advanced&amp;daNo=21-1404</w:t>
        </w:r>
      </w:hyperlink>
      <w:r w:rsidR="00FA713D">
        <w:rPr>
          <w:rFonts w:ascii="Times New Roman" w:hAnsi="Times New Roman" w:cs="Times New Roman"/>
        </w:rPr>
        <w:t>.</w:t>
      </w:r>
    </w:p>
    <w:p w:rsidR="00CB1F16" w:rsidRPr="00AD717E" w:rsidP="00CB1F16" w14:paraId="6623C720" w14:textId="77777777">
      <w:pPr>
        <w:pStyle w:val="ListParagraph"/>
        <w:numPr>
          <w:ilvl w:val="0"/>
          <w:numId w:val="7"/>
        </w:numPr>
        <w:rPr>
          <w:rFonts w:ascii="Times New Roman" w:hAnsi="Times New Roman" w:cs="Times New Roman"/>
        </w:rPr>
      </w:pPr>
      <w:r w:rsidRPr="00AD717E">
        <w:rPr>
          <w:rFonts w:ascii="Times New Roman" w:hAnsi="Times New Roman" w:cs="Times New Roman"/>
        </w:rPr>
        <w:t xml:space="preserve">In order to supplement their applications, applicants should log in to their applications at </w:t>
      </w:r>
      <w:hyperlink r:id="rId11" w:history="1">
        <w:r w:rsidRPr="00AD717E">
          <w:rPr>
            <w:rStyle w:val="Hyperlink"/>
            <w:rFonts w:ascii="Times New Roman" w:hAnsi="Times New Roman" w:cs="Times New Roman"/>
          </w:rPr>
          <w:t>www.fcc.gov/covid19telehealth</w:t>
        </w:r>
      </w:hyperlink>
      <w:r w:rsidRPr="00AD717E">
        <w:rPr>
          <w:rFonts w:ascii="Times New Roman" w:hAnsi="Times New Roman" w:cs="Times New Roman"/>
        </w:rPr>
        <w:t xml:space="preserve"> between Tuesday, November 9 and Friday, November 19. During that period, when applicants log in to their application, they will have the opportunity to enter new information and attach relevant files. </w:t>
      </w:r>
      <w:r w:rsidRPr="00AD717E">
        <w:rPr>
          <w:rFonts w:ascii="Times New Roman" w:hAnsi="Times New Roman" w:cs="Times New Roman"/>
          <w:b/>
          <w:bCs/>
        </w:rPr>
        <w:t>The deadline to supplement applications is 5 PM ET on Friday, November 19</w:t>
      </w:r>
      <w:r w:rsidRPr="00AD717E">
        <w:rPr>
          <w:rFonts w:ascii="Times New Roman" w:hAnsi="Times New Roman" w:cs="Times New Roman"/>
        </w:rPr>
        <w:t xml:space="preserve">. Applicants may </w:t>
      </w:r>
      <w:r w:rsidRPr="00AD717E">
        <w:rPr>
          <w:rFonts w:ascii="Times New Roman" w:hAnsi="Times New Roman" w:cs="Times New Roman"/>
          <w:b/>
          <w:bCs/>
        </w:rPr>
        <w:t>only</w:t>
      </w:r>
      <w:r w:rsidRPr="00AD717E">
        <w:rPr>
          <w:rFonts w:ascii="Times New Roman" w:hAnsi="Times New Roman" w:cs="Times New Roman"/>
        </w:rPr>
        <w:t xml:space="preserve"> supplement their applications during that time.</w:t>
      </w:r>
    </w:p>
    <w:p w:rsidR="00CB1F16" w:rsidRPr="00AD717E" w14:paraId="1528A7B3" w14:textId="11F32847">
      <w:pPr>
        <w:pStyle w:val="ListParagraph"/>
        <w:numPr>
          <w:ilvl w:val="0"/>
          <w:numId w:val="7"/>
        </w:numPr>
        <w:rPr>
          <w:rFonts w:ascii="Times New Roman" w:hAnsi="Times New Roman" w:cs="Times New Roman"/>
          <w:b/>
          <w:bCs/>
          <w:sz w:val="21"/>
          <w:szCs w:val="21"/>
        </w:rPr>
      </w:pPr>
      <w:r w:rsidRPr="00AD717E">
        <w:rPr>
          <w:rFonts w:ascii="Times New Roman" w:hAnsi="Times New Roman" w:cs="Times New Roman"/>
        </w:rPr>
        <w:t xml:space="preserve">Applicants </w:t>
      </w:r>
      <w:r w:rsidRPr="00AD717E">
        <w:rPr>
          <w:rFonts w:ascii="Times New Roman" w:hAnsi="Times New Roman" w:cs="Times New Roman"/>
          <w:b/>
          <w:bCs/>
        </w:rPr>
        <w:t>may only submit supplemental information once, so they should make sure that they have included all relevant information before clicking “submit.”</w:t>
      </w:r>
      <w:r w:rsidR="00BB2C68">
        <w:rPr>
          <w:rFonts w:ascii="Times New Roman" w:hAnsi="Times New Roman" w:cs="Times New Roman"/>
          <w:b/>
          <w:bCs/>
          <w:sz w:val="21"/>
          <w:szCs w:val="21"/>
        </w:rPr>
        <w:br w:type="page"/>
      </w:r>
    </w:p>
    <w:p w:rsidR="00CB1F16" w:rsidRPr="00AD717E" w:rsidP="00CB1F16" w14:paraId="2754F0E2" w14:textId="77777777">
      <w:pPr>
        <w:pStyle w:val="ListParagraph"/>
        <w:numPr>
          <w:ilvl w:val="0"/>
          <w:numId w:val="7"/>
        </w:numPr>
        <w:rPr>
          <w:rFonts w:ascii="Times New Roman" w:hAnsi="Times New Roman" w:cs="Times New Roman"/>
        </w:rPr>
      </w:pPr>
      <w:r w:rsidRPr="00AD717E">
        <w:rPr>
          <w:rFonts w:ascii="Times New Roman" w:hAnsi="Times New Roman" w:cs="Times New Roman"/>
        </w:rPr>
        <w:t xml:space="preserve">In order to claim application evaluation points for a metric that they did not claim on their initial application, applicants must enter: </w:t>
      </w:r>
    </w:p>
    <w:p w:rsidR="00CB1F16" w:rsidRPr="00AD717E" w:rsidP="00CB1F16" w14:paraId="00A9D12B" w14:textId="77777777">
      <w:pPr>
        <w:pStyle w:val="ListParagraph"/>
        <w:numPr>
          <w:ilvl w:val="1"/>
          <w:numId w:val="7"/>
        </w:numPr>
        <w:rPr>
          <w:rFonts w:ascii="Times New Roman" w:hAnsi="Times New Roman" w:cs="Times New Roman"/>
        </w:rPr>
      </w:pPr>
      <w:r w:rsidRPr="00AD717E">
        <w:rPr>
          <w:rFonts w:ascii="Times New Roman" w:hAnsi="Times New Roman" w:cs="Times New Roman"/>
        </w:rPr>
        <w:t>The metric or metrics for which they wish to receive points, in the “</w:t>
      </w:r>
      <w:r w:rsidRPr="00AD717E">
        <w:rPr>
          <w:rFonts w:ascii="Times New Roman" w:hAnsi="Times New Roman" w:cs="Times New Roman"/>
          <w:b/>
          <w:bCs/>
        </w:rPr>
        <w:t>Applicant Response</w:t>
      </w:r>
      <w:r w:rsidRPr="00AD717E">
        <w:rPr>
          <w:rFonts w:ascii="Times New Roman" w:hAnsi="Times New Roman" w:cs="Times New Roman"/>
        </w:rPr>
        <w:t>” box. In the image below, the applicant is claiming additional points for being located (1) on Tribal land and (2) in a sustained hotspot, as indicated by the green arrows.</w:t>
      </w:r>
    </w:p>
    <w:p w:rsidR="00CB1F16" w:rsidRPr="00AD717E" w:rsidP="00CB1F16" w14:paraId="0DCA018B" w14:textId="77777777">
      <w:pPr>
        <w:pStyle w:val="ListParagraph"/>
        <w:numPr>
          <w:ilvl w:val="1"/>
          <w:numId w:val="7"/>
        </w:numPr>
        <w:rPr>
          <w:rFonts w:ascii="Times New Roman" w:hAnsi="Times New Roman" w:cs="Times New Roman"/>
        </w:rPr>
      </w:pPr>
      <w:r w:rsidRPr="00AD717E">
        <w:rPr>
          <w:rFonts w:ascii="Times New Roman" w:hAnsi="Times New Roman" w:cs="Times New Roman"/>
        </w:rPr>
        <w:t>The additional points the applicant is claiming, in the “</w:t>
      </w:r>
      <w:r w:rsidRPr="00AD717E">
        <w:rPr>
          <w:rFonts w:ascii="Times New Roman" w:hAnsi="Times New Roman" w:cs="Times New Roman"/>
          <w:b/>
          <w:bCs/>
        </w:rPr>
        <w:t>Adjustment Claim</w:t>
      </w:r>
      <w:r w:rsidRPr="00AD717E">
        <w:rPr>
          <w:rFonts w:ascii="Times New Roman" w:hAnsi="Times New Roman" w:cs="Times New Roman"/>
        </w:rPr>
        <w:t xml:space="preserve">” box. In the image below, the applicant is claiming 30 addition points, with 15 for being located on Tribal lands and 15 for being located in a sustained hotspot, as indicated by the red rectangle. </w:t>
      </w:r>
    </w:p>
    <w:p w:rsidR="00CB1F16" w:rsidRPr="00AD717E" w:rsidP="00CB1F16" w14:paraId="19A9D757" w14:textId="77777777">
      <w:pPr>
        <w:pStyle w:val="ListParagraph"/>
        <w:numPr>
          <w:ilvl w:val="1"/>
          <w:numId w:val="7"/>
        </w:numPr>
        <w:rPr>
          <w:rFonts w:ascii="Times New Roman" w:hAnsi="Times New Roman" w:cs="Times New Roman"/>
        </w:rPr>
      </w:pPr>
      <w:r w:rsidRPr="00AD717E">
        <w:rPr>
          <w:rFonts w:ascii="Times New Roman" w:hAnsi="Times New Roman" w:cs="Times New Roman"/>
        </w:rPr>
        <w:t>Any information necessary to verify the applicant’s claim in the “</w:t>
      </w:r>
      <w:r w:rsidRPr="00AD717E">
        <w:rPr>
          <w:rFonts w:ascii="Times New Roman" w:hAnsi="Times New Roman" w:cs="Times New Roman"/>
          <w:b/>
          <w:bCs/>
        </w:rPr>
        <w:t>Applicant Response</w:t>
      </w:r>
      <w:r w:rsidRPr="00AD717E">
        <w:rPr>
          <w:rFonts w:ascii="Times New Roman" w:hAnsi="Times New Roman" w:cs="Times New Roman"/>
        </w:rPr>
        <w:t>” box. In the image below, the applicant would submit, at a minimum, the names and addresses of the eligible HCPs which the applicant is using to claim the relevant metric points. Applicants may also submit attachments using the paperclip icon, as indicated by the blue circle. Applicants should include the name of the metric(s) requested in the title of any new supporting attachments and describe the purpose of the attachments in the “</w:t>
      </w:r>
      <w:r w:rsidRPr="00AD717E">
        <w:rPr>
          <w:rFonts w:ascii="Times New Roman" w:hAnsi="Times New Roman" w:cs="Times New Roman"/>
          <w:b/>
          <w:bCs/>
        </w:rPr>
        <w:t>Applicant Response</w:t>
      </w:r>
      <w:r w:rsidRPr="00AD717E">
        <w:rPr>
          <w:rFonts w:ascii="Times New Roman" w:hAnsi="Times New Roman" w:cs="Times New Roman"/>
        </w:rPr>
        <w:t xml:space="preserve">” box. </w:t>
      </w:r>
    </w:p>
    <w:p w:rsidR="00CB1F16" w:rsidRPr="00AD717E" w:rsidP="00CB1F16" w14:paraId="23B6D92B" w14:textId="77777777">
      <w:pPr>
        <w:pStyle w:val="ListParagraph"/>
        <w:numPr>
          <w:ilvl w:val="1"/>
          <w:numId w:val="7"/>
        </w:numPr>
        <w:rPr>
          <w:rFonts w:ascii="Times New Roman" w:hAnsi="Times New Roman" w:cs="Times New Roman"/>
        </w:rPr>
      </w:pPr>
      <w:r w:rsidRPr="00AD717E">
        <w:rPr>
          <w:rFonts w:ascii="Times New Roman" w:hAnsi="Times New Roman" w:cs="Times New Roman"/>
        </w:rPr>
        <w:t xml:space="preserve">Applicants can only submit information in these fields and through attachments. Applicants </w:t>
      </w:r>
      <w:r w:rsidRPr="00AD717E">
        <w:rPr>
          <w:rFonts w:ascii="Times New Roman" w:hAnsi="Times New Roman" w:cs="Times New Roman"/>
          <w:b/>
          <w:bCs/>
        </w:rPr>
        <w:t>may not</w:t>
      </w:r>
      <w:r w:rsidRPr="00AD717E">
        <w:rPr>
          <w:rFonts w:ascii="Times New Roman" w:hAnsi="Times New Roman" w:cs="Times New Roman"/>
        </w:rPr>
        <w:t xml:space="preserve"> make direct changes elsewhere in the application.</w:t>
      </w:r>
    </w:p>
    <w:p w:rsidR="00CB1F16" w:rsidRPr="00AD717E" w:rsidP="00CB1F16" w14:paraId="38B61D6D" w14:textId="77777777">
      <w:pPr>
        <w:pStyle w:val="ListParagraph"/>
        <w:rPr>
          <w:rFonts w:ascii="Times New Roman" w:hAnsi="Times New Roman" w:cs="Times New Roman"/>
        </w:rPr>
      </w:pPr>
      <w:r w:rsidRPr="00AD717E">
        <w:rPr>
          <w:rFonts w:ascii="Times New Roman" w:hAnsi="Times New Roman" w:cs="Times New Roman"/>
          <w:noProof/>
        </w:rPr>
        <w:drawing>
          <wp:inline distT="0" distB="0" distL="0" distR="0">
            <wp:extent cx="5943600" cy="2945130"/>
            <wp:effectExtent l="0" t="0" r="0" b="762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Graphical user interface, application&#10;&#10;Description automatically generated"/>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945130"/>
                    </a:xfrm>
                    <a:prstGeom prst="rect">
                      <a:avLst/>
                    </a:prstGeom>
                  </pic:spPr>
                </pic:pic>
              </a:graphicData>
            </a:graphic>
          </wp:inline>
        </w:drawing>
      </w:r>
    </w:p>
    <w:p w:rsidR="00CB1F16" w:rsidRPr="00AD717E" w:rsidP="00CB1F16" w14:paraId="3D93B5C7" w14:textId="77777777">
      <w:pPr>
        <w:pStyle w:val="ListParagraph"/>
        <w:numPr>
          <w:ilvl w:val="0"/>
          <w:numId w:val="7"/>
        </w:numPr>
        <w:rPr>
          <w:rFonts w:ascii="Times New Roman" w:hAnsi="Times New Roman" w:cs="Times New Roman"/>
        </w:rPr>
      </w:pPr>
      <w:r w:rsidRPr="00AD717E">
        <w:rPr>
          <w:rFonts w:ascii="Times New Roman" w:hAnsi="Times New Roman" w:cs="Times New Roman"/>
        </w:rPr>
        <w:t xml:space="preserve">Applicants should reach out to </w:t>
      </w:r>
      <w:hyperlink r:id="rId13" w:history="1">
        <w:r w:rsidRPr="00AD717E">
          <w:rPr>
            <w:rStyle w:val="Hyperlink"/>
            <w:rFonts w:ascii="Times New Roman" w:hAnsi="Times New Roman" w:cs="Times New Roman"/>
          </w:rPr>
          <w:t>Round2TelehealthApplicationSupport@usac.org</w:t>
        </w:r>
      </w:hyperlink>
      <w:r w:rsidRPr="00AD717E">
        <w:rPr>
          <w:rFonts w:ascii="Times New Roman" w:hAnsi="Times New Roman" w:cs="Times New Roman"/>
        </w:rPr>
        <w:t xml:space="preserve"> with any questions.</w:t>
      </w:r>
    </w:p>
    <w:p w:rsidR="00CB1F16" w:rsidRPr="00AD717E" w:rsidP="00AD717E" w14:paraId="172EADB7" w14:textId="77777777">
      <w:pPr>
        <w:jc w:val="center"/>
        <w:rPr>
          <w:b/>
          <w:szCs w:val="22"/>
        </w:rPr>
      </w:pPr>
    </w:p>
    <w:sectPr w:rsidSect="000E588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13EB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2FEF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5B2BF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3C1B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1D15" w14:paraId="5CE7EDB3" w14:textId="77777777">
      <w:r>
        <w:separator/>
      </w:r>
    </w:p>
  </w:footnote>
  <w:footnote w:type="continuationSeparator" w:id="1">
    <w:p w:rsidR="002C1D15" w14:paraId="5F9594C1" w14:textId="77777777">
      <w:pPr>
        <w:rPr>
          <w:sz w:val="20"/>
        </w:rPr>
      </w:pPr>
      <w:r>
        <w:rPr>
          <w:sz w:val="20"/>
        </w:rPr>
        <w:t xml:space="preserve">(Continued from previous page)  </w:t>
      </w:r>
      <w:r>
        <w:rPr>
          <w:sz w:val="20"/>
        </w:rPr>
        <w:separator/>
      </w:r>
    </w:p>
  </w:footnote>
  <w:footnote w:type="continuationNotice" w:id="2">
    <w:p w:rsidR="002C1D15" w:rsidP="00910F12" w14:paraId="133D0839" w14:textId="77777777">
      <w:pPr>
        <w:jc w:val="right"/>
        <w:rPr>
          <w:sz w:val="20"/>
        </w:rPr>
      </w:pPr>
      <w:r>
        <w:rPr>
          <w:sz w:val="20"/>
        </w:rPr>
        <w:t>(continued….)</w:t>
      </w:r>
    </w:p>
  </w:footnote>
  <w:footnote w:id="3">
    <w:p w:rsidR="0072090C" w:rsidRPr="00A83A9A" w:rsidP="0072090C" w14:paraId="58FF0C34" w14:textId="46CDEFD5">
      <w:pPr>
        <w:pStyle w:val="FootnoteText"/>
      </w:pPr>
      <w:r>
        <w:rPr>
          <w:rStyle w:val="FootnoteReference"/>
        </w:rPr>
        <w:footnoteRef/>
      </w:r>
      <w:r>
        <w:t xml:space="preserve"> </w:t>
      </w:r>
      <w:r w:rsidR="00E96A02">
        <w:rPr>
          <w:i/>
          <w:iCs/>
        </w:rPr>
        <w:t>See FCC Announces Awards For Round 2 of the COVID-19 Telehealth Program</w:t>
      </w:r>
      <w:r w:rsidR="00E96A02">
        <w:t>, WC Docket No. 20-89, Public Notices, DA 21-1052, 21-1221, and 21-</w:t>
      </w:r>
      <w:r w:rsidR="001F54FF">
        <w:t>1319</w:t>
      </w:r>
      <w:r w:rsidR="00E96A02">
        <w:t xml:space="preserve"> (WCB 2021)</w:t>
      </w:r>
      <w:r>
        <w:t>.</w:t>
      </w:r>
    </w:p>
  </w:footnote>
  <w:footnote w:id="4">
    <w:p w:rsidR="0072090C" w:rsidP="0072090C" w14:paraId="4B83FBC9" w14:textId="77777777">
      <w:pPr>
        <w:pStyle w:val="FootnoteText"/>
      </w:pPr>
      <w:r>
        <w:rPr>
          <w:rStyle w:val="FootnoteReference"/>
        </w:rPr>
        <w:footnoteRef/>
      </w:r>
      <w:r>
        <w:t xml:space="preserve"> </w:t>
      </w:r>
      <w:r w:rsidRPr="006F7CF3">
        <w:rPr>
          <w:i/>
          <w:iCs/>
        </w:rPr>
        <w:t>Promoting Telehealth for Low-Income Consumers; COVID-19 Telehealth Program</w:t>
      </w:r>
      <w:r w:rsidRPr="006F7CF3">
        <w:t>, WC Docket Nos. 18-213, 20-89, Report and Order, 35 FCC Rcd 3366 (2020) (</w:t>
      </w:r>
      <w:r w:rsidRPr="006F7CF3">
        <w:rPr>
          <w:i/>
          <w:iCs/>
        </w:rPr>
        <w:t>First COVID-19 Report and Order</w:t>
      </w:r>
      <w:r w:rsidRPr="006F7CF3">
        <w:t>)</w:t>
      </w:r>
      <w:r>
        <w:t xml:space="preserve">; </w:t>
      </w:r>
      <w:r w:rsidRPr="006F7CF3">
        <w:t>Coronavirus Aid, Relief, and Economic Security Act, Pub. L. No 116-136, 134 Stat. 281 (2020) (CARES Act)</w:t>
      </w:r>
      <w:r>
        <w:t>.</w:t>
      </w:r>
    </w:p>
  </w:footnote>
  <w:footnote w:id="5">
    <w:p w:rsidR="0072090C" w:rsidP="0072090C" w14:paraId="215F2025" w14:textId="77777777">
      <w:pPr>
        <w:pStyle w:val="FootnoteText"/>
      </w:pPr>
      <w:r>
        <w:rPr>
          <w:rStyle w:val="FootnoteReference"/>
        </w:rPr>
        <w:footnoteRef/>
      </w:r>
      <w:r>
        <w:t xml:space="preserve"> From April 16, 2020, through July 8, 2020, t</w:t>
      </w:r>
      <w:r w:rsidRPr="006F7CF3">
        <w:t>he Commission fully obligated the $200 million by issuing awards</w:t>
      </w:r>
      <w:r>
        <w:t xml:space="preserve"> on a rolling basis to</w:t>
      </w:r>
      <w:r w:rsidRPr="006F7CF3">
        <w:t xml:space="preserve"> 539 applications</w:t>
      </w:r>
      <w:r>
        <w:t xml:space="preserve">.  </w:t>
      </w:r>
      <w:r w:rsidRPr="006F7CF3">
        <w:t xml:space="preserve">Press Release, FCC, FCC Approves Final Set of COVID-19 Telehealth Program Applications (July 8, 2020), </w:t>
      </w:r>
      <w:hyperlink r:id="rId1" w:history="1">
        <w:r w:rsidRPr="00092191">
          <w:rPr>
            <w:rStyle w:val="Hyperlink"/>
          </w:rPr>
          <w:t>https://www.fcc.gov/document/fcc-approves-final-set-covid-19-telehealth-program-applications</w:t>
        </w:r>
      </w:hyperlink>
      <w:r>
        <w:t>.</w:t>
      </w:r>
    </w:p>
  </w:footnote>
  <w:footnote w:id="6">
    <w:p w:rsidR="0072090C" w:rsidP="0072090C" w14:paraId="5960E1EA" w14:textId="77777777">
      <w:pPr>
        <w:pStyle w:val="FootnoteText"/>
      </w:pPr>
      <w:r>
        <w:rPr>
          <w:rStyle w:val="FootnoteReference"/>
        </w:rPr>
        <w:footnoteRef/>
      </w:r>
      <w:r>
        <w:t xml:space="preserve"> </w:t>
      </w:r>
      <w:r w:rsidRPr="006F7CF3">
        <w:t xml:space="preserve">Consolidated Appropriations Act, 2021, Pub. L. No:  116-260, Division N-Additional Coronavirus Response and Relief, Title IX-Broadband Internet Access Service, § 903 “FCC COVID-19 Telehealth Program” (2020), </w:t>
      </w:r>
      <w:r w:rsidRPr="4477A7F3">
        <w:rPr>
          <w:i/>
          <w:iCs/>
        </w:rPr>
        <w:t>available at</w:t>
      </w:r>
      <w:r>
        <w:t xml:space="preserve"> </w:t>
      </w:r>
      <w:hyperlink r:id="rId2" w:history="1">
        <w:r w:rsidRPr="00092191">
          <w:rPr>
            <w:rStyle w:val="Hyperlink"/>
          </w:rPr>
          <w:t>https://www.congress.gov/bill/116th-congress/house-bill/133/text</w:t>
        </w:r>
      </w:hyperlink>
      <w:r>
        <w:t xml:space="preserve"> </w:t>
      </w:r>
      <w:r w:rsidRPr="006F7CF3">
        <w:t>(Consolidated Appropriations Act)</w:t>
      </w:r>
      <w:r>
        <w:t>.</w:t>
      </w:r>
    </w:p>
  </w:footnote>
  <w:footnote w:id="7">
    <w:p w:rsidR="0072090C" w:rsidP="0072090C" w14:paraId="74C7A9DE" w14:textId="77777777">
      <w:pPr>
        <w:pStyle w:val="FootnoteText"/>
      </w:pPr>
      <w:r>
        <w:rPr>
          <w:rStyle w:val="FootnoteReference"/>
        </w:rPr>
        <w:footnoteRef/>
      </w:r>
      <w:r>
        <w:t xml:space="preserve"> </w:t>
      </w:r>
      <w:bookmarkStart w:id="0" w:name="_Hlk87350299"/>
      <w:r w:rsidRPr="00A2235C">
        <w:rPr>
          <w:i/>
          <w:iCs/>
        </w:rPr>
        <w:t>COVID-19 Telehealth Program; Promoting Telehealth for Low-Income Consumers</w:t>
      </w:r>
      <w:r>
        <w:t xml:space="preserve">, WC Docket Nos. </w:t>
      </w:r>
      <w:r w:rsidRPr="00A2235C">
        <w:t>20-89</w:t>
      </w:r>
      <w:r>
        <w:t xml:space="preserve"> and </w:t>
      </w:r>
      <w:r w:rsidRPr="00A2235C">
        <w:t>18-213</w:t>
      </w:r>
      <w:r>
        <w:t>,</w:t>
      </w:r>
      <w:r w:rsidRPr="009E4B03">
        <w:t xml:space="preserve"> </w:t>
      </w:r>
      <w:r w:rsidRPr="00562AFF">
        <w:t xml:space="preserve">Report </w:t>
      </w:r>
      <w:r>
        <w:t>a</w:t>
      </w:r>
      <w:r w:rsidRPr="00562AFF">
        <w:t xml:space="preserve">nd Order </w:t>
      </w:r>
      <w:r>
        <w:t>a</w:t>
      </w:r>
      <w:r w:rsidRPr="00562AFF">
        <w:t xml:space="preserve">nd Order </w:t>
      </w:r>
      <w:r>
        <w:t>o</w:t>
      </w:r>
      <w:r w:rsidRPr="00562AFF">
        <w:t>n Reconsideration</w:t>
      </w:r>
      <w:r>
        <w:t>, 36 FCC Rcd 7141 (2021) (</w:t>
      </w:r>
      <w:r w:rsidRPr="008E3019">
        <w:rPr>
          <w:i/>
          <w:iCs/>
        </w:rPr>
        <w:t>Second COVID-19 Report and Order</w:t>
      </w:r>
      <w:r>
        <w:t>).</w:t>
      </w:r>
      <w:bookmarkEnd w:id="0"/>
    </w:p>
  </w:footnote>
  <w:footnote w:id="8">
    <w:p w:rsidR="0072090C" w:rsidP="0072090C" w14:paraId="2ACC9E04" w14:textId="77777777">
      <w:pPr>
        <w:pStyle w:val="FootnoteText"/>
      </w:pPr>
      <w:r>
        <w:rPr>
          <w:rStyle w:val="FootnoteReference"/>
        </w:rPr>
        <w:footnoteRef/>
      </w:r>
      <w:r>
        <w:t xml:space="preserve"> </w:t>
      </w:r>
      <w:r w:rsidRPr="001F5532">
        <w:rPr>
          <w:i/>
          <w:iCs/>
        </w:rPr>
        <w:t xml:space="preserve">Wireline Competition Bureau Announces </w:t>
      </w:r>
      <w:r>
        <w:rPr>
          <w:i/>
          <w:iCs/>
        </w:rPr>
        <w:t xml:space="preserve">Application Filing Window for Round 2 of </w:t>
      </w:r>
      <w:r w:rsidRPr="001F5532">
        <w:rPr>
          <w:i/>
          <w:iCs/>
        </w:rPr>
        <w:t xml:space="preserve">COVID-19 Telehealth Program Will Open </w:t>
      </w:r>
      <w:r>
        <w:rPr>
          <w:i/>
          <w:iCs/>
        </w:rPr>
        <w:t>April 29, 2021</w:t>
      </w:r>
      <w:r w:rsidRPr="00AF3A67">
        <w:t>,</w:t>
      </w:r>
      <w:r w:rsidRPr="001F5532">
        <w:rPr>
          <w:i/>
          <w:iCs/>
        </w:rPr>
        <w:t xml:space="preserve"> </w:t>
      </w:r>
      <w:r w:rsidRPr="001F5532">
        <w:t xml:space="preserve">WC Docket No. 20-89, Public Notice, </w:t>
      </w:r>
      <w:r w:rsidRPr="00BF1FD0">
        <w:t>36 FCC Rcd 7321 (WCB 2021).</w:t>
      </w:r>
    </w:p>
  </w:footnote>
  <w:footnote w:id="9">
    <w:p w:rsidR="0072090C" w:rsidRPr="00392DA7" w:rsidP="0072090C" w14:paraId="06D6B661" w14:textId="77777777">
      <w:pPr>
        <w:pStyle w:val="FootnoteText"/>
      </w:pPr>
      <w:r>
        <w:rPr>
          <w:rStyle w:val="FootnoteReference"/>
        </w:rPr>
        <w:footnoteRef/>
      </w:r>
      <w:r>
        <w:t xml:space="preserve"> </w:t>
      </w:r>
      <w:r w:rsidRPr="008E3019">
        <w:rPr>
          <w:i/>
          <w:iCs/>
        </w:rPr>
        <w:t>Second COVID-19 Report and Order</w:t>
      </w:r>
      <w:r>
        <w:t>, 36 FCC Rcd at 7171-73, paras. 61-69.</w:t>
      </w:r>
    </w:p>
  </w:footnote>
  <w:footnote w:id="10">
    <w:p w:rsidR="0072090C" w:rsidP="0072090C" w14:paraId="761F602E" w14:textId="77777777">
      <w:pPr>
        <w:pStyle w:val="FootnoteText"/>
      </w:pPr>
      <w:r>
        <w:rPr>
          <w:rStyle w:val="FootnoteReference"/>
        </w:rPr>
        <w:footnoteRef/>
      </w:r>
      <w:r>
        <w:t xml:space="preserve"> </w:t>
      </w:r>
      <w:r w:rsidRPr="008E3019">
        <w:rPr>
          <w:i/>
          <w:iCs/>
        </w:rPr>
        <w:t>Second COVID-19 Report and Order</w:t>
      </w:r>
      <w:r>
        <w:t>, 36 FCC Rcd at 7157, para. 38.</w:t>
      </w:r>
    </w:p>
  </w:footnote>
  <w:footnote w:id="11">
    <w:p w:rsidR="00F95F74" w:rsidP="00F95F74" w14:paraId="48FD24E2" w14:textId="1A817F67">
      <w:pPr>
        <w:pStyle w:val="FootnoteText"/>
      </w:pPr>
      <w:r>
        <w:rPr>
          <w:rStyle w:val="FootnoteReference"/>
        </w:rPr>
        <w:footnoteRef/>
      </w:r>
      <w:r>
        <w:t xml:space="preserve"> Consolidated Appropriations Act </w:t>
      </w:r>
      <w:r w:rsidRPr="009D450F">
        <w:t>§§ 903</w:t>
      </w:r>
      <w:r>
        <w:t>(c)(5)(A)-(C)</w:t>
      </w:r>
      <w:r w:rsidR="00AD3364">
        <w:t xml:space="preserve">; </w:t>
      </w:r>
      <w:r w:rsidR="00AD3364">
        <w:rPr>
          <w:i/>
          <w:iCs/>
        </w:rPr>
        <w:t xml:space="preserve">see also Second COVID-19 Report and Order, </w:t>
      </w:r>
      <w:r w:rsidR="00AD3364">
        <w:t>36 FCC Rcd at 7171, para. 61</w:t>
      </w:r>
      <w:r>
        <w:t>.</w:t>
      </w:r>
    </w:p>
  </w:footnote>
  <w:footnote w:id="12">
    <w:p w:rsidR="00C5047A" w14:paraId="292C8309" w14:textId="6375DA38">
      <w:pPr>
        <w:pStyle w:val="FootnoteText"/>
      </w:pPr>
      <w:r>
        <w:rPr>
          <w:rStyle w:val="FootnoteReference"/>
        </w:rPr>
        <w:footnoteRef/>
      </w:r>
      <w:r w:rsidR="00302A12">
        <w:t xml:space="preserve"> This amount is subject to change, pending </w:t>
      </w:r>
      <w:r w:rsidR="00427704">
        <w:t xml:space="preserve">additional </w:t>
      </w:r>
      <w:r w:rsidR="00302A12">
        <w:t>de-obligation</w:t>
      </w:r>
      <w:r w:rsidR="00427704">
        <w:t>s</w:t>
      </w:r>
      <w:r w:rsidR="00302A12">
        <w:t xml:space="preserve"> of remaining Round 1 funding.</w:t>
      </w:r>
    </w:p>
  </w:footnote>
  <w:footnote w:id="13">
    <w:p w:rsidR="004E4641" w14:paraId="30EA2825" w14:textId="560C611C">
      <w:pPr>
        <w:pStyle w:val="FootnoteText"/>
      </w:pPr>
      <w:r>
        <w:rPr>
          <w:rStyle w:val="FootnoteReference"/>
        </w:rPr>
        <w:footnoteRef/>
      </w:r>
      <w:r>
        <w:t xml:space="preserve"> </w:t>
      </w:r>
      <w:r w:rsidR="00532A4B">
        <w:t xml:space="preserve">Consolidated Appropriations Act </w:t>
      </w:r>
      <w:r w:rsidRPr="009D450F" w:rsidR="00532A4B">
        <w:t>§§ 903</w:t>
      </w:r>
      <w:r w:rsidR="00532A4B">
        <w:t>(c)(5)(A)-(C).</w:t>
      </w:r>
    </w:p>
  </w:footnote>
  <w:footnote w:id="14">
    <w:p w:rsidR="0036532E" w:rsidRPr="0036532E" w14:paraId="6A280B29" w14:textId="13A67A39">
      <w:pPr>
        <w:pStyle w:val="FootnoteText"/>
      </w:pPr>
      <w:r>
        <w:rPr>
          <w:rStyle w:val="FootnoteReference"/>
        </w:rPr>
        <w:footnoteRef/>
      </w:r>
      <w:r>
        <w:t xml:space="preserve"> </w:t>
      </w:r>
      <w:r>
        <w:rPr>
          <w:i/>
          <w:iCs/>
        </w:rPr>
        <w:t xml:space="preserve">See </w:t>
      </w:r>
      <w:r>
        <w:t xml:space="preserve">Appendix </w:t>
      </w:r>
      <w:r w:rsidR="007414CE">
        <w:t>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060C979" w14:textId="75E8251D">
    <w:pPr>
      <w:tabs>
        <w:tab w:val="center" w:pos="4680"/>
        <w:tab w:val="right" w:pos="9360"/>
      </w:tabs>
    </w:pPr>
    <w:r w:rsidRPr="009838BC">
      <w:rPr>
        <w:b/>
      </w:rPr>
      <w:tab/>
      <w:t>Federal Communications Commission</w:t>
    </w:r>
    <w:r w:rsidRPr="009838BC">
      <w:rPr>
        <w:b/>
      </w:rPr>
      <w:tab/>
    </w:r>
    <w:r w:rsidR="0072090C">
      <w:rPr>
        <w:b/>
      </w:rPr>
      <w:t>DA 21-</w:t>
    </w:r>
    <w:r w:rsidR="007A2963">
      <w:rPr>
        <w:b/>
      </w:rPr>
      <w:t>1403</w:t>
    </w:r>
  </w:p>
  <w:p w:rsidR="009838BC" w:rsidRPr="009838BC" w:rsidP="009838BC" w14:paraId="6C1DE78B" w14:textId="3993DFD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248AF5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4BA302" w14:textId="32AFE636">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779D1E39" w14:textId="77777777">
                    <w:pPr>
                      <w:rPr>
                        <w:rFonts w:ascii="Arial" w:hAnsi="Arial"/>
                        <w:b/>
                        <w:snapToGrid/>
                      </w:rPr>
                    </w:pPr>
                    <w:r>
                      <w:rPr>
                        <w:rFonts w:ascii="Arial" w:hAnsi="Arial"/>
                        <w:b/>
                      </w:rPr>
                      <w:t>Federal Communications Commission</w:t>
                    </w:r>
                  </w:p>
                  <w:p w:rsidR="00DE0AB8" w:rsidP="00DE0AB8" w14:paraId="619D7AE0" w14:textId="77777777">
                    <w:pPr>
                      <w:rPr>
                        <w:rFonts w:ascii="Arial" w:hAnsi="Arial"/>
                        <w:b/>
                      </w:rPr>
                    </w:pPr>
                    <w:r>
                      <w:rPr>
                        <w:rFonts w:ascii="Arial" w:hAnsi="Arial"/>
                        <w:b/>
                      </w:rPr>
                      <w:t>45 L Street NE</w:t>
                    </w:r>
                  </w:p>
                  <w:p w:rsidR="009838BC" w:rsidP="00DE0AB8" w14:paraId="717FBB1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4274E7">
      <w:rPr>
        <w:rFonts w:ascii="Arial" w:hAnsi="Arial" w:cs="Arial"/>
        <w:b/>
        <w:sz w:val="96"/>
      </w:rPr>
      <w:t>PUBLIC NOTICE</w:t>
    </w:r>
  </w:p>
  <w:p w:rsidR="009838BC" w:rsidRPr="00357D50" w:rsidP="009838BC" w14:paraId="6DB958FE" w14:textId="2961D3B0">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1272344" w14:textId="77777777">
                    <w:pPr>
                      <w:spacing w:before="40"/>
                      <w:jc w:val="right"/>
                      <w:rPr>
                        <w:rFonts w:ascii="Arial" w:hAnsi="Arial"/>
                        <w:b/>
                        <w:sz w:val="16"/>
                      </w:rPr>
                    </w:pPr>
                    <w:r>
                      <w:rPr>
                        <w:rFonts w:ascii="Arial" w:hAnsi="Arial"/>
                        <w:b/>
                        <w:sz w:val="16"/>
                      </w:rPr>
                      <w:t>News Media Information 202 / 418-0500</w:t>
                    </w:r>
                  </w:p>
                  <w:p w:rsidR="009838BC" w:rsidP="009838BC" w14:paraId="0580DFB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C142F33" w14:textId="77777777">
                    <w:pPr>
                      <w:jc w:val="right"/>
                    </w:pPr>
                    <w:r>
                      <w:rPr>
                        <w:rFonts w:ascii="Arial" w:hAnsi="Arial"/>
                        <w:b/>
                        <w:sz w:val="16"/>
                      </w:rPr>
                      <w:t>TTY: 1-888-835-5322</w:t>
                    </w:r>
                  </w:p>
                </w:txbxContent>
              </v:textbox>
            </v:shape>
          </w:pict>
        </mc:Fallback>
      </mc:AlternateContent>
    </w:r>
  </w:p>
  <w:p w:rsidR="006F7393" w:rsidRPr="009838BC" w:rsidP="009838BC" w14:paraId="7A97FD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652C38"/>
    <w:multiLevelType w:val="hybridMultilevel"/>
    <w:tmpl w:val="57B8B0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AF16D2"/>
    <w:multiLevelType w:val="hybridMultilevel"/>
    <w:tmpl w:val="0E702866"/>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FF"/>
    <w:rsid w:val="00003004"/>
    <w:rsid w:val="000072CE"/>
    <w:rsid w:val="00013142"/>
    <w:rsid w:val="00013A8B"/>
    <w:rsid w:val="00021445"/>
    <w:rsid w:val="00023466"/>
    <w:rsid w:val="0003090B"/>
    <w:rsid w:val="00036039"/>
    <w:rsid w:val="00036A7E"/>
    <w:rsid w:val="00037F90"/>
    <w:rsid w:val="00050D88"/>
    <w:rsid w:val="00062B2E"/>
    <w:rsid w:val="00064C64"/>
    <w:rsid w:val="000721BD"/>
    <w:rsid w:val="000875BF"/>
    <w:rsid w:val="00092191"/>
    <w:rsid w:val="000935C8"/>
    <w:rsid w:val="000941D0"/>
    <w:rsid w:val="00096D8C"/>
    <w:rsid w:val="000C0B65"/>
    <w:rsid w:val="000D501F"/>
    <w:rsid w:val="000E3D42"/>
    <w:rsid w:val="000E5884"/>
    <w:rsid w:val="000E6BE5"/>
    <w:rsid w:val="000F2114"/>
    <w:rsid w:val="00106DA7"/>
    <w:rsid w:val="0011791E"/>
    <w:rsid w:val="00122BD5"/>
    <w:rsid w:val="001627FE"/>
    <w:rsid w:val="00162BE3"/>
    <w:rsid w:val="00163139"/>
    <w:rsid w:val="00164BE4"/>
    <w:rsid w:val="00171AA6"/>
    <w:rsid w:val="0019078F"/>
    <w:rsid w:val="001917F2"/>
    <w:rsid w:val="001979D9"/>
    <w:rsid w:val="001A54ED"/>
    <w:rsid w:val="001D081F"/>
    <w:rsid w:val="001D6BCF"/>
    <w:rsid w:val="001E01CA"/>
    <w:rsid w:val="001F54FF"/>
    <w:rsid w:val="001F5532"/>
    <w:rsid w:val="00202BDE"/>
    <w:rsid w:val="002060D9"/>
    <w:rsid w:val="00224732"/>
    <w:rsid w:val="00226822"/>
    <w:rsid w:val="00240F83"/>
    <w:rsid w:val="00260594"/>
    <w:rsid w:val="00262972"/>
    <w:rsid w:val="00274F49"/>
    <w:rsid w:val="002766A8"/>
    <w:rsid w:val="00277FB8"/>
    <w:rsid w:val="002806B2"/>
    <w:rsid w:val="0028121D"/>
    <w:rsid w:val="00285017"/>
    <w:rsid w:val="00291785"/>
    <w:rsid w:val="002A2D2E"/>
    <w:rsid w:val="002C1D15"/>
    <w:rsid w:val="002D2B29"/>
    <w:rsid w:val="002D5143"/>
    <w:rsid w:val="002E344C"/>
    <w:rsid w:val="00300A20"/>
    <w:rsid w:val="00302A12"/>
    <w:rsid w:val="00305CBE"/>
    <w:rsid w:val="00305D1B"/>
    <w:rsid w:val="0033580D"/>
    <w:rsid w:val="00337E00"/>
    <w:rsid w:val="00343749"/>
    <w:rsid w:val="00354EC0"/>
    <w:rsid w:val="00357D50"/>
    <w:rsid w:val="0036532E"/>
    <w:rsid w:val="0038139C"/>
    <w:rsid w:val="0038204E"/>
    <w:rsid w:val="0038450C"/>
    <w:rsid w:val="003925DC"/>
    <w:rsid w:val="00392DA7"/>
    <w:rsid w:val="00395290"/>
    <w:rsid w:val="003A47E3"/>
    <w:rsid w:val="003B0550"/>
    <w:rsid w:val="003B694F"/>
    <w:rsid w:val="003C0B48"/>
    <w:rsid w:val="003D0554"/>
    <w:rsid w:val="003D6D7D"/>
    <w:rsid w:val="003E1BE8"/>
    <w:rsid w:val="003F0471"/>
    <w:rsid w:val="003F171C"/>
    <w:rsid w:val="003F5179"/>
    <w:rsid w:val="003F5FD2"/>
    <w:rsid w:val="00412FC5"/>
    <w:rsid w:val="004142B7"/>
    <w:rsid w:val="0042032D"/>
    <w:rsid w:val="00421C50"/>
    <w:rsid w:val="00422276"/>
    <w:rsid w:val="004242F1"/>
    <w:rsid w:val="004274E7"/>
    <w:rsid w:val="00427704"/>
    <w:rsid w:val="00445A00"/>
    <w:rsid w:val="00451B0F"/>
    <w:rsid w:val="00454C9A"/>
    <w:rsid w:val="0046125F"/>
    <w:rsid w:val="0048656D"/>
    <w:rsid w:val="00487524"/>
    <w:rsid w:val="00493AAA"/>
    <w:rsid w:val="00495AD3"/>
    <w:rsid w:val="00496106"/>
    <w:rsid w:val="004A5498"/>
    <w:rsid w:val="004C12D0"/>
    <w:rsid w:val="004C2EE3"/>
    <w:rsid w:val="004D4066"/>
    <w:rsid w:val="004D6A12"/>
    <w:rsid w:val="004E4641"/>
    <w:rsid w:val="004E4A22"/>
    <w:rsid w:val="00511968"/>
    <w:rsid w:val="00511D45"/>
    <w:rsid w:val="00527300"/>
    <w:rsid w:val="005318DE"/>
    <w:rsid w:val="005323FC"/>
    <w:rsid w:val="00532A4B"/>
    <w:rsid w:val="00545F58"/>
    <w:rsid w:val="0055614C"/>
    <w:rsid w:val="00560CE2"/>
    <w:rsid w:val="00561045"/>
    <w:rsid w:val="00562AFF"/>
    <w:rsid w:val="00571AC9"/>
    <w:rsid w:val="00586CD5"/>
    <w:rsid w:val="00590E43"/>
    <w:rsid w:val="00592AB5"/>
    <w:rsid w:val="00593CD0"/>
    <w:rsid w:val="005A3CD3"/>
    <w:rsid w:val="005B358C"/>
    <w:rsid w:val="005B684E"/>
    <w:rsid w:val="005C35F5"/>
    <w:rsid w:val="005D0FB5"/>
    <w:rsid w:val="005D5FFA"/>
    <w:rsid w:val="005F1E6F"/>
    <w:rsid w:val="00603BE7"/>
    <w:rsid w:val="00605545"/>
    <w:rsid w:val="00607BA5"/>
    <w:rsid w:val="00626EB6"/>
    <w:rsid w:val="00633A45"/>
    <w:rsid w:val="006353A3"/>
    <w:rsid w:val="0064149B"/>
    <w:rsid w:val="006506BC"/>
    <w:rsid w:val="00655D03"/>
    <w:rsid w:val="0066784E"/>
    <w:rsid w:val="00667DA9"/>
    <w:rsid w:val="00681938"/>
    <w:rsid w:val="006825B9"/>
    <w:rsid w:val="00683F84"/>
    <w:rsid w:val="0069317C"/>
    <w:rsid w:val="006A65BD"/>
    <w:rsid w:val="006A6A81"/>
    <w:rsid w:val="006C5840"/>
    <w:rsid w:val="006D247C"/>
    <w:rsid w:val="006D33D6"/>
    <w:rsid w:val="006E26AF"/>
    <w:rsid w:val="006F7393"/>
    <w:rsid w:val="006F7CF3"/>
    <w:rsid w:val="0070224F"/>
    <w:rsid w:val="007115F7"/>
    <w:rsid w:val="00711A43"/>
    <w:rsid w:val="00713635"/>
    <w:rsid w:val="00713CE0"/>
    <w:rsid w:val="00714AA4"/>
    <w:rsid w:val="007206E9"/>
    <w:rsid w:val="0072090C"/>
    <w:rsid w:val="007218B9"/>
    <w:rsid w:val="00727477"/>
    <w:rsid w:val="007276C2"/>
    <w:rsid w:val="007326EA"/>
    <w:rsid w:val="007414CE"/>
    <w:rsid w:val="00755BF5"/>
    <w:rsid w:val="00757D8B"/>
    <w:rsid w:val="00762226"/>
    <w:rsid w:val="00774D64"/>
    <w:rsid w:val="00774D79"/>
    <w:rsid w:val="00785689"/>
    <w:rsid w:val="00795D77"/>
    <w:rsid w:val="0079754B"/>
    <w:rsid w:val="007A1E6D"/>
    <w:rsid w:val="007A2963"/>
    <w:rsid w:val="007A79F7"/>
    <w:rsid w:val="007C5D0B"/>
    <w:rsid w:val="007C74F8"/>
    <w:rsid w:val="007D03F7"/>
    <w:rsid w:val="007D5D4E"/>
    <w:rsid w:val="0082045E"/>
    <w:rsid w:val="00822CE0"/>
    <w:rsid w:val="0082602F"/>
    <w:rsid w:val="00836F58"/>
    <w:rsid w:val="00837C62"/>
    <w:rsid w:val="00841AB1"/>
    <w:rsid w:val="00845C9F"/>
    <w:rsid w:val="008463B4"/>
    <w:rsid w:val="008565FE"/>
    <w:rsid w:val="00857949"/>
    <w:rsid w:val="00862B50"/>
    <w:rsid w:val="00863363"/>
    <w:rsid w:val="00885682"/>
    <w:rsid w:val="00893585"/>
    <w:rsid w:val="00895629"/>
    <w:rsid w:val="00896144"/>
    <w:rsid w:val="008B5BD4"/>
    <w:rsid w:val="008C22FD"/>
    <w:rsid w:val="008C5AAA"/>
    <w:rsid w:val="008C790F"/>
    <w:rsid w:val="008E3019"/>
    <w:rsid w:val="008F41FF"/>
    <w:rsid w:val="008F6E77"/>
    <w:rsid w:val="00910F12"/>
    <w:rsid w:val="009148E6"/>
    <w:rsid w:val="00926503"/>
    <w:rsid w:val="00930ECF"/>
    <w:rsid w:val="0094469A"/>
    <w:rsid w:val="00955560"/>
    <w:rsid w:val="009749B7"/>
    <w:rsid w:val="009775A6"/>
    <w:rsid w:val="00980287"/>
    <w:rsid w:val="00980516"/>
    <w:rsid w:val="009838BC"/>
    <w:rsid w:val="00985351"/>
    <w:rsid w:val="009975A5"/>
    <w:rsid w:val="009A32B2"/>
    <w:rsid w:val="009C0C7A"/>
    <w:rsid w:val="009D450F"/>
    <w:rsid w:val="009E4B03"/>
    <w:rsid w:val="00A060E0"/>
    <w:rsid w:val="00A10305"/>
    <w:rsid w:val="00A2235C"/>
    <w:rsid w:val="00A336C7"/>
    <w:rsid w:val="00A3671E"/>
    <w:rsid w:val="00A44DEF"/>
    <w:rsid w:val="00A45AC6"/>
    <w:rsid w:val="00A45F4F"/>
    <w:rsid w:val="00A56ED4"/>
    <w:rsid w:val="00A600A9"/>
    <w:rsid w:val="00A60B6B"/>
    <w:rsid w:val="00A627A2"/>
    <w:rsid w:val="00A73914"/>
    <w:rsid w:val="00A83A9A"/>
    <w:rsid w:val="00A866AC"/>
    <w:rsid w:val="00AA052C"/>
    <w:rsid w:val="00AA4927"/>
    <w:rsid w:val="00AA55B7"/>
    <w:rsid w:val="00AA5B9E"/>
    <w:rsid w:val="00AB2407"/>
    <w:rsid w:val="00AB4D25"/>
    <w:rsid w:val="00AB53DF"/>
    <w:rsid w:val="00AB7053"/>
    <w:rsid w:val="00AC1B75"/>
    <w:rsid w:val="00AD286B"/>
    <w:rsid w:val="00AD3364"/>
    <w:rsid w:val="00AD717E"/>
    <w:rsid w:val="00AE0608"/>
    <w:rsid w:val="00AE3478"/>
    <w:rsid w:val="00AE36A0"/>
    <w:rsid w:val="00AE3840"/>
    <w:rsid w:val="00AF21FA"/>
    <w:rsid w:val="00AF3A67"/>
    <w:rsid w:val="00B00809"/>
    <w:rsid w:val="00B01BFF"/>
    <w:rsid w:val="00B07E5C"/>
    <w:rsid w:val="00B10AD1"/>
    <w:rsid w:val="00B13553"/>
    <w:rsid w:val="00B20363"/>
    <w:rsid w:val="00B21478"/>
    <w:rsid w:val="00B326E3"/>
    <w:rsid w:val="00B33E50"/>
    <w:rsid w:val="00B40A92"/>
    <w:rsid w:val="00B45A67"/>
    <w:rsid w:val="00B5210C"/>
    <w:rsid w:val="00B7548E"/>
    <w:rsid w:val="00B811F7"/>
    <w:rsid w:val="00B82DB7"/>
    <w:rsid w:val="00B84140"/>
    <w:rsid w:val="00B94BB9"/>
    <w:rsid w:val="00B952D6"/>
    <w:rsid w:val="00BA5DC6"/>
    <w:rsid w:val="00BA6196"/>
    <w:rsid w:val="00BB2C68"/>
    <w:rsid w:val="00BB33B9"/>
    <w:rsid w:val="00BC6D8C"/>
    <w:rsid w:val="00BF1FD0"/>
    <w:rsid w:val="00C02246"/>
    <w:rsid w:val="00C04AAF"/>
    <w:rsid w:val="00C0643A"/>
    <w:rsid w:val="00C10667"/>
    <w:rsid w:val="00C16AF2"/>
    <w:rsid w:val="00C2551D"/>
    <w:rsid w:val="00C279FF"/>
    <w:rsid w:val="00C33736"/>
    <w:rsid w:val="00C34006"/>
    <w:rsid w:val="00C417F0"/>
    <w:rsid w:val="00C426B1"/>
    <w:rsid w:val="00C4655B"/>
    <w:rsid w:val="00C5047A"/>
    <w:rsid w:val="00C57122"/>
    <w:rsid w:val="00C82B6B"/>
    <w:rsid w:val="00C83B24"/>
    <w:rsid w:val="00C90D6A"/>
    <w:rsid w:val="00CB1F16"/>
    <w:rsid w:val="00CC72B6"/>
    <w:rsid w:val="00CE3AC1"/>
    <w:rsid w:val="00D0218D"/>
    <w:rsid w:val="00D07609"/>
    <w:rsid w:val="00D216CD"/>
    <w:rsid w:val="00D272E3"/>
    <w:rsid w:val="00D51437"/>
    <w:rsid w:val="00D551E2"/>
    <w:rsid w:val="00D659D6"/>
    <w:rsid w:val="00D8607B"/>
    <w:rsid w:val="00D90A07"/>
    <w:rsid w:val="00D96942"/>
    <w:rsid w:val="00DA1A01"/>
    <w:rsid w:val="00DA2529"/>
    <w:rsid w:val="00DA6AD1"/>
    <w:rsid w:val="00DA7F71"/>
    <w:rsid w:val="00DB130A"/>
    <w:rsid w:val="00DB2D06"/>
    <w:rsid w:val="00DC10A1"/>
    <w:rsid w:val="00DC2194"/>
    <w:rsid w:val="00DC655F"/>
    <w:rsid w:val="00DD4434"/>
    <w:rsid w:val="00DD7EBD"/>
    <w:rsid w:val="00DE0AB8"/>
    <w:rsid w:val="00DE158F"/>
    <w:rsid w:val="00DF62B6"/>
    <w:rsid w:val="00DF6915"/>
    <w:rsid w:val="00E023CD"/>
    <w:rsid w:val="00E04974"/>
    <w:rsid w:val="00E07225"/>
    <w:rsid w:val="00E129F3"/>
    <w:rsid w:val="00E13AF4"/>
    <w:rsid w:val="00E15554"/>
    <w:rsid w:val="00E155B7"/>
    <w:rsid w:val="00E2385B"/>
    <w:rsid w:val="00E277EC"/>
    <w:rsid w:val="00E41D0B"/>
    <w:rsid w:val="00E5409F"/>
    <w:rsid w:val="00E56E4D"/>
    <w:rsid w:val="00E63764"/>
    <w:rsid w:val="00E74D15"/>
    <w:rsid w:val="00E96A02"/>
    <w:rsid w:val="00EA09E1"/>
    <w:rsid w:val="00EA4A42"/>
    <w:rsid w:val="00EA5D20"/>
    <w:rsid w:val="00EB51F0"/>
    <w:rsid w:val="00EC0185"/>
    <w:rsid w:val="00EC5186"/>
    <w:rsid w:val="00EC6097"/>
    <w:rsid w:val="00EC6CF3"/>
    <w:rsid w:val="00ED2AFB"/>
    <w:rsid w:val="00EE0389"/>
    <w:rsid w:val="00EE2138"/>
    <w:rsid w:val="00EF6249"/>
    <w:rsid w:val="00F021FA"/>
    <w:rsid w:val="00F060DE"/>
    <w:rsid w:val="00F1247F"/>
    <w:rsid w:val="00F27E0E"/>
    <w:rsid w:val="00F54EE8"/>
    <w:rsid w:val="00F559EF"/>
    <w:rsid w:val="00F57ACA"/>
    <w:rsid w:val="00F62E97"/>
    <w:rsid w:val="00F64209"/>
    <w:rsid w:val="00F648C8"/>
    <w:rsid w:val="00F65E74"/>
    <w:rsid w:val="00F725DA"/>
    <w:rsid w:val="00F8083E"/>
    <w:rsid w:val="00F82E34"/>
    <w:rsid w:val="00F86E0D"/>
    <w:rsid w:val="00F93BF5"/>
    <w:rsid w:val="00F94821"/>
    <w:rsid w:val="00F95F74"/>
    <w:rsid w:val="00F96F63"/>
    <w:rsid w:val="00F97CBF"/>
    <w:rsid w:val="00FA713D"/>
    <w:rsid w:val="00FB66BD"/>
    <w:rsid w:val="00FC21F6"/>
    <w:rsid w:val="00FC51F4"/>
    <w:rsid w:val="00FD1589"/>
    <w:rsid w:val="00FF193A"/>
    <w:rsid w:val="00FF2494"/>
    <w:rsid w:val="00FF3A9C"/>
    <w:rsid w:val="4477A7F3"/>
    <w:rsid w:val="66FD8D42"/>
    <w:rsid w:val="6B57EC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6B1897"/>
  <w15:chartTrackingRefBased/>
  <w15:docId w15:val="{6ABD5BAE-AF2F-46C3-B3D3-80A07D74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link w:val="FootnoteText"/>
    <w:rsid w:val="0072090C"/>
  </w:style>
  <w:style w:type="table" w:styleId="TableGrid">
    <w:name w:val="Table Grid"/>
    <w:basedOn w:val="TableNormal"/>
    <w:uiPriority w:val="59"/>
    <w:rsid w:val="0072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A43"/>
    <w:rPr>
      <w:sz w:val="16"/>
      <w:szCs w:val="16"/>
    </w:rPr>
  </w:style>
  <w:style w:type="paragraph" w:styleId="CommentText">
    <w:name w:val="annotation text"/>
    <w:basedOn w:val="Normal"/>
    <w:link w:val="CommentTextChar"/>
    <w:uiPriority w:val="99"/>
    <w:semiHidden/>
    <w:unhideWhenUsed/>
    <w:rsid w:val="00711A43"/>
    <w:rPr>
      <w:sz w:val="20"/>
    </w:rPr>
  </w:style>
  <w:style w:type="character" w:customStyle="1" w:styleId="CommentTextChar">
    <w:name w:val="Comment Text Char"/>
    <w:basedOn w:val="DefaultParagraphFont"/>
    <w:link w:val="CommentText"/>
    <w:uiPriority w:val="99"/>
    <w:semiHidden/>
    <w:rsid w:val="00711A43"/>
    <w:rPr>
      <w:snapToGrid w:val="0"/>
      <w:kern w:val="28"/>
    </w:rPr>
  </w:style>
  <w:style w:type="paragraph" w:styleId="CommentSubject">
    <w:name w:val="annotation subject"/>
    <w:basedOn w:val="CommentText"/>
    <w:next w:val="CommentText"/>
    <w:link w:val="CommentSubjectChar"/>
    <w:uiPriority w:val="99"/>
    <w:semiHidden/>
    <w:unhideWhenUsed/>
    <w:rsid w:val="00711A43"/>
    <w:rPr>
      <w:b/>
      <w:bCs/>
    </w:rPr>
  </w:style>
  <w:style w:type="character" w:customStyle="1" w:styleId="CommentSubjectChar">
    <w:name w:val="Comment Subject Char"/>
    <w:basedOn w:val="CommentTextChar"/>
    <w:link w:val="CommentSubject"/>
    <w:uiPriority w:val="99"/>
    <w:semiHidden/>
    <w:rsid w:val="00711A43"/>
    <w:rPr>
      <w:b/>
      <w:bCs/>
      <w:snapToGrid w:val="0"/>
      <w:kern w:val="28"/>
    </w:rPr>
  </w:style>
  <w:style w:type="paragraph" w:customStyle="1" w:styleId="Default">
    <w:name w:val="Default"/>
    <w:rsid w:val="00202BDE"/>
    <w:pPr>
      <w:autoSpaceDE w:val="0"/>
      <w:autoSpaceDN w:val="0"/>
      <w:adjustRightInd w:val="0"/>
    </w:pPr>
    <w:rPr>
      <w:color w:val="000000"/>
      <w:sz w:val="24"/>
      <w:szCs w:val="24"/>
    </w:rPr>
  </w:style>
  <w:style w:type="paragraph" w:styleId="Revision">
    <w:name w:val="Revision"/>
    <w:hidden/>
    <w:uiPriority w:val="99"/>
    <w:semiHidden/>
    <w:rsid w:val="00713CE0"/>
    <w:rPr>
      <w:snapToGrid w:val="0"/>
      <w:kern w:val="28"/>
      <w:sz w:val="22"/>
    </w:rPr>
  </w:style>
  <w:style w:type="paragraph" w:styleId="ListParagraph">
    <w:name w:val="List Paragraph"/>
    <w:basedOn w:val="Normal"/>
    <w:uiPriority w:val="34"/>
    <w:qFormat/>
    <w:rsid w:val="00CB1F16"/>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UnresolvedMention">
    <w:name w:val="Unresolved Mention"/>
    <w:basedOn w:val="DefaultParagraphFont"/>
    <w:uiPriority w:val="99"/>
    <w:rsid w:val="00D96942"/>
    <w:rPr>
      <w:color w:val="605E5C"/>
      <w:shd w:val="clear" w:color="auto" w:fill="E1DFDD"/>
    </w:rPr>
  </w:style>
  <w:style w:type="character" w:styleId="FollowedHyperlink">
    <w:name w:val="FollowedHyperlink"/>
    <w:basedOn w:val="DefaultParagraphFont"/>
    <w:uiPriority w:val="99"/>
    <w:semiHidden/>
    <w:unhideWhenUsed/>
    <w:rsid w:val="00AC1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docs/search-results?t=advanced&amp;daNo=21-1404" TargetMode="External" /><Relationship Id="rId11" Type="http://schemas.openxmlformats.org/officeDocument/2006/relationships/hyperlink" Target="http://www.fcc.gov/covid19telehealth" TargetMode="External" /><Relationship Id="rId12" Type="http://schemas.openxmlformats.org/officeDocument/2006/relationships/image" Target="media/image1.png" /><Relationship Id="rId13" Type="http://schemas.openxmlformats.org/officeDocument/2006/relationships/hyperlink" Target="mailto:Round2TelehealthApplicationSupport@usac.org"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about/covid-19-telehealth-program/covid-19-telehealth-program-application-resources/supplementing-information-instructions/" TargetMode="External" /><Relationship Id="rId6" Type="http://schemas.openxmlformats.org/officeDocument/2006/relationships/hyperlink" Target="mailto:Connor.Ferraro@fcc.gov" TargetMode="External" /><Relationship Id="rId7" Type="http://schemas.openxmlformats.org/officeDocument/2006/relationships/hyperlink" Target="http://www.usac.org/about/covid-19-telehealth-program" TargetMode="External" /><Relationship Id="rId8" Type="http://schemas.openxmlformats.org/officeDocument/2006/relationships/hyperlink" Target="mailto:Round2TelehlthInvoicSupp@FCC.gov" TargetMode="External" /><Relationship Id="rId9" Type="http://schemas.openxmlformats.org/officeDocument/2006/relationships/hyperlink" Target="https://docs.fcc.gov/public/attachments/FCC-21-39A1.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pproves-final-set-covid-19-telehealth-program-applications" TargetMode="External" /><Relationship Id="rId2"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