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36867" w:rsidP="00D36867" w14:paraId="7CD049F2" w14:textId="77777777">
      <w:pPr>
        <w:jc w:val="center"/>
        <w:rPr>
          <w:b/>
          <w:snapToGrid/>
        </w:rPr>
      </w:pPr>
      <w:r>
        <w:rPr>
          <w:rFonts w:ascii="Times New Roman Bold" w:hAnsi="Times New Roman Bold"/>
          <w:b/>
          <w:kern w:val="0"/>
          <w:szCs w:val="22"/>
        </w:rPr>
        <w:t>Before</w:t>
      </w:r>
      <w:r>
        <w:rPr>
          <w:b/>
        </w:rPr>
        <w:t xml:space="preserve"> the</w:t>
      </w:r>
    </w:p>
    <w:p w:rsidR="00D36867" w:rsidP="00D36867" w14:paraId="5DB1D33B" w14:textId="77777777">
      <w:pPr>
        <w:pStyle w:val="StyleBoldCentered"/>
      </w:pPr>
      <w:r>
        <w:t>F</w:t>
      </w:r>
      <w:r>
        <w:rPr>
          <w:caps w:val="0"/>
        </w:rPr>
        <w:t>ederal Communications Commission</w:t>
      </w:r>
    </w:p>
    <w:p w:rsidR="00D36867" w:rsidP="00D36867" w14:paraId="0A016444" w14:textId="6359DD79">
      <w:pPr>
        <w:pStyle w:val="StyleBoldCentered"/>
      </w:pPr>
      <w:r>
        <w:rPr>
          <w:caps w:val="0"/>
        </w:rPr>
        <w:t>Washington, DC 20554</w:t>
      </w:r>
    </w:p>
    <w:p w:rsidR="00D36867" w:rsidP="00D36867" w14:paraId="72703268" w14:textId="77777777"/>
    <w:tbl>
      <w:tblPr>
        <w:tblW w:w="0" w:type="auto"/>
        <w:tblLayout w:type="fixed"/>
        <w:tblLook w:val="04A0"/>
      </w:tblPr>
      <w:tblGrid>
        <w:gridCol w:w="4698"/>
        <w:gridCol w:w="630"/>
        <w:gridCol w:w="4248"/>
      </w:tblGrid>
      <w:tr w14:paraId="66A241F1" w14:textId="77777777" w:rsidTr="00D36867">
        <w:tblPrEx>
          <w:tblW w:w="0" w:type="auto"/>
          <w:tblLayout w:type="fixed"/>
          <w:tblLook w:val="04A0"/>
        </w:tblPrEx>
        <w:tc>
          <w:tcPr>
            <w:tcW w:w="4698" w:type="dxa"/>
          </w:tcPr>
          <w:p w:rsidR="00D36867" w14:paraId="554AB857" w14:textId="77777777">
            <w:pPr>
              <w:tabs>
                <w:tab w:val="center" w:pos="4680"/>
              </w:tabs>
              <w:suppressAutoHyphens/>
              <w:rPr>
                <w:spacing w:val="-2"/>
              </w:rPr>
            </w:pPr>
            <w:r>
              <w:rPr>
                <w:spacing w:val="-2"/>
              </w:rPr>
              <w:t>In the Matter of</w:t>
            </w:r>
          </w:p>
          <w:p w:rsidR="00D36867" w14:paraId="2E8EC57C" w14:textId="77777777">
            <w:pPr>
              <w:tabs>
                <w:tab w:val="left" w:pos="360"/>
                <w:tab w:val="center" w:pos="4680"/>
                <w:tab w:val="right" w:leader="dot" w:pos="9360"/>
              </w:tabs>
              <w:suppressAutoHyphens/>
              <w:ind w:left="360" w:right="720" w:hanging="360"/>
              <w:rPr>
                <w:spacing w:val="-2"/>
              </w:rPr>
            </w:pPr>
          </w:p>
          <w:p w:rsidR="00D36867" w14:paraId="363B04C2" w14:textId="77777777">
            <w:pPr>
              <w:autoSpaceDE w:val="0"/>
              <w:autoSpaceDN w:val="0"/>
              <w:adjustRightInd w:val="0"/>
            </w:pPr>
            <w:r>
              <w:rPr>
                <w:szCs w:val="22"/>
              </w:rPr>
              <w:t>Lunex</w:t>
            </w:r>
            <w:r>
              <w:rPr>
                <w:szCs w:val="22"/>
              </w:rPr>
              <w:t xml:space="preserve"> Telecom, Inc.</w:t>
            </w:r>
          </w:p>
        </w:tc>
        <w:tc>
          <w:tcPr>
            <w:tcW w:w="630" w:type="dxa"/>
          </w:tcPr>
          <w:p w:rsidR="00D36867" w14:paraId="113250BC" w14:textId="77777777">
            <w:pPr>
              <w:tabs>
                <w:tab w:val="center" w:pos="4680"/>
              </w:tabs>
              <w:suppressAutoHyphens/>
              <w:rPr>
                <w:b/>
                <w:spacing w:val="-2"/>
              </w:rPr>
            </w:pPr>
            <w:r>
              <w:rPr>
                <w:b/>
                <w:spacing w:val="-2"/>
              </w:rPr>
              <w:t>)</w:t>
            </w:r>
          </w:p>
          <w:p w:rsidR="00D36867" w14:paraId="524FEFFF" w14:textId="77777777">
            <w:pPr>
              <w:tabs>
                <w:tab w:val="center" w:pos="4680"/>
              </w:tabs>
              <w:suppressAutoHyphens/>
              <w:rPr>
                <w:b/>
                <w:spacing w:val="-2"/>
              </w:rPr>
            </w:pPr>
            <w:r>
              <w:rPr>
                <w:b/>
                <w:spacing w:val="-2"/>
              </w:rPr>
              <w:t>)</w:t>
            </w:r>
          </w:p>
          <w:p w:rsidR="00D36867" w14:paraId="5FB6F036" w14:textId="77777777">
            <w:pPr>
              <w:tabs>
                <w:tab w:val="center" w:pos="4680"/>
              </w:tabs>
              <w:suppressAutoHyphens/>
              <w:rPr>
                <w:b/>
                <w:spacing w:val="-2"/>
              </w:rPr>
            </w:pPr>
            <w:r>
              <w:rPr>
                <w:b/>
                <w:spacing w:val="-2"/>
              </w:rPr>
              <w:t>)</w:t>
            </w:r>
          </w:p>
          <w:p w:rsidR="00D36867" w14:paraId="082A3B03" w14:textId="77777777">
            <w:pPr>
              <w:tabs>
                <w:tab w:val="center" w:pos="4680"/>
              </w:tabs>
              <w:suppressAutoHyphens/>
              <w:rPr>
                <w:b/>
                <w:spacing w:val="-2"/>
              </w:rPr>
            </w:pPr>
            <w:r>
              <w:rPr>
                <w:b/>
                <w:spacing w:val="-2"/>
              </w:rPr>
              <w:t>)</w:t>
            </w:r>
          </w:p>
          <w:p w:rsidR="00D36867" w14:paraId="57268B13" w14:textId="77777777">
            <w:pPr>
              <w:tabs>
                <w:tab w:val="center" w:pos="4680"/>
              </w:tabs>
              <w:suppressAutoHyphens/>
              <w:rPr>
                <w:b/>
                <w:spacing w:val="-2"/>
              </w:rPr>
            </w:pPr>
            <w:r>
              <w:rPr>
                <w:b/>
                <w:spacing w:val="-2"/>
              </w:rPr>
              <w:t>)</w:t>
            </w:r>
          </w:p>
          <w:p w:rsidR="00D36867" w14:paraId="7CB23F73" w14:textId="77777777">
            <w:pPr>
              <w:tabs>
                <w:tab w:val="center" w:pos="4680"/>
              </w:tabs>
              <w:suppressAutoHyphens/>
              <w:rPr>
                <w:b/>
                <w:spacing w:val="-2"/>
              </w:rPr>
            </w:pPr>
            <w:r>
              <w:rPr>
                <w:b/>
                <w:spacing w:val="-2"/>
              </w:rPr>
              <w:t>)</w:t>
            </w:r>
          </w:p>
          <w:p w:rsidR="00D36867" w14:paraId="5D392007" w14:textId="77777777">
            <w:pPr>
              <w:tabs>
                <w:tab w:val="center" w:pos="4680"/>
              </w:tabs>
              <w:suppressAutoHyphens/>
              <w:rPr>
                <w:b/>
                <w:spacing w:val="-2"/>
              </w:rPr>
            </w:pPr>
            <w:r>
              <w:rPr>
                <w:b/>
                <w:spacing w:val="-2"/>
              </w:rPr>
              <w:t>)</w:t>
            </w:r>
          </w:p>
          <w:p w:rsidR="00D36867" w14:paraId="738E931E" w14:textId="77777777">
            <w:pPr>
              <w:tabs>
                <w:tab w:val="center" w:pos="4680"/>
              </w:tabs>
              <w:suppressAutoHyphens/>
              <w:rPr>
                <w:b/>
                <w:spacing w:val="-2"/>
              </w:rPr>
            </w:pPr>
          </w:p>
        </w:tc>
        <w:tc>
          <w:tcPr>
            <w:tcW w:w="4248" w:type="dxa"/>
          </w:tcPr>
          <w:p w:rsidR="00D36867" w14:paraId="3FAED94A" w14:textId="77777777">
            <w:pPr>
              <w:tabs>
                <w:tab w:val="center" w:pos="4680"/>
              </w:tabs>
              <w:suppressAutoHyphens/>
              <w:ind w:left="432"/>
              <w:rPr>
                <w:spacing w:val="-2"/>
                <w:szCs w:val="22"/>
              </w:rPr>
            </w:pPr>
          </w:p>
          <w:p w:rsidR="00D36867" w14:paraId="31D2BB3C" w14:textId="77777777">
            <w:pPr>
              <w:tabs>
                <w:tab w:val="center" w:pos="4680"/>
              </w:tabs>
              <w:suppressAutoHyphens/>
              <w:ind w:left="432"/>
              <w:rPr>
                <w:spacing w:val="-2"/>
                <w:szCs w:val="22"/>
              </w:rPr>
            </w:pPr>
          </w:p>
          <w:p w:rsidR="00D36867" w14:paraId="7C65ADFB" w14:textId="77777777">
            <w:pPr>
              <w:tabs>
                <w:tab w:val="center" w:pos="4680"/>
              </w:tabs>
              <w:suppressAutoHyphens/>
              <w:ind w:left="432"/>
              <w:rPr>
                <w:spacing w:val="-2"/>
                <w:szCs w:val="22"/>
              </w:rPr>
            </w:pPr>
            <w:r>
              <w:rPr>
                <w:spacing w:val="-2"/>
                <w:szCs w:val="22"/>
              </w:rPr>
              <w:t>File No.:  EB-IHD-20-00030636</w:t>
            </w:r>
          </w:p>
          <w:p w:rsidR="00D36867" w14:paraId="63D0776F" w14:textId="77777777">
            <w:pPr>
              <w:ind w:left="432"/>
              <w:rPr>
                <w:spacing w:val="-2"/>
                <w:szCs w:val="22"/>
              </w:rPr>
            </w:pPr>
            <w:r>
              <w:rPr>
                <w:spacing w:val="-2"/>
                <w:szCs w:val="22"/>
              </w:rPr>
              <w:t xml:space="preserve">CD Acct. No.:  </w:t>
            </w:r>
            <w:r>
              <w:rPr>
                <w:color w:val="222222"/>
                <w:szCs w:val="22"/>
                <w:shd w:val="clear" w:color="auto" w:fill="FFFFFF"/>
              </w:rPr>
              <w:t>202132080025</w:t>
            </w:r>
          </w:p>
          <w:p w:rsidR="00D36867" w14:paraId="4F82C3E7" w14:textId="77777777">
            <w:pPr>
              <w:tabs>
                <w:tab w:val="center" w:pos="4680"/>
              </w:tabs>
              <w:suppressAutoHyphens/>
              <w:ind w:left="432"/>
              <w:rPr>
                <w:spacing w:val="-2"/>
              </w:rPr>
            </w:pPr>
            <w:r>
              <w:rPr>
                <w:szCs w:val="22"/>
              </w:rPr>
              <w:t>FRN</w:t>
            </w:r>
            <w:r>
              <w:rPr>
                <w:szCs w:val="22"/>
              </w:rPr>
              <w:t xml:space="preserve">:  </w:t>
            </w:r>
            <w:r>
              <w:rPr>
                <w:spacing w:val="-2"/>
                <w:szCs w:val="22"/>
              </w:rPr>
              <w:t>0012190294</w:t>
            </w:r>
          </w:p>
        </w:tc>
      </w:tr>
    </w:tbl>
    <w:p w:rsidR="00D36867" w:rsidP="00D36867" w14:paraId="79C8B043" w14:textId="77777777">
      <w:pPr>
        <w:jc w:val="center"/>
        <w:outlineLvl w:val="0"/>
        <w:rPr>
          <w:b/>
          <w:szCs w:val="22"/>
        </w:rPr>
      </w:pPr>
      <w:r>
        <w:rPr>
          <w:b/>
          <w:szCs w:val="22"/>
        </w:rPr>
        <w:t>ORDER</w:t>
      </w:r>
    </w:p>
    <w:p w:rsidR="00D36867" w:rsidP="00D36867" w14:paraId="231EE1E5" w14:textId="77777777">
      <w:pPr>
        <w:tabs>
          <w:tab w:val="left" w:pos="-720"/>
        </w:tabs>
        <w:suppressAutoHyphens/>
        <w:spacing w:line="225" w:lineRule="auto"/>
        <w:rPr>
          <w:spacing w:val="-2"/>
        </w:rPr>
      </w:pPr>
    </w:p>
    <w:p w:rsidR="00D36867" w:rsidP="00D36867" w14:paraId="72CCC2DD" w14:textId="39C1A911">
      <w:pPr>
        <w:tabs>
          <w:tab w:val="left" w:pos="720"/>
          <w:tab w:val="right" w:pos="9360"/>
        </w:tabs>
        <w:suppressAutoHyphens/>
        <w:spacing w:line="225" w:lineRule="auto"/>
        <w:rPr>
          <w:spacing w:val="-2"/>
        </w:rPr>
      </w:pPr>
      <w:r>
        <w:rPr>
          <w:b/>
          <w:spacing w:val="-2"/>
        </w:rPr>
        <w:t xml:space="preserve">Adopted:  </w:t>
      </w:r>
      <w:r w:rsidR="007951D6">
        <w:rPr>
          <w:b/>
          <w:spacing w:val="-2"/>
        </w:rPr>
        <w:t>April 16, 2021</w:t>
      </w:r>
      <w:r>
        <w:rPr>
          <w:b/>
          <w:spacing w:val="-2"/>
        </w:rPr>
        <w:tab/>
        <w:t xml:space="preserve">Released:  </w:t>
      </w:r>
      <w:r w:rsidR="007951D6">
        <w:rPr>
          <w:b/>
          <w:spacing w:val="-2"/>
        </w:rPr>
        <w:t>April 16, 2021</w:t>
      </w:r>
    </w:p>
    <w:p w:rsidR="00D36867" w:rsidP="00D36867" w14:paraId="345C8CBA" w14:textId="77777777"/>
    <w:p w:rsidR="00D36867" w:rsidP="00D36867" w14:paraId="5D8F7989" w14:textId="77777777">
      <w:pPr>
        <w:rPr>
          <w:spacing w:val="-2"/>
        </w:rPr>
      </w:pPr>
      <w:r>
        <w:rPr>
          <w:spacing w:val="-2"/>
          <w:szCs w:val="22"/>
        </w:rPr>
        <w:t>By the Chief, Enforcement Bureau:</w:t>
      </w:r>
    </w:p>
    <w:p w:rsidR="00D36867" w:rsidP="00D36867" w14:paraId="64365EEC" w14:textId="77777777"/>
    <w:p w:rsidR="00D36867" w:rsidP="00D36867" w14:paraId="14E481FE" w14:textId="77777777">
      <w:pPr>
        <w:pStyle w:val="ParaNum"/>
        <w:numPr>
          <w:ilvl w:val="0"/>
          <w:numId w:val="35"/>
        </w:numPr>
        <w:tabs>
          <w:tab w:val="left" w:pos="720"/>
        </w:tabs>
        <w:snapToGrid w:val="0"/>
        <w:rPr>
          <w:color w:val="000000"/>
          <w:szCs w:val="22"/>
        </w:rPr>
      </w:pPr>
      <w:r>
        <w:rPr>
          <w:szCs w:val="22"/>
        </w:rPr>
        <w:t xml:space="preserve">The Enforcement Bureau of the Federal Communications Commission has </w:t>
      </w:r>
      <w:r>
        <w:rPr>
          <w:szCs w:val="22"/>
        </w:rPr>
        <w:t>entered into</w:t>
      </w:r>
      <w:r>
        <w:rPr>
          <w:szCs w:val="22"/>
        </w:rPr>
        <w:t xml:space="preserve"> a Consent Decree to resolve its investigation into whether </w:t>
      </w:r>
      <w:r>
        <w:rPr>
          <w:szCs w:val="22"/>
        </w:rPr>
        <w:t>Lunex</w:t>
      </w:r>
      <w:r>
        <w:rPr>
          <w:szCs w:val="22"/>
        </w:rPr>
        <w:t xml:space="preserve"> Telecom, Inc. (</w:t>
      </w:r>
      <w:r>
        <w:rPr>
          <w:szCs w:val="22"/>
        </w:rPr>
        <w:t>Lunex</w:t>
      </w:r>
      <w:r>
        <w:rPr>
          <w:szCs w:val="22"/>
        </w:rPr>
        <w:t>) violated the Commission’s Filing Rules.  These laws ensure that every required contributor to the Universal Service Fund “contribute[s], on an equitable and nondiscriminatory basis, to the specific, predictable, and sufficient mechanisms established by the Commission to preserve and advance universal service.”</w:t>
      </w:r>
      <w:r>
        <w:rPr>
          <w:szCs w:val="22"/>
          <w:vertAlign w:val="superscript"/>
        </w:rPr>
        <w:footnoteReference w:id="3"/>
      </w:r>
      <w:r>
        <w:rPr>
          <w:szCs w:val="22"/>
        </w:rPr>
        <w:t xml:space="preserve">  To settle this matter, </w:t>
      </w:r>
      <w:r>
        <w:rPr>
          <w:szCs w:val="22"/>
        </w:rPr>
        <w:t>Lunex</w:t>
      </w:r>
      <w:r>
        <w:rPr>
          <w:szCs w:val="22"/>
        </w:rPr>
        <w:t xml:space="preserve"> admits that it failed to timely file Worksheets and </w:t>
      </w:r>
      <w:r>
        <w:rPr>
          <w:szCs w:val="22"/>
        </w:rPr>
        <w:t>CPNI</w:t>
      </w:r>
      <w:r>
        <w:rPr>
          <w:szCs w:val="22"/>
        </w:rPr>
        <w:t xml:space="preserve"> Certifications, will implement a compliance plan, and will pay a $216,000 civil penalty. </w:t>
      </w:r>
    </w:p>
    <w:p w:rsidR="00D36867" w:rsidP="00D36867" w14:paraId="1D5BA339" w14:textId="77777777">
      <w:pPr>
        <w:pStyle w:val="ParaNum"/>
        <w:numPr>
          <w:ilvl w:val="0"/>
          <w:numId w:val="35"/>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Lunex’s</w:t>
      </w:r>
      <w:r>
        <w:rPr>
          <w:szCs w:val="22"/>
        </w:rPr>
        <w:t xml:space="preserve"> compliance Sections 159(a), 222, 251(e)(2) and 254(d) of the Communications Act of 1934, as amended (Act),</w:t>
      </w:r>
      <w:r>
        <w:rPr>
          <w:szCs w:val="22"/>
          <w:vertAlign w:val="superscript"/>
        </w:rPr>
        <w:footnoteReference w:id="4"/>
      </w:r>
      <w:r>
        <w:rPr>
          <w:szCs w:val="22"/>
        </w:rPr>
        <w:t xml:space="preserve"> and Sections 1.1154, 1.1157, 1.7001, 52.17, 52.32, 54.706, 54.707, 54.711, 54.712, 64.604, 64.1195, and 64.2009(e) of the Commission’s rules.</w:t>
      </w:r>
      <w:r>
        <w:rPr>
          <w:szCs w:val="22"/>
          <w:vertAlign w:val="superscript"/>
        </w:rPr>
        <w:footnoteReference w:id="5"/>
      </w:r>
      <w:r>
        <w:rPr>
          <w:szCs w:val="22"/>
        </w:rPr>
        <w:t xml:space="preserve"> </w:t>
      </w:r>
    </w:p>
    <w:p w:rsidR="00D36867" w:rsidP="00D36867" w14:paraId="5F919327" w14:textId="77777777">
      <w:pPr>
        <w:pStyle w:val="ParaNum"/>
        <w:numPr>
          <w:ilvl w:val="0"/>
          <w:numId w:val="35"/>
        </w:numPr>
        <w:tabs>
          <w:tab w:val="clear" w:pos="1080"/>
          <w:tab w:val="left" w:pos="1440"/>
        </w:tabs>
        <w:snapToGrid w:val="0"/>
        <w:rPr>
          <w:szCs w:val="22"/>
        </w:rPr>
      </w:pPr>
      <w:r>
        <w:rPr>
          <w:szCs w:val="22"/>
        </w:rPr>
        <w:t xml:space="preserve">In the absence of material new evidence relating to this matter, we do not set for hearing the question of </w:t>
      </w:r>
      <w:r>
        <w:rPr>
          <w:szCs w:val="22"/>
        </w:rPr>
        <w:t>Lunex’s</w:t>
      </w:r>
      <w:r>
        <w:rPr>
          <w:szCs w:val="22"/>
        </w:rPr>
        <w:t xml:space="preserve"> basic qualifications to hold or obtain any Commission license or authorization.</w:t>
      </w:r>
      <w:r>
        <w:rPr>
          <w:rStyle w:val="FootnoteReference"/>
          <w:szCs w:val="22"/>
        </w:rPr>
        <w:footnoteReference w:id="6"/>
      </w:r>
    </w:p>
    <w:p w:rsidR="00D36867" w:rsidP="00D36867" w14:paraId="6EC72A03" w14:textId="77777777">
      <w:pPr>
        <w:pStyle w:val="ParaNum"/>
        <w:numPr>
          <w:ilvl w:val="0"/>
          <w:numId w:val="35"/>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section 4(</w:t>
      </w:r>
      <w:r>
        <w:rPr>
          <w:szCs w:val="22"/>
        </w:rPr>
        <w:t>i</w:t>
      </w:r>
      <w:r>
        <w:rPr>
          <w:szCs w:val="22"/>
        </w:rPr>
        <w:t>) of the Act</w:t>
      </w:r>
      <w:r>
        <w:rPr>
          <w:rStyle w:val="FootnoteReference"/>
          <w:szCs w:val="22"/>
        </w:rPr>
        <w:footnoteReference w:id="7"/>
      </w:r>
      <w:r>
        <w:rPr>
          <w:szCs w:val="22"/>
        </w:rPr>
        <w:t xml:space="preserve"> and the authority delegated by sections 0.111 and 0.311 of the Commission’s rules,</w:t>
      </w:r>
      <w:r>
        <w:rPr>
          <w:rStyle w:val="FootnoteReference"/>
          <w:szCs w:val="22"/>
        </w:rPr>
        <w:footnoteReference w:id="8"/>
      </w:r>
      <w:r>
        <w:rPr>
          <w:szCs w:val="22"/>
        </w:rPr>
        <w:t xml:space="preserve"> the attached Consent Decree </w:t>
      </w:r>
      <w:r>
        <w:rPr>
          <w:b/>
          <w:szCs w:val="22"/>
        </w:rPr>
        <w:t xml:space="preserve">IS </w:t>
      </w:r>
      <w:r>
        <w:rPr>
          <w:b/>
          <w:szCs w:val="22"/>
        </w:rPr>
        <w:t>ADOPTED</w:t>
      </w:r>
      <w:r>
        <w:rPr>
          <w:b/>
          <w:szCs w:val="22"/>
        </w:rPr>
        <w:t xml:space="preserve"> </w:t>
      </w:r>
      <w:r>
        <w:rPr>
          <w:szCs w:val="22"/>
        </w:rPr>
        <w:t>and its terms incorporated by reference.</w:t>
      </w:r>
    </w:p>
    <w:p w:rsidR="00D36867" w:rsidP="00D36867" w14:paraId="69A3B60A" w14:textId="77777777">
      <w:pPr>
        <w:pStyle w:val="ParaNum"/>
        <w:numPr>
          <w:ilvl w:val="0"/>
          <w:numId w:val="35"/>
        </w:numPr>
        <w:tabs>
          <w:tab w:val="clear" w:pos="1080"/>
          <w:tab w:val="left" w:pos="1440"/>
        </w:tabs>
        <w:snapToGrid w:val="0"/>
        <w:rPr>
          <w:b/>
        </w:rPr>
      </w:pPr>
      <w:r>
        <w:rPr>
          <w:b/>
        </w:rPr>
        <w:t>IT IS FURTHER ORDERED</w:t>
      </w:r>
      <w:r>
        <w:t xml:space="preserve"> that the above-captioned matter </w:t>
      </w:r>
      <w:r>
        <w:rPr>
          <w:b/>
        </w:rPr>
        <w:t>IS TERMINATED</w:t>
      </w:r>
      <w:r>
        <w:t xml:space="preserve"> in accordance with the terms of the attached Consent Decree</w:t>
      </w:r>
      <w:r>
        <w:rPr>
          <w:b/>
        </w:rPr>
        <w:t>.</w:t>
      </w:r>
      <w:r>
        <w:rPr>
          <w:b/>
        </w:rPr>
        <w:br w:type="page"/>
      </w:r>
    </w:p>
    <w:p w:rsidR="00D36867" w:rsidRPr="007951D6" w:rsidP="00D36867" w14:paraId="488B8EB3" w14:textId="557FC984">
      <w:pPr>
        <w:pStyle w:val="ParaNum"/>
        <w:numPr>
          <w:ilvl w:val="0"/>
          <w:numId w:val="35"/>
        </w:numPr>
        <w:tabs>
          <w:tab w:val="clear" w:pos="1080"/>
          <w:tab w:val="left" w:pos="1440"/>
        </w:tabs>
        <w:snapToGrid w:val="0"/>
        <w:rPr>
          <w:b/>
        </w:rPr>
      </w:pPr>
      <w:r>
        <w:rPr>
          <w:b/>
        </w:rPr>
        <w:t>IT IS FURTHER ORDERED</w:t>
      </w:r>
      <w:r>
        <w:t xml:space="preserve"> that a copy of this Order and Consent Decree </w:t>
      </w:r>
      <w:r>
        <w:rPr>
          <w:color w:val="000000" w:themeColor="text1"/>
          <w:szCs w:val="22"/>
        </w:rPr>
        <w:t xml:space="preserve">shall be sent by e-mail to Edward Maldonado, Esq., counsel for </w:t>
      </w:r>
      <w:r>
        <w:rPr>
          <w:color w:val="000000" w:themeColor="text1"/>
          <w:szCs w:val="22"/>
        </w:rPr>
        <w:t>Lunex</w:t>
      </w:r>
      <w:r>
        <w:rPr>
          <w:color w:val="000000" w:themeColor="text1"/>
          <w:szCs w:val="22"/>
        </w:rPr>
        <w:t xml:space="preserve"> Telecom, Inc., at </w:t>
      </w:r>
      <w:hyperlink r:id="rId5" w:history="1">
        <w:r>
          <w:rPr>
            <w:rStyle w:val="Hyperlink"/>
            <w:szCs w:val="22"/>
          </w:rPr>
          <w:t>eam@maldonado-group.com</w:t>
        </w:r>
      </w:hyperlink>
      <w:r>
        <w:rPr>
          <w:color w:val="000000" w:themeColor="text1"/>
          <w:szCs w:val="22"/>
        </w:rPr>
        <w:t xml:space="preserve">, and to Darren </w:t>
      </w:r>
      <w:r>
        <w:rPr>
          <w:color w:val="000000" w:themeColor="text1"/>
          <w:szCs w:val="22"/>
        </w:rPr>
        <w:t>Dat</w:t>
      </w:r>
      <w:r>
        <w:rPr>
          <w:color w:val="000000" w:themeColor="text1"/>
          <w:szCs w:val="22"/>
        </w:rPr>
        <w:t xml:space="preserve"> Lu, Chief Executive Officer, </w:t>
      </w:r>
      <w:r>
        <w:rPr>
          <w:color w:val="000000" w:themeColor="text1"/>
          <w:szCs w:val="22"/>
        </w:rPr>
        <w:t>Lunex</w:t>
      </w:r>
      <w:r>
        <w:rPr>
          <w:color w:val="000000" w:themeColor="text1"/>
          <w:szCs w:val="22"/>
        </w:rPr>
        <w:t xml:space="preserve"> Telecom, Inc., at </w:t>
      </w:r>
      <w:hyperlink r:id="rId6" w:history="1">
        <w:r>
          <w:rPr>
            <w:rStyle w:val="Hyperlink"/>
            <w:szCs w:val="22"/>
          </w:rPr>
          <w:t>DarrenLu@Lunextelecom.com</w:t>
        </w:r>
      </w:hyperlink>
      <w:r>
        <w:rPr>
          <w:color w:val="000000" w:themeColor="text1"/>
          <w:szCs w:val="22"/>
        </w:rPr>
        <w:t xml:space="preserve">. </w:t>
      </w:r>
    </w:p>
    <w:p w:rsidR="007951D6" w:rsidP="007951D6" w14:paraId="2262ACB7" w14:textId="77777777">
      <w:pPr>
        <w:pStyle w:val="ParaNum"/>
        <w:numPr>
          <w:ilvl w:val="0"/>
          <w:numId w:val="0"/>
        </w:numPr>
        <w:tabs>
          <w:tab w:val="left" w:pos="1440"/>
        </w:tabs>
        <w:snapToGrid w:val="0"/>
        <w:rPr>
          <w:b/>
        </w:rPr>
      </w:pPr>
    </w:p>
    <w:p w:rsidR="00D36867" w:rsidP="00D36867" w14:paraId="2CEE468A"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FEDERAL</w:t>
      </w:r>
      <w:r>
        <w:rPr>
          <w:szCs w:val="22"/>
          <w:lang w:val="fr-FR"/>
        </w:rPr>
        <w:t xml:space="preserve"> COMMUNICATIONS COMMISSION</w:t>
      </w:r>
    </w:p>
    <w:p w:rsidR="00D36867" w:rsidP="00D36867" w14:paraId="4C14E9FC" w14:textId="77777777">
      <w:pPr>
        <w:rPr>
          <w:szCs w:val="22"/>
          <w:lang w:val="fr-FR"/>
        </w:rPr>
      </w:pPr>
    </w:p>
    <w:p w:rsidR="00D36867" w:rsidP="00D36867" w14:paraId="596137D2" w14:textId="77777777">
      <w:pPr>
        <w:rPr>
          <w:szCs w:val="22"/>
          <w:lang w:val="fr-FR"/>
        </w:rPr>
      </w:pPr>
    </w:p>
    <w:p w:rsidR="00D36867" w:rsidP="00D36867" w14:paraId="01A753E0" w14:textId="77777777">
      <w:pPr>
        <w:rPr>
          <w:szCs w:val="22"/>
          <w:lang w:val="fr-FR"/>
        </w:rPr>
      </w:pPr>
    </w:p>
    <w:p w:rsidR="00D36867" w:rsidP="00D36867" w14:paraId="0B497106" w14:textId="77777777">
      <w:pPr>
        <w:outlineLvl w:val="0"/>
        <w:rPr>
          <w:szCs w:val="22"/>
          <w:lang w:val="fr-FR"/>
        </w:rPr>
      </w:pPr>
    </w:p>
    <w:p w:rsidR="00D36867" w:rsidP="00D36867" w14:paraId="1B81B2F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 xml:space="preserve">Rosemary C. Harold </w:t>
      </w:r>
    </w:p>
    <w:p w:rsidR="00D36867" w:rsidP="00D36867" w14:paraId="59BAC2FE"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 xml:space="preserve">Chief </w:t>
      </w:r>
    </w:p>
    <w:p w:rsidR="00D36867" w:rsidP="00D36867" w14:paraId="6CD780FF" w14:textId="77777777">
      <w:pPr>
        <w:ind w:left="3600" w:firstLine="720"/>
        <w:outlineLvl w:val="0"/>
        <w:rPr>
          <w:szCs w:val="22"/>
        </w:rPr>
      </w:pPr>
      <w:r>
        <w:rPr>
          <w:szCs w:val="22"/>
        </w:rPr>
        <w:t>Enforcement Bureau</w:t>
      </w:r>
    </w:p>
    <w:p w:rsidR="00D36867" w:rsidP="00D36867" w14:paraId="227C9C64" w14:textId="77777777">
      <w:pPr>
        <w:rPr>
          <w:szCs w:val="22"/>
        </w:rPr>
      </w:pPr>
    </w:p>
    <w:p w:rsidR="00D36867" w14:paraId="0D9A00DC" w14:textId="77777777">
      <w:pPr>
        <w:widowControl/>
        <w:rPr>
          <w:rFonts w:ascii="Times New Roman Bold" w:hAnsi="Times New Roman Bold"/>
          <w:b/>
          <w:kern w:val="0"/>
          <w:szCs w:val="22"/>
        </w:rPr>
        <w:sectPr w:rsidSect="00302835">
          <w:headerReference w:type="default" r:id="rId7"/>
          <w:headerReference w:type="first" r:id="rId8"/>
          <w:footerReference w:type="first" r:id="rId9"/>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5D5E9A" w14:paraId="662DC062" w14:textId="47B53408">
      <w:pPr>
        <w:widowControl/>
        <w:rPr>
          <w:rFonts w:ascii="Times New Roman Bold" w:hAnsi="Times New Roman Bold"/>
          <w:b/>
          <w:kern w:val="0"/>
          <w:szCs w:val="22"/>
        </w:rPr>
      </w:pPr>
    </w:p>
    <w:p w:rsidR="005B4F0E" w:rsidRPr="00D62CBE" w:rsidP="005B4F0E" w14:paraId="1F926705" w14:textId="0956E8CD">
      <w:pPr>
        <w:jc w:val="center"/>
        <w:rPr>
          <w:b/>
          <w:szCs w:val="22"/>
        </w:rPr>
      </w:pPr>
      <w:r w:rsidRPr="00D62CBE">
        <w:rPr>
          <w:rFonts w:ascii="Times New Roman Bold" w:hAnsi="Times New Roman Bold"/>
          <w:b/>
          <w:kern w:val="0"/>
          <w:szCs w:val="22"/>
        </w:rPr>
        <w:t>Before</w:t>
      </w:r>
      <w:r w:rsidRPr="00D62CBE">
        <w:rPr>
          <w:b/>
          <w:szCs w:val="22"/>
        </w:rPr>
        <w:t xml:space="preserve"> the</w:t>
      </w:r>
    </w:p>
    <w:p w:rsidR="005B4F0E" w:rsidRPr="00D62CBE" w:rsidP="005B4F0E" w14:paraId="4E86E7BC" w14:textId="77777777">
      <w:pPr>
        <w:pStyle w:val="StyleBoldCentered"/>
      </w:pPr>
      <w:r w:rsidRPr="00D62CBE">
        <w:t>F</w:t>
      </w:r>
      <w:r w:rsidRPr="00D62CBE">
        <w:rPr>
          <w:caps w:val="0"/>
        </w:rPr>
        <w:t>ederal Communications Commission</w:t>
      </w:r>
    </w:p>
    <w:p w:rsidR="005B4F0E" w:rsidRPr="00D62CBE" w:rsidP="005B4F0E" w14:paraId="2874E4A0" w14:textId="77777777">
      <w:pPr>
        <w:pStyle w:val="StyleBoldCentered"/>
      </w:pPr>
      <w:r w:rsidRPr="00D62CBE">
        <w:rPr>
          <w:caps w:val="0"/>
        </w:rPr>
        <w:t>Washington, DC 20554</w:t>
      </w:r>
    </w:p>
    <w:p w:rsidR="005B4F0E" w:rsidRPr="00D62CBE" w:rsidP="005B4F0E" w14:paraId="277392FC" w14:textId="77777777">
      <w:pPr>
        <w:rPr>
          <w:szCs w:val="22"/>
        </w:rPr>
      </w:pPr>
    </w:p>
    <w:tbl>
      <w:tblPr>
        <w:tblW w:w="9576" w:type="dxa"/>
        <w:tblLayout w:type="fixed"/>
        <w:tblLook w:val="0000"/>
      </w:tblPr>
      <w:tblGrid>
        <w:gridCol w:w="4698"/>
        <w:gridCol w:w="630"/>
        <w:gridCol w:w="4248"/>
      </w:tblGrid>
      <w:tr w14:paraId="56423947" w14:textId="77777777" w:rsidTr="00051558">
        <w:tblPrEx>
          <w:tblW w:w="9576" w:type="dxa"/>
          <w:tblLayout w:type="fixed"/>
          <w:tblLook w:val="0000"/>
        </w:tblPrEx>
        <w:trPr>
          <w:trHeight w:val="2043"/>
        </w:trPr>
        <w:tc>
          <w:tcPr>
            <w:tcW w:w="4698" w:type="dxa"/>
          </w:tcPr>
          <w:p w:rsidR="005B4F0E" w:rsidRPr="00D62CBE" w:rsidP="008048A6" w14:paraId="17DAA49E" w14:textId="77777777">
            <w:pPr>
              <w:tabs>
                <w:tab w:val="center" w:pos="4680"/>
              </w:tabs>
              <w:suppressAutoHyphens/>
              <w:rPr>
                <w:spacing w:val="-2"/>
                <w:szCs w:val="22"/>
              </w:rPr>
            </w:pPr>
            <w:r w:rsidRPr="00D62CBE">
              <w:rPr>
                <w:spacing w:val="-2"/>
                <w:szCs w:val="22"/>
              </w:rPr>
              <w:t>In the Matter of</w:t>
            </w:r>
          </w:p>
          <w:p w:rsidR="005B4F0E" w:rsidRPr="00D62CBE" w:rsidP="008048A6" w14:paraId="39E9F76C" w14:textId="77777777">
            <w:pPr>
              <w:tabs>
                <w:tab w:val="center" w:pos="4680"/>
              </w:tabs>
              <w:suppressAutoHyphens/>
              <w:rPr>
                <w:spacing w:val="-2"/>
                <w:szCs w:val="22"/>
              </w:rPr>
            </w:pPr>
          </w:p>
          <w:p w:rsidR="008A1C76" w:rsidRPr="00D62CBE" w:rsidP="008048A6" w14:paraId="5FC5C2A6" w14:textId="77777777">
            <w:pPr>
              <w:tabs>
                <w:tab w:val="center" w:pos="4680"/>
              </w:tabs>
              <w:suppressAutoHyphens/>
              <w:rPr>
                <w:spacing w:val="-2"/>
                <w:szCs w:val="22"/>
              </w:rPr>
            </w:pPr>
            <w:r w:rsidRPr="00D62CBE">
              <w:rPr>
                <w:szCs w:val="22"/>
              </w:rPr>
              <w:t>Lunex</w:t>
            </w:r>
            <w:r w:rsidRPr="00D62CBE">
              <w:rPr>
                <w:szCs w:val="22"/>
              </w:rPr>
              <w:t xml:space="preserve"> Telecom, Inc.</w:t>
            </w:r>
          </w:p>
        </w:tc>
        <w:tc>
          <w:tcPr>
            <w:tcW w:w="630" w:type="dxa"/>
          </w:tcPr>
          <w:p w:rsidR="005B4F0E" w:rsidRPr="00D62CBE" w:rsidP="008048A6" w14:paraId="40C94108" w14:textId="77777777">
            <w:pPr>
              <w:tabs>
                <w:tab w:val="center" w:pos="4680"/>
              </w:tabs>
              <w:suppressAutoHyphens/>
              <w:rPr>
                <w:b/>
                <w:spacing w:val="-2"/>
                <w:szCs w:val="22"/>
              </w:rPr>
            </w:pPr>
            <w:r w:rsidRPr="00D62CBE">
              <w:rPr>
                <w:b/>
                <w:spacing w:val="-2"/>
                <w:szCs w:val="22"/>
              </w:rPr>
              <w:t>)</w:t>
            </w:r>
          </w:p>
          <w:p w:rsidR="005B4F0E" w:rsidRPr="00D62CBE" w:rsidP="008048A6" w14:paraId="03D0AAE0" w14:textId="77777777">
            <w:pPr>
              <w:tabs>
                <w:tab w:val="center" w:pos="4680"/>
              </w:tabs>
              <w:suppressAutoHyphens/>
              <w:rPr>
                <w:b/>
                <w:spacing w:val="-2"/>
                <w:szCs w:val="22"/>
              </w:rPr>
            </w:pPr>
            <w:r w:rsidRPr="00D62CBE">
              <w:rPr>
                <w:b/>
                <w:spacing w:val="-2"/>
                <w:szCs w:val="22"/>
              </w:rPr>
              <w:t>)</w:t>
            </w:r>
          </w:p>
          <w:p w:rsidR="005B4F0E" w:rsidRPr="00D62CBE" w:rsidP="008048A6" w14:paraId="7737F41E" w14:textId="77777777">
            <w:pPr>
              <w:tabs>
                <w:tab w:val="center" w:pos="4680"/>
              </w:tabs>
              <w:suppressAutoHyphens/>
              <w:rPr>
                <w:b/>
                <w:spacing w:val="-2"/>
                <w:szCs w:val="22"/>
              </w:rPr>
            </w:pPr>
            <w:r w:rsidRPr="00D62CBE">
              <w:rPr>
                <w:b/>
                <w:spacing w:val="-2"/>
                <w:szCs w:val="22"/>
              </w:rPr>
              <w:t>)</w:t>
            </w:r>
          </w:p>
          <w:p w:rsidR="005B4F0E" w:rsidRPr="00D62CBE" w:rsidP="008048A6" w14:paraId="389D0B33" w14:textId="77777777">
            <w:pPr>
              <w:tabs>
                <w:tab w:val="center" w:pos="4680"/>
              </w:tabs>
              <w:suppressAutoHyphens/>
              <w:rPr>
                <w:b/>
                <w:spacing w:val="-2"/>
                <w:szCs w:val="22"/>
              </w:rPr>
            </w:pPr>
            <w:r w:rsidRPr="00D62CBE">
              <w:rPr>
                <w:b/>
                <w:spacing w:val="-2"/>
                <w:szCs w:val="22"/>
              </w:rPr>
              <w:t>)</w:t>
            </w:r>
          </w:p>
          <w:p w:rsidR="005B4F0E" w:rsidRPr="00D62CBE" w:rsidP="00486AAF" w14:paraId="7BC3775E" w14:textId="77777777">
            <w:pPr>
              <w:tabs>
                <w:tab w:val="center" w:pos="4680"/>
              </w:tabs>
              <w:suppressAutoHyphens/>
              <w:rPr>
                <w:b/>
                <w:spacing w:val="-2"/>
                <w:szCs w:val="22"/>
              </w:rPr>
            </w:pPr>
            <w:r w:rsidRPr="00D62CBE">
              <w:rPr>
                <w:b/>
                <w:spacing w:val="-2"/>
                <w:szCs w:val="22"/>
              </w:rPr>
              <w:t>)</w:t>
            </w:r>
          </w:p>
          <w:p w:rsidR="00302835" w:rsidRPr="00D62CBE" w:rsidP="00486AAF" w14:paraId="14C75B2B" w14:textId="77777777">
            <w:pPr>
              <w:tabs>
                <w:tab w:val="center" w:pos="4680"/>
              </w:tabs>
              <w:suppressAutoHyphens/>
              <w:rPr>
                <w:b/>
                <w:spacing w:val="-2"/>
                <w:szCs w:val="22"/>
              </w:rPr>
            </w:pPr>
            <w:r w:rsidRPr="00D62CBE">
              <w:rPr>
                <w:b/>
                <w:spacing w:val="-2"/>
                <w:szCs w:val="22"/>
              </w:rPr>
              <w:t>)</w:t>
            </w:r>
          </w:p>
          <w:p w:rsidR="00076C13" w:rsidRPr="00D62CBE" w:rsidP="00486AAF" w14:paraId="3F014A93" w14:textId="77777777">
            <w:pPr>
              <w:tabs>
                <w:tab w:val="center" w:pos="4680"/>
              </w:tabs>
              <w:suppressAutoHyphens/>
              <w:rPr>
                <w:b/>
                <w:spacing w:val="-2"/>
                <w:szCs w:val="22"/>
              </w:rPr>
            </w:pPr>
            <w:r w:rsidRPr="00D62CBE">
              <w:rPr>
                <w:b/>
                <w:spacing w:val="-2"/>
                <w:szCs w:val="22"/>
              </w:rPr>
              <w:t>)</w:t>
            </w:r>
          </w:p>
          <w:p w:rsidR="00302835" w:rsidRPr="00D62CBE" w:rsidP="00486AAF" w14:paraId="2F96CDF5" w14:textId="77777777">
            <w:pPr>
              <w:tabs>
                <w:tab w:val="center" w:pos="4680"/>
              </w:tabs>
              <w:suppressAutoHyphens/>
              <w:rPr>
                <w:spacing w:val="-2"/>
                <w:szCs w:val="22"/>
              </w:rPr>
            </w:pPr>
          </w:p>
        </w:tc>
        <w:tc>
          <w:tcPr>
            <w:tcW w:w="4248" w:type="dxa"/>
          </w:tcPr>
          <w:p w:rsidR="00843A5F" w:rsidRPr="00D62CBE" w:rsidP="00076C13" w14:paraId="476800B4" w14:textId="77777777">
            <w:pPr>
              <w:tabs>
                <w:tab w:val="center" w:pos="4680"/>
              </w:tabs>
              <w:suppressAutoHyphens/>
              <w:ind w:left="432"/>
              <w:rPr>
                <w:spacing w:val="-2"/>
                <w:szCs w:val="22"/>
              </w:rPr>
            </w:pPr>
          </w:p>
          <w:p w:rsidR="00843A5F" w:rsidRPr="00D62CBE" w:rsidP="00076C13" w14:paraId="7BEFC4EA" w14:textId="77777777">
            <w:pPr>
              <w:tabs>
                <w:tab w:val="center" w:pos="4680"/>
              </w:tabs>
              <w:suppressAutoHyphens/>
              <w:ind w:left="432"/>
              <w:rPr>
                <w:spacing w:val="-2"/>
                <w:szCs w:val="22"/>
              </w:rPr>
            </w:pPr>
          </w:p>
          <w:p w:rsidR="005B4F0E" w:rsidRPr="00D62CBE" w:rsidP="00076C13" w14:paraId="386248CF" w14:textId="77777777">
            <w:pPr>
              <w:tabs>
                <w:tab w:val="center" w:pos="4680"/>
              </w:tabs>
              <w:suppressAutoHyphens/>
              <w:ind w:left="432"/>
              <w:rPr>
                <w:spacing w:val="-2"/>
                <w:szCs w:val="22"/>
              </w:rPr>
            </w:pPr>
            <w:r w:rsidRPr="00D62CBE">
              <w:rPr>
                <w:spacing w:val="-2"/>
                <w:szCs w:val="22"/>
              </w:rPr>
              <w:t xml:space="preserve">File No.:  </w:t>
            </w:r>
            <w:r w:rsidRPr="00D62CBE" w:rsidR="000F7C6D">
              <w:rPr>
                <w:spacing w:val="-2"/>
                <w:szCs w:val="22"/>
              </w:rPr>
              <w:t>EB-IHD-20-00030636</w:t>
            </w:r>
          </w:p>
          <w:p w:rsidR="005B4F0E" w:rsidRPr="00D62CBE" w:rsidP="00225B97" w14:paraId="2D8FF428" w14:textId="5E0362C1">
            <w:pPr>
              <w:ind w:left="432"/>
              <w:rPr>
                <w:spacing w:val="-2"/>
                <w:szCs w:val="22"/>
              </w:rPr>
            </w:pPr>
            <w:r w:rsidRPr="00D62CBE">
              <w:rPr>
                <w:spacing w:val="-2"/>
                <w:szCs w:val="22"/>
              </w:rPr>
              <w:t xml:space="preserve">CD </w:t>
            </w:r>
            <w:r w:rsidRPr="00D62CBE">
              <w:rPr>
                <w:spacing w:val="-2"/>
                <w:szCs w:val="22"/>
              </w:rPr>
              <w:t xml:space="preserve">Acct. No.:  </w:t>
            </w:r>
            <w:r w:rsidRPr="00D62CBE" w:rsidR="00D62CBE">
              <w:rPr>
                <w:color w:val="222222"/>
                <w:szCs w:val="22"/>
                <w:shd w:val="clear" w:color="auto" w:fill="FFFFFF"/>
              </w:rPr>
              <w:t>202132080025</w:t>
            </w:r>
          </w:p>
          <w:p w:rsidR="005B4F0E" w:rsidRPr="00D62CBE" w:rsidP="00076C13" w14:paraId="06967CE6" w14:textId="77777777">
            <w:pPr>
              <w:tabs>
                <w:tab w:val="center" w:pos="4680"/>
              </w:tabs>
              <w:suppressAutoHyphens/>
              <w:ind w:left="432"/>
              <w:rPr>
                <w:spacing w:val="-2"/>
                <w:szCs w:val="22"/>
              </w:rPr>
            </w:pPr>
            <w:r w:rsidRPr="00D62CBE">
              <w:rPr>
                <w:szCs w:val="22"/>
              </w:rPr>
              <w:t>FRN</w:t>
            </w:r>
            <w:r w:rsidRPr="00D62CBE">
              <w:rPr>
                <w:szCs w:val="22"/>
              </w:rPr>
              <w:t xml:space="preserve">:  </w:t>
            </w:r>
            <w:r w:rsidRPr="00D62CBE" w:rsidR="000F7C6D">
              <w:rPr>
                <w:spacing w:val="-2"/>
                <w:szCs w:val="22"/>
              </w:rPr>
              <w:t>0012190294</w:t>
            </w:r>
          </w:p>
        </w:tc>
      </w:tr>
    </w:tbl>
    <w:p w:rsidR="00064ADC" w:rsidRPr="00D62CBE" w:rsidP="00FD0F9C" w14:paraId="459C3BB3" w14:textId="77777777">
      <w:pPr>
        <w:pStyle w:val="StyleBoldCentered"/>
      </w:pPr>
      <w:r w:rsidRPr="00D62CBE">
        <w:t>CONSENT DECREE</w:t>
      </w:r>
    </w:p>
    <w:p w:rsidR="00064ADC" w:rsidRPr="00D62CBE" w:rsidP="00064ADC" w14:paraId="15AB12E1" w14:textId="77777777">
      <w:pPr>
        <w:pStyle w:val="StyleBoldCentered"/>
      </w:pPr>
    </w:p>
    <w:p w:rsidR="00E02214" w:rsidRPr="00D62CBE" w:rsidP="00322CA5" w14:paraId="5EFFF4D6" w14:textId="4FA3A777">
      <w:pPr>
        <w:pStyle w:val="ParaNum"/>
        <w:rPr>
          <w:szCs w:val="22"/>
        </w:rPr>
      </w:pPr>
      <w:r w:rsidRPr="00D62CBE">
        <w:rPr>
          <w:szCs w:val="22"/>
        </w:rPr>
        <w:t>The Enforcement Bureau of the Federal Communications Commission and</w:t>
      </w:r>
      <w:r w:rsidRPr="00D62CBE" w:rsidR="00302835">
        <w:rPr>
          <w:szCs w:val="22"/>
        </w:rPr>
        <w:t xml:space="preserve"> </w:t>
      </w:r>
      <w:r w:rsidRPr="00D62CBE" w:rsidR="003C190E">
        <w:rPr>
          <w:szCs w:val="22"/>
        </w:rPr>
        <w:t>Lunex</w:t>
      </w:r>
      <w:r w:rsidRPr="00D62CBE" w:rsidR="00273A6B">
        <w:rPr>
          <w:szCs w:val="22"/>
        </w:rPr>
        <w:t xml:space="preserve"> Telecom, Inc. (</w:t>
      </w:r>
      <w:r w:rsidRPr="00D62CBE" w:rsidR="00273A6B">
        <w:rPr>
          <w:szCs w:val="22"/>
        </w:rPr>
        <w:t>Lunex</w:t>
      </w:r>
      <w:r w:rsidRPr="00D62CBE" w:rsidR="00273A6B">
        <w:rPr>
          <w:szCs w:val="22"/>
        </w:rPr>
        <w:t>)</w:t>
      </w:r>
      <w:r w:rsidRPr="00D62CBE" w:rsidR="003C190E">
        <w:rPr>
          <w:szCs w:val="22"/>
        </w:rPr>
        <w:t xml:space="preserve">, </w:t>
      </w:r>
      <w:r w:rsidRPr="00D62CBE">
        <w:rPr>
          <w:szCs w:val="22"/>
        </w:rPr>
        <w:t xml:space="preserve">by their authorized representatives, hereby enter into this Consent Decree for the purpose of terminating the </w:t>
      </w:r>
      <w:r w:rsidRPr="00D62CBE" w:rsidR="00FD0F9C">
        <w:rPr>
          <w:szCs w:val="22"/>
        </w:rPr>
        <w:t xml:space="preserve">Enforcement </w:t>
      </w:r>
      <w:r w:rsidRPr="00D62CBE" w:rsidR="00B709FD">
        <w:rPr>
          <w:szCs w:val="22"/>
        </w:rPr>
        <w:t xml:space="preserve">Bureau’s </w:t>
      </w:r>
      <w:r w:rsidRPr="00D62CBE" w:rsidR="00D65117">
        <w:rPr>
          <w:szCs w:val="22"/>
        </w:rPr>
        <w:t>investigation into</w:t>
      </w:r>
      <w:r w:rsidRPr="00D62CBE">
        <w:rPr>
          <w:szCs w:val="22"/>
        </w:rPr>
        <w:t xml:space="preserve"> </w:t>
      </w:r>
      <w:r w:rsidRPr="00D62CBE" w:rsidR="00073450">
        <w:rPr>
          <w:szCs w:val="22"/>
        </w:rPr>
        <w:t>whether</w:t>
      </w:r>
      <w:r w:rsidRPr="00D62CBE" w:rsidR="00EF5FE2">
        <w:rPr>
          <w:szCs w:val="22"/>
        </w:rPr>
        <w:t xml:space="preserve"> </w:t>
      </w:r>
      <w:r w:rsidRPr="00D62CBE" w:rsidR="003C190E">
        <w:rPr>
          <w:szCs w:val="22"/>
        </w:rPr>
        <w:t>Lunex</w:t>
      </w:r>
      <w:r w:rsidRPr="00D62CBE" w:rsidR="003C190E">
        <w:rPr>
          <w:szCs w:val="22"/>
        </w:rPr>
        <w:t xml:space="preserve"> </w:t>
      </w:r>
      <w:r w:rsidRPr="00D62CBE" w:rsidR="00073450">
        <w:rPr>
          <w:szCs w:val="22"/>
        </w:rPr>
        <w:t>violated</w:t>
      </w:r>
      <w:r w:rsidRPr="00D62CBE" w:rsidR="00EF5FE2">
        <w:rPr>
          <w:szCs w:val="22"/>
        </w:rPr>
        <w:t xml:space="preserve"> </w:t>
      </w:r>
      <w:r w:rsidRPr="00D62CBE" w:rsidR="00562C22">
        <w:rPr>
          <w:szCs w:val="22"/>
        </w:rPr>
        <w:t>Section</w:t>
      </w:r>
      <w:r w:rsidRPr="00D62CBE" w:rsidR="003C190E">
        <w:rPr>
          <w:szCs w:val="22"/>
        </w:rPr>
        <w:t>s 159(a), 222, 251(e)(2) and 254(d) of the Communications Act of 1934, as amended (Act),</w:t>
      </w:r>
      <w:r>
        <w:rPr>
          <w:szCs w:val="22"/>
          <w:vertAlign w:val="superscript"/>
        </w:rPr>
        <w:footnoteReference w:id="9"/>
      </w:r>
      <w:r w:rsidRPr="00D62CBE" w:rsidR="003C190E">
        <w:rPr>
          <w:szCs w:val="22"/>
        </w:rPr>
        <w:t xml:space="preserve"> and </w:t>
      </w:r>
      <w:r w:rsidRPr="00D62CBE" w:rsidR="00562C22">
        <w:rPr>
          <w:szCs w:val="22"/>
        </w:rPr>
        <w:t>Section</w:t>
      </w:r>
      <w:r w:rsidRPr="00D62CBE" w:rsidR="003C190E">
        <w:rPr>
          <w:szCs w:val="22"/>
        </w:rPr>
        <w:t>s 1.1154, 1.1157,</w:t>
      </w:r>
      <w:r w:rsidRPr="00D62CBE" w:rsidR="003C190E">
        <w:rPr>
          <w:szCs w:val="22"/>
        </w:rPr>
        <w:t xml:space="preserve"> </w:t>
      </w:r>
      <w:r w:rsidRPr="00D62CBE" w:rsidR="00B10CD2">
        <w:rPr>
          <w:szCs w:val="22"/>
        </w:rPr>
        <w:t>1.7001</w:t>
      </w:r>
      <w:r w:rsidRPr="00D62CBE" w:rsidR="003C190E">
        <w:rPr>
          <w:szCs w:val="22"/>
        </w:rPr>
        <w:t>, 52.17, 52.32, 54.706, 54.707, 54.711, 54.712, 64.604, 64.1195, and 64.2009(e) of the Commission’s rules.</w:t>
      </w:r>
      <w:r>
        <w:rPr>
          <w:szCs w:val="22"/>
          <w:vertAlign w:val="superscript"/>
        </w:rPr>
        <w:footnoteReference w:id="10"/>
      </w:r>
      <w:r w:rsidRPr="00D62CBE" w:rsidR="003C190E">
        <w:rPr>
          <w:szCs w:val="22"/>
        </w:rPr>
        <w:t xml:space="preserve">  </w:t>
      </w:r>
      <w:r w:rsidRPr="00D62CBE" w:rsidR="00927DDF">
        <w:rPr>
          <w:szCs w:val="22"/>
        </w:rPr>
        <w:t>T</w:t>
      </w:r>
      <w:r w:rsidRPr="00D62CBE" w:rsidR="006A5BB3">
        <w:rPr>
          <w:szCs w:val="22"/>
        </w:rPr>
        <w:t>o resolve this matter</w:t>
      </w:r>
      <w:r w:rsidRPr="00D62CBE" w:rsidR="00927DDF">
        <w:rPr>
          <w:szCs w:val="22"/>
        </w:rPr>
        <w:t>,</w:t>
      </w:r>
      <w:r w:rsidRPr="00D62CBE" w:rsidR="006A5BB3">
        <w:rPr>
          <w:szCs w:val="22"/>
        </w:rPr>
        <w:t xml:space="preserve"> </w:t>
      </w:r>
      <w:r w:rsidRPr="00D62CBE" w:rsidR="00273A6B">
        <w:rPr>
          <w:szCs w:val="22"/>
        </w:rPr>
        <w:t>Lunex</w:t>
      </w:r>
      <w:r w:rsidRPr="00D62CBE" w:rsidR="006A5BB3">
        <w:rPr>
          <w:szCs w:val="22"/>
        </w:rPr>
        <w:t xml:space="preserve"> </w:t>
      </w:r>
      <w:r w:rsidRPr="00D62CBE" w:rsidR="00043FEF">
        <w:rPr>
          <w:szCs w:val="22"/>
        </w:rPr>
        <w:t xml:space="preserve">admits that it violated the provisions of the Act and the </w:t>
      </w:r>
      <w:r w:rsidRPr="00D62CBE" w:rsidR="00AE2846">
        <w:rPr>
          <w:szCs w:val="22"/>
        </w:rPr>
        <w:t>Rules</w:t>
      </w:r>
      <w:r w:rsidRPr="00D62CBE" w:rsidR="00043FEF">
        <w:rPr>
          <w:szCs w:val="22"/>
        </w:rPr>
        <w:t xml:space="preserve"> described herein, agrees to implement a compliance plan, </w:t>
      </w:r>
      <w:r w:rsidRPr="00D62CBE" w:rsidR="006A5BB3">
        <w:rPr>
          <w:szCs w:val="22"/>
        </w:rPr>
        <w:t xml:space="preserve">and </w:t>
      </w:r>
      <w:r w:rsidRPr="00D62CBE" w:rsidR="00043FEF">
        <w:rPr>
          <w:szCs w:val="22"/>
        </w:rPr>
        <w:t xml:space="preserve">will </w:t>
      </w:r>
      <w:r w:rsidRPr="00D62CBE" w:rsidR="006A5BB3">
        <w:rPr>
          <w:szCs w:val="22"/>
        </w:rPr>
        <w:t>pay a $</w:t>
      </w:r>
      <w:r w:rsidRPr="00D62CBE" w:rsidR="00273A6B">
        <w:rPr>
          <w:szCs w:val="22"/>
        </w:rPr>
        <w:t>216,000</w:t>
      </w:r>
      <w:r w:rsidRPr="00D62CBE" w:rsidR="006A5BB3">
        <w:rPr>
          <w:szCs w:val="22"/>
        </w:rPr>
        <w:t xml:space="preserve"> civil penalty.</w:t>
      </w:r>
    </w:p>
    <w:p w:rsidR="00BD08D2" w:rsidRPr="00D62CBE" w:rsidP="00E02214" w14:paraId="1C60B14D" w14:textId="77777777">
      <w:pPr>
        <w:pStyle w:val="Heading1"/>
        <w:rPr>
          <w:szCs w:val="22"/>
        </w:rPr>
      </w:pPr>
      <w:r w:rsidRPr="00D62CBE">
        <w:rPr>
          <w:szCs w:val="22"/>
        </w:rPr>
        <w:t>DEFINITIONS</w:t>
      </w:r>
    </w:p>
    <w:p w:rsidR="00BD08D2" w:rsidRPr="00D62CBE" w:rsidP="00322CA5" w14:paraId="447E9E9B" w14:textId="77777777">
      <w:pPr>
        <w:pStyle w:val="ParaNum"/>
        <w:rPr>
          <w:szCs w:val="22"/>
        </w:rPr>
      </w:pPr>
      <w:r w:rsidRPr="00D62CBE">
        <w:rPr>
          <w:szCs w:val="22"/>
        </w:rPr>
        <w:t>For the purposes of this Consent Decree, the following definitions shall apply:</w:t>
      </w:r>
    </w:p>
    <w:p w:rsidR="00BD08D2" w:rsidRPr="00D62CBE" w:rsidP="00EF1B1B" w14:paraId="48976CA9" w14:textId="77777777">
      <w:pPr>
        <w:numPr>
          <w:ilvl w:val="0"/>
          <w:numId w:val="5"/>
        </w:numPr>
        <w:tabs>
          <w:tab w:val="clear" w:pos="1224"/>
        </w:tabs>
        <w:spacing w:after="120"/>
        <w:ind w:left="1890"/>
        <w:rPr>
          <w:szCs w:val="22"/>
        </w:rPr>
      </w:pPr>
      <w:r w:rsidRPr="00D62CBE">
        <w:rPr>
          <w:szCs w:val="22"/>
        </w:rPr>
        <w:t>“Act”</w:t>
      </w:r>
      <w:r w:rsidRPr="00D62CBE">
        <w:rPr>
          <w:rStyle w:val="ParanumChar"/>
          <w:szCs w:val="22"/>
        </w:rPr>
        <w:t xml:space="preserve"> </w:t>
      </w:r>
      <w:r w:rsidRPr="00D62CBE">
        <w:rPr>
          <w:szCs w:val="22"/>
        </w:rPr>
        <w:t>means the Communications Act of 1934, as amended</w:t>
      </w:r>
      <w:r w:rsidRPr="00D62CBE" w:rsidR="00610208">
        <w:rPr>
          <w:szCs w:val="22"/>
        </w:rPr>
        <w:t>.</w:t>
      </w:r>
      <w:r>
        <w:rPr>
          <w:rStyle w:val="FootnoteReference"/>
          <w:sz w:val="22"/>
          <w:szCs w:val="22"/>
        </w:rPr>
        <w:footnoteReference w:id="11"/>
      </w:r>
    </w:p>
    <w:p w:rsidR="00BD08D2" w:rsidRPr="00D62CBE" w:rsidP="00EF1B1B" w14:paraId="74306CC1" w14:textId="77777777">
      <w:pPr>
        <w:numPr>
          <w:ilvl w:val="0"/>
          <w:numId w:val="5"/>
        </w:numPr>
        <w:tabs>
          <w:tab w:val="clear" w:pos="1224"/>
        </w:tabs>
        <w:spacing w:after="120"/>
        <w:ind w:left="1890"/>
        <w:rPr>
          <w:szCs w:val="22"/>
        </w:rPr>
      </w:pPr>
      <w:r w:rsidRPr="00D62CBE">
        <w:rPr>
          <w:szCs w:val="22"/>
        </w:rPr>
        <w:t>“Adopting</w:t>
      </w:r>
      <w:r w:rsidRPr="00D62CBE" w:rsidR="00246786">
        <w:rPr>
          <w:szCs w:val="22"/>
        </w:rPr>
        <w:t xml:space="preserve"> Order” means an o</w:t>
      </w:r>
      <w:r w:rsidRPr="00D62CBE">
        <w:rPr>
          <w:szCs w:val="22"/>
        </w:rPr>
        <w:t>rder of the Bureau adopting the terms of this Consent Decree without change, addition, deletion, or modification.</w:t>
      </w:r>
    </w:p>
    <w:p w:rsidR="00BD08D2" w:rsidRPr="00D62CBE" w:rsidP="00EF1B1B" w14:paraId="00C90E65" w14:textId="77777777">
      <w:pPr>
        <w:numPr>
          <w:ilvl w:val="0"/>
          <w:numId w:val="5"/>
        </w:numPr>
        <w:tabs>
          <w:tab w:val="clear" w:pos="1224"/>
        </w:tabs>
        <w:spacing w:after="120"/>
        <w:ind w:left="1890"/>
        <w:rPr>
          <w:szCs w:val="22"/>
        </w:rPr>
      </w:pPr>
      <w:r w:rsidRPr="00D62CBE">
        <w:rPr>
          <w:szCs w:val="22"/>
        </w:rPr>
        <w:t>“Bureau” means the Enforcement Bureau of the Federal Communications Commission.</w:t>
      </w:r>
    </w:p>
    <w:p w:rsidR="00887F97" w:rsidRPr="00D62CBE" w:rsidP="00EF1B1B" w14:paraId="3C39E9EB" w14:textId="62C7A44B">
      <w:pPr>
        <w:numPr>
          <w:ilvl w:val="0"/>
          <w:numId w:val="5"/>
        </w:numPr>
        <w:tabs>
          <w:tab w:val="clear" w:pos="1224"/>
        </w:tabs>
        <w:spacing w:after="120"/>
        <w:ind w:left="1890"/>
        <w:rPr>
          <w:szCs w:val="22"/>
        </w:rPr>
      </w:pPr>
      <w:r w:rsidRPr="00D62CBE">
        <w:rPr>
          <w:szCs w:val="22"/>
        </w:rPr>
        <w:t xml:space="preserve">“CD Acct No.” means account number </w:t>
      </w:r>
      <w:r w:rsidRPr="00D62CBE" w:rsidR="00D62CBE">
        <w:rPr>
          <w:color w:val="222222"/>
          <w:szCs w:val="22"/>
          <w:shd w:val="clear" w:color="auto" w:fill="FFFFFF"/>
        </w:rPr>
        <w:t>202132080025</w:t>
      </w:r>
      <w:r w:rsidRPr="00D62CBE">
        <w:rPr>
          <w:szCs w:val="22"/>
        </w:rPr>
        <w:t xml:space="preserve">, associated with payment obligations described in paragraph </w:t>
      </w:r>
      <w:r w:rsidRPr="00D62CBE" w:rsidR="00AA5CC3">
        <w:rPr>
          <w:szCs w:val="22"/>
        </w:rPr>
        <w:t>20</w:t>
      </w:r>
      <w:r w:rsidRPr="00D62CBE">
        <w:rPr>
          <w:szCs w:val="22"/>
        </w:rPr>
        <w:t xml:space="preserve"> of this Consent Decree.</w:t>
      </w:r>
      <w:r w:rsidRPr="00D62CBE" w:rsidR="00620F5E">
        <w:rPr>
          <w:szCs w:val="22"/>
        </w:rPr>
        <w:t xml:space="preserve"> </w:t>
      </w:r>
      <w:r w:rsidRPr="00D62CBE" w:rsidR="00D4526F">
        <w:rPr>
          <w:b/>
          <w:bCs/>
          <w:szCs w:val="22"/>
        </w:rPr>
        <w:t xml:space="preserve"> </w:t>
      </w:r>
    </w:p>
    <w:p w:rsidR="00BD08D2" w:rsidRPr="00D62CBE" w:rsidP="00EF1B1B" w14:paraId="14CFC32D" w14:textId="77777777">
      <w:pPr>
        <w:numPr>
          <w:ilvl w:val="0"/>
          <w:numId w:val="5"/>
        </w:numPr>
        <w:tabs>
          <w:tab w:val="clear" w:pos="1224"/>
        </w:tabs>
        <w:spacing w:after="120"/>
        <w:ind w:left="1890"/>
        <w:rPr>
          <w:szCs w:val="22"/>
        </w:rPr>
      </w:pPr>
      <w:r w:rsidRPr="00D62CBE">
        <w:rPr>
          <w:szCs w:val="22"/>
        </w:rPr>
        <w:t xml:space="preserve">“Commission” and “FCC” mean the Federal Communications Commission and </w:t>
      </w:r>
      <w:r w:rsidRPr="00D62CBE">
        <w:rPr>
          <w:szCs w:val="22"/>
        </w:rPr>
        <w:t>all of</w:t>
      </w:r>
      <w:r w:rsidRPr="00D62CBE">
        <w:rPr>
          <w:szCs w:val="22"/>
        </w:rPr>
        <w:t xml:space="preserve"> its bureaus and offices.</w:t>
      </w:r>
    </w:p>
    <w:p w:rsidR="00BD08D2" w:rsidRPr="00D62CBE" w:rsidP="00EF1B1B" w14:paraId="017F5C62" w14:textId="77777777">
      <w:pPr>
        <w:numPr>
          <w:ilvl w:val="0"/>
          <w:numId w:val="5"/>
        </w:numPr>
        <w:tabs>
          <w:tab w:val="clear" w:pos="1224"/>
        </w:tabs>
        <w:spacing w:after="120"/>
        <w:ind w:left="1890"/>
        <w:rPr>
          <w:szCs w:val="22"/>
        </w:rPr>
      </w:pPr>
      <w:r w:rsidRPr="00D62CBE">
        <w:rPr>
          <w:szCs w:val="22"/>
        </w:rPr>
        <w:t>“Communications Laws” means collectively, the Act, the Rules, and the published and promulgated orders and decision</w:t>
      </w:r>
      <w:r w:rsidRPr="00D62CBE" w:rsidR="00302835">
        <w:rPr>
          <w:szCs w:val="22"/>
        </w:rPr>
        <w:t xml:space="preserve">s of the Commission to which </w:t>
      </w:r>
      <w:r w:rsidRPr="00D62CBE" w:rsidR="00D4526F">
        <w:rPr>
          <w:szCs w:val="22"/>
        </w:rPr>
        <w:t>Lunex</w:t>
      </w:r>
      <w:r w:rsidRPr="00D62CBE">
        <w:rPr>
          <w:szCs w:val="22"/>
        </w:rPr>
        <w:t xml:space="preserve"> is subject by vi</w:t>
      </w:r>
      <w:r w:rsidRPr="00D62CBE" w:rsidR="00246786">
        <w:rPr>
          <w:szCs w:val="22"/>
        </w:rPr>
        <w:t>rtue of its business activities</w:t>
      </w:r>
      <w:r w:rsidRPr="00D62CBE" w:rsidR="008155A1">
        <w:rPr>
          <w:szCs w:val="22"/>
        </w:rPr>
        <w:t xml:space="preserve">, including but not limited to the </w:t>
      </w:r>
      <w:r w:rsidRPr="00D62CBE" w:rsidR="00D4526F">
        <w:rPr>
          <w:szCs w:val="22"/>
        </w:rPr>
        <w:t>Filing</w:t>
      </w:r>
      <w:r w:rsidRPr="00D62CBE" w:rsidR="008155A1">
        <w:rPr>
          <w:szCs w:val="22"/>
        </w:rPr>
        <w:t xml:space="preserve"> Rules</w:t>
      </w:r>
      <w:r w:rsidRPr="00D62CBE">
        <w:rPr>
          <w:szCs w:val="22"/>
        </w:rPr>
        <w:t>.</w:t>
      </w:r>
    </w:p>
    <w:p w:rsidR="00BD08D2" w:rsidRPr="00D62CBE" w:rsidP="00EF1B1B" w14:paraId="0E07D693" w14:textId="58245AA5">
      <w:pPr>
        <w:numPr>
          <w:ilvl w:val="0"/>
          <w:numId w:val="5"/>
        </w:numPr>
        <w:tabs>
          <w:tab w:val="clear" w:pos="1224"/>
        </w:tabs>
        <w:spacing w:after="120"/>
        <w:ind w:left="1890"/>
        <w:rPr>
          <w:szCs w:val="22"/>
        </w:rPr>
      </w:pPr>
      <w:r w:rsidRPr="00D62CBE">
        <w:rPr>
          <w:szCs w:val="22"/>
        </w:rPr>
        <w:t>“Compliance Plan” means the compliance obligations</w:t>
      </w:r>
      <w:r w:rsidRPr="00D62CBE" w:rsidR="008155A1">
        <w:rPr>
          <w:szCs w:val="22"/>
        </w:rPr>
        <w:t xml:space="preserve">, </w:t>
      </w:r>
      <w:r w:rsidRPr="00D62CBE">
        <w:rPr>
          <w:szCs w:val="22"/>
        </w:rPr>
        <w:t>program</w:t>
      </w:r>
      <w:r w:rsidRPr="00D62CBE" w:rsidR="008155A1">
        <w:rPr>
          <w:szCs w:val="22"/>
        </w:rPr>
        <w:t>, and procedures</w:t>
      </w:r>
      <w:r w:rsidRPr="00D62CBE" w:rsidR="00BC7821">
        <w:rPr>
          <w:szCs w:val="22"/>
        </w:rPr>
        <w:t xml:space="preserve"> d</w:t>
      </w:r>
      <w:r w:rsidRPr="00D62CBE">
        <w:rPr>
          <w:szCs w:val="22"/>
        </w:rPr>
        <w:t>escribed in this Consent Decree at paragraph</w:t>
      </w:r>
      <w:r w:rsidRPr="00D62CBE" w:rsidR="00FB39CB">
        <w:rPr>
          <w:szCs w:val="22"/>
        </w:rPr>
        <w:t xml:space="preserve"> </w:t>
      </w:r>
      <w:r w:rsidRPr="00D62CBE" w:rsidR="00AA5CC3">
        <w:rPr>
          <w:szCs w:val="22"/>
        </w:rPr>
        <w:t>15.</w:t>
      </w:r>
    </w:p>
    <w:p w:rsidR="00BD08D2" w:rsidRPr="00D62CBE" w:rsidP="00EF1B1B" w14:paraId="5DBF7701" w14:textId="1F56E71C">
      <w:pPr>
        <w:numPr>
          <w:ilvl w:val="0"/>
          <w:numId w:val="5"/>
        </w:numPr>
        <w:tabs>
          <w:tab w:val="clear" w:pos="1224"/>
        </w:tabs>
        <w:spacing w:after="120"/>
        <w:ind w:left="1890"/>
        <w:rPr>
          <w:szCs w:val="22"/>
        </w:rPr>
      </w:pPr>
      <w:r w:rsidRPr="00D62CBE">
        <w:rPr>
          <w:szCs w:val="22"/>
        </w:rPr>
        <w:t>“Covered Employees” me</w:t>
      </w:r>
      <w:r w:rsidRPr="00D62CBE" w:rsidR="00FB39CB">
        <w:rPr>
          <w:szCs w:val="22"/>
        </w:rPr>
        <w:t xml:space="preserve">ans all employees and agents of </w:t>
      </w:r>
      <w:r w:rsidRPr="00D62CBE" w:rsidR="00DD6651">
        <w:rPr>
          <w:szCs w:val="22"/>
        </w:rPr>
        <w:t>Lunex</w:t>
      </w:r>
      <w:r w:rsidRPr="00D62CBE" w:rsidR="00DD6651">
        <w:rPr>
          <w:szCs w:val="22"/>
        </w:rPr>
        <w:t xml:space="preserve"> </w:t>
      </w:r>
      <w:r w:rsidRPr="00D62CBE">
        <w:rPr>
          <w:szCs w:val="22"/>
        </w:rPr>
        <w:t xml:space="preserve">who perform, supervise, oversee, or manage the performance of, duties that relate to </w:t>
      </w:r>
      <w:r w:rsidRPr="00D62CBE" w:rsidR="00DD6651">
        <w:rPr>
          <w:szCs w:val="22"/>
        </w:rPr>
        <w:t>Lunex</w:t>
      </w:r>
      <w:r w:rsidRPr="00D62CBE">
        <w:rPr>
          <w:szCs w:val="22"/>
        </w:rPr>
        <w:t>’s</w:t>
      </w:r>
      <w:r w:rsidRPr="00D62CBE">
        <w:rPr>
          <w:szCs w:val="22"/>
        </w:rPr>
        <w:t xml:space="preserve"> responsibilities under the Communications Laws, including the </w:t>
      </w:r>
      <w:r w:rsidRPr="00D62CBE" w:rsidR="00DD6651">
        <w:rPr>
          <w:szCs w:val="22"/>
        </w:rPr>
        <w:t>Filing</w:t>
      </w:r>
      <w:r w:rsidRPr="00D62CBE" w:rsidR="00FB39CB">
        <w:rPr>
          <w:szCs w:val="22"/>
        </w:rPr>
        <w:t xml:space="preserve"> </w:t>
      </w:r>
      <w:r w:rsidRPr="00D62CBE">
        <w:rPr>
          <w:szCs w:val="22"/>
        </w:rPr>
        <w:t>Rules.</w:t>
      </w:r>
    </w:p>
    <w:p w:rsidR="00BD08D2" w:rsidRPr="00D62CBE" w:rsidP="00B63FCF" w14:paraId="15455026" w14:textId="04B1A826">
      <w:pPr>
        <w:widowControl/>
        <w:numPr>
          <w:ilvl w:val="0"/>
          <w:numId w:val="5"/>
        </w:numPr>
        <w:tabs>
          <w:tab w:val="clear" w:pos="1224"/>
        </w:tabs>
        <w:spacing w:after="120"/>
        <w:ind w:left="1886"/>
        <w:rPr>
          <w:szCs w:val="22"/>
        </w:rPr>
      </w:pPr>
      <w:r w:rsidRPr="00D62CBE">
        <w:rPr>
          <w:szCs w:val="22"/>
        </w:rPr>
        <w:t>“Effective</w:t>
      </w:r>
      <w:r w:rsidRPr="00D62CBE" w:rsidR="00CE68FE">
        <w:rPr>
          <w:szCs w:val="22"/>
        </w:rPr>
        <w:t xml:space="preserve"> Date” means the date by</w:t>
      </w:r>
      <w:r w:rsidRPr="00D62CBE" w:rsidR="00C04651">
        <w:rPr>
          <w:szCs w:val="22"/>
        </w:rPr>
        <w:t xml:space="preserve"> which </w:t>
      </w:r>
      <w:r w:rsidRPr="00D62CBE" w:rsidR="00CE68FE">
        <w:rPr>
          <w:szCs w:val="22"/>
        </w:rPr>
        <w:t xml:space="preserve">both </w:t>
      </w:r>
      <w:r w:rsidRPr="00D62CBE" w:rsidR="00C04651">
        <w:rPr>
          <w:szCs w:val="22"/>
        </w:rPr>
        <w:t xml:space="preserve">the Bureau </w:t>
      </w:r>
      <w:r w:rsidRPr="00D62CBE" w:rsidR="00CE68FE">
        <w:rPr>
          <w:szCs w:val="22"/>
        </w:rPr>
        <w:t xml:space="preserve">and </w:t>
      </w:r>
      <w:r w:rsidRPr="00D62CBE" w:rsidR="00DD6651">
        <w:rPr>
          <w:szCs w:val="22"/>
        </w:rPr>
        <w:t>Lunex</w:t>
      </w:r>
      <w:r w:rsidRPr="00D62CBE" w:rsidR="00CE68FE">
        <w:rPr>
          <w:szCs w:val="22"/>
        </w:rPr>
        <w:t xml:space="preserve"> have signed the Consent Decree</w:t>
      </w:r>
      <w:r w:rsidRPr="00D62CBE" w:rsidR="00F1082C">
        <w:rPr>
          <w:szCs w:val="22"/>
        </w:rPr>
        <w:t xml:space="preserve"> and the Bureau has released an Adopting Order</w:t>
      </w:r>
      <w:r w:rsidRPr="00D62CBE" w:rsidR="00C04651">
        <w:rPr>
          <w:szCs w:val="22"/>
        </w:rPr>
        <w:t>.</w:t>
      </w:r>
    </w:p>
    <w:p w:rsidR="00636B40" w:rsidRPr="00D62CBE" w:rsidP="00D4526F" w14:paraId="64ECCE43" w14:textId="65C1D217">
      <w:pPr>
        <w:numPr>
          <w:ilvl w:val="0"/>
          <w:numId w:val="5"/>
        </w:numPr>
        <w:tabs>
          <w:tab w:val="clear" w:pos="1224"/>
        </w:tabs>
        <w:spacing w:after="120"/>
        <w:ind w:left="1890"/>
        <w:rPr>
          <w:szCs w:val="22"/>
        </w:rPr>
      </w:pPr>
      <w:r w:rsidRPr="00D62CBE">
        <w:rPr>
          <w:szCs w:val="22"/>
        </w:rPr>
        <w:t xml:space="preserve">“Filing Rules” means </w:t>
      </w:r>
      <w:r w:rsidRPr="00D62CBE" w:rsidR="00562C22">
        <w:rPr>
          <w:szCs w:val="22"/>
        </w:rPr>
        <w:t>Section</w:t>
      </w:r>
      <w:r w:rsidRPr="00D62CBE">
        <w:rPr>
          <w:szCs w:val="22"/>
        </w:rPr>
        <w:t>s 222, 251(e)(2) and 254(d) of the Act;</w:t>
      </w:r>
      <w:r>
        <w:rPr>
          <w:szCs w:val="22"/>
          <w:vertAlign w:val="superscript"/>
        </w:rPr>
        <w:footnoteReference w:id="12"/>
      </w:r>
      <w:r w:rsidRPr="00D62CBE">
        <w:rPr>
          <w:szCs w:val="22"/>
        </w:rPr>
        <w:t xml:space="preserve"> </w:t>
      </w:r>
      <w:r w:rsidRPr="00D62CBE" w:rsidR="00562C22">
        <w:rPr>
          <w:szCs w:val="22"/>
        </w:rPr>
        <w:t>Section</w:t>
      </w:r>
      <w:r w:rsidRPr="00D62CBE">
        <w:rPr>
          <w:szCs w:val="22"/>
        </w:rPr>
        <w:t>s</w:t>
      </w:r>
      <w:r w:rsidRPr="00D62CBE" w:rsidR="00CB428E">
        <w:rPr>
          <w:szCs w:val="22"/>
        </w:rPr>
        <w:t xml:space="preserve"> 1.7001-02</w:t>
      </w:r>
      <w:r w:rsidRPr="00D62CBE">
        <w:rPr>
          <w:szCs w:val="22"/>
        </w:rPr>
        <w:t xml:space="preserve">, 52.17, 52.32, 54.711, 64.604, and 64.2009(e) of the </w:t>
      </w:r>
      <w:r w:rsidRPr="00D62CBE" w:rsidR="00215593">
        <w:rPr>
          <w:szCs w:val="22"/>
        </w:rPr>
        <w:t>R</w:t>
      </w:r>
      <w:r w:rsidRPr="00D62CBE">
        <w:rPr>
          <w:szCs w:val="22"/>
        </w:rPr>
        <w:t>ules;</w:t>
      </w:r>
      <w:r>
        <w:rPr>
          <w:szCs w:val="22"/>
          <w:vertAlign w:val="superscript"/>
        </w:rPr>
        <w:footnoteReference w:id="13"/>
      </w:r>
      <w:r w:rsidRPr="00D62CBE">
        <w:rPr>
          <w:szCs w:val="22"/>
        </w:rPr>
        <w:t xml:space="preserve"> and other provisions of the Act, the Rules, and Commission orders related to the filing of Worksheets</w:t>
      </w:r>
      <w:r w:rsidRPr="00D62CBE" w:rsidR="00DD6651">
        <w:rPr>
          <w:szCs w:val="22"/>
        </w:rPr>
        <w:t>,</w:t>
      </w:r>
      <w:r w:rsidRPr="00D62CBE">
        <w:rPr>
          <w:szCs w:val="22"/>
        </w:rPr>
        <w:t xml:space="preserve"> </w:t>
      </w:r>
      <w:r w:rsidRPr="00D62CBE">
        <w:rPr>
          <w:color w:val="000000"/>
          <w:szCs w:val="22"/>
          <w:shd w:val="clear" w:color="auto" w:fill="FFFFFF"/>
        </w:rPr>
        <w:t>CPNI</w:t>
      </w:r>
      <w:r w:rsidRPr="00D62CBE">
        <w:rPr>
          <w:color w:val="000000"/>
          <w:szCs w:val="22"/>
          <w:shd w:val="clear" w:color="auto" w:fill="FFFFFF"/>
        </w:rPr>
        <w:t xml:space="preserve"> Certifications</w:t>
      </w:r>
      <w:r w:rsidRPr="00D62CBE" w:rsidR="00DD6651">
        <w:rPr>
          <w:color w:val="000000"/>
          <w:szCs w:val="22"/>
          <w:shd w:val="clear" w:color="auto" w:fill="FFFFFF"/>
        </w:rPr>
        <w:t xml:space="preserve">, </w:t>
      </w:r>
      <w:r w:rsidRPr="00D62CBE" w:rsidR="00CB428E">
        <w:rPr>
          <w:color w:val="000000"/>
          <w:szCs w:val="22"/>
          <w:shd w:val="clear" w:color="auto" w:fill="FFFFFF"/>
        </w:rPr>
        <w:t xml:space="preserve">Advanced Telecommunications Capability Data, </w:t>
      </w:r>
      <w:r w:rsidRPr="00D62CBE">
        <w:rPr>
          <w:color w:val="000000"/>
          <w:szCs w:val="22"/>
          <w:shd w:val="clear" w:color="auto" w:fill="FFFFFF"/>
        </w:rPr>
        <w:t>and responses to Letters of Inquiry issued by the Bureau.</w:t>
      </w:r>
      <w:r w:rsidRPr="00D62CBE">
        <w:rPr>
          <w:color w:val="000000"/>
          <w:szCs w:val="22"/>
        </w:rPr>
        <w:t xml:space="preserve">  </w:t>
      </w:r>
      <w:r w:rsidRPr="00D62CBE">
        <w:rPr>
          <w:szCs w:val="22"/>
        </w:rPr>
        <w:t xml:space="preserve">  </w:t>
      </w:r>
    </w:p>
    <w:p w:rsidR="00BD08D2" w:rsidRPr="00D62CBE" w:rsidP="00D4526F" w14:paraId="3B937914" w14:textId="69906E85">
      <w:pPr>
        <w:numPr>
          <w:ilvl w:val="0"/>
          <w:numId w:val="5"/>
        </w:numPr>
        <w:tabs>
          <w:tab w:val="clear" w:pos="1224"/>
        </w:tabs>
        <w:spacing w:after="120"/>
        <w:ind w:left="1890"/>
        <w:rPr>
          <w:szCs w:val="22"/>
        </w:rPr>
      </w:pPr>
      <w:r w:rsidRPr="00D62CBE">
        <w:rPr>
          <w:szCs w:val="22"/>
        </w:rPr>
        <w:t>“Investigation” m</w:t>
      </w:r>
      <w:r w:rsidRPr="00D62CBE" w:rsidR="00073450">
        <w:rPr>
          <w:szCs w:val="22"/>
        </w:rPr>
        <w:t>eans the investigation commenced</w:t>
      </w:r>
      <w:r w:rsidRPr="00D62CBE">
        <w:rPr>
          <w:szCs w:val="22"/>
        </w:rPr>
        <w:t xml:space="preserve"> by the Bureau in </w:t>
      </w:r>
      <w:r w:rsidRPr="00D62CBE" w:rsidR="00D4526F">
        <w:rPr>
          <w:spacing w:val="-2"/>
          <w:szCs w:val="22"/>
        </w:rPr>
        <w:t>EB-IHD-20-00030636</w:t>
      </w:r>
      <w:r w:rsidRPr="00D62CBE" w:rsidR="00AD6D76">
        <w:rPr>
          <w:szCs w:val="22"/>
        </w:rPr>
        <w:t xml:space="preserve"> </w:t>
      </w:r>
      <w:r w:rsidRPr="00D62CBE">
        <w:rPr>
          <w:szCs w:val="22"/>
        </w:rPr>
        <w:t xml:space="preserve">regarding </w:t>
      </w:r>
      <w:r w:rsidRPr="00D62CBE" w:rsidR="00073450">
        <w:rPr>
          <w:szCs w:val="22"/>
        </w:rPr>
        <w:t xml:space="preserve">whether </w:t>
      </w:r>
      <w:r w:rsidRPr="00D62CBE" w:rsidR="00D4526F">
        <w:rPr>
          <w:szCs w:val="22"/>
        </w:rPr>
        <w:t>Lunex</w:t>
      </w:r>
      <w:r w:rsidRPr="00D62CBE" w:rsidR="00CF1B2D">
        <w:rPr>
          <w:szCs w:val="22"/>
        </w:rPr>
        <w:t xml:space="preserve"> </w:t>
      </w:r>
      <w:r w:rsidRPr="00D62CBE" w:rsidR="00073450">
        <w:rPr>
          <w:szCs w:val="22"/>
        </w:rPr>
        <w:t xml:space="preserve">violated </w:t>
      </w:r>
      <w:r w:rsidRPr="00D62CBE">
        <w:rPr>
          <w:szCs w:val="22"/>
        </w:rPr>
        <w:t xml:space="preserve">the </w:t>
      </w:r>
      <w:r w:rsidRPr="00D62CBE" w:rsidR="00D4526F">
        <w:rPr>
          <w:szCs w:val="22"/>
        </w:rPr>
        <w:t>Filing</w:t>
      </w:r>
      <w:r w:rsidRPr="00D62CBE" w:rsidR="00AD6D76">
        <w:rPr>
          <w:szCs w:val="22"/>
        </w:rPr>
        <w:t xml:space="preserve"> Rules</w:t>
      </w:r>
      <w:r w:rsidRPr="00D62CBE">
        <w:rPr>
          <w:szCs w:val="22"/>
        </w:rPr>
        <w:t>.</w:t>
      </w:r>
    </w:p>
    <w:p w:rsidR="00D4526F" w:rsidRPr="00D62CBE" w:rsidP="00D4526F" w14:paraId="2398C93D" w14:textId="7F3F84A4">
      <w:pPr>
        <w:numPr>
          <w:ilvl w:val="0"/>
          <w:numId w:val="5"/>
        </w:numPr>
        <w:tabs>
          <w:tab w:val="clear" w:pos="1224"/>
        </w:tabs>
        <w:spacing w:after="120"/>
        <w:ind w:left="1890"/>
        <w:rPr>
          <w:szCs w:val="22"/>
        </w:rPr>
      </w:pPr>
      <w:r w:rsidRPr="00D62CBE">
        <w:rPr>
          <w:iCs/>
          <w:szCs w:val="22"/>
        </w:rPr>
        <w:t>“</w:t>
      </w:r>
      <w:r w:rsidRPr="00D62CBE">
        <w:rPr>
          <w:iCs/>
          <w:szCs w:val="22"/>
        </w:rPr>
        <w:t>LOI</w:t>
      </w:r>
      <w:r w:rsidRPr="00D62CBE">
        <w:rPr>
          <w:iCs/>
          <w:szCs w:val="22"/>
        </w:rPr>
        <w:t xml:space="preserve">” means the Letter of Inquiry issued on February 19, 2020, by the Bureau to </w:t>
      </w:r>
      <w:r w:rsidRPr="00D62CBE">
        <w:rPr>
          <w:iCs/>
          <w:szCs w:val="22"/>
        </w:rPr>
        <w:t>Lunex</w:t>
      </w:r>
      <w:r w:rsidRPr="00D62CBE">
        <w:rPr>
          <w:iCs/>
          <w:szCs w:val="22"/>
        </w:rPr>
        <w:t xml:space="preserve"> </w:t>
      </w:r>
      <w:r w:rsidRPr="00D62CBE">
        <w:rPr>
          <w:szCs w:val="22"/>
        </w:rPr>
        <w:t xml:space="preserve">in </w:t>
      </w:r>
      <w:r w:rsidRPr="00D62CBE">
        <w:rPr>
          <w:spacing w:val="-2"/>
          <w:szCs w:val="22"/>
        </w:rPr>
        <w:t>EB-IHD-20-000</w:t>
      </w:r>
      <w:r w:rsidRPr="00D62CBE">
        <w:rPr>
          <w:bCs/>
          <w:szCs w:val="22"/>
        </w:rPr>
        <w:t xml:space="preserve">30636 </w:t>
      </w:r>
      <w:r w:rsidRPr="00D62CBE">
        <w:rPr>
          <w:iCs/>
          <w:szCs w:val="22"/>
        </w:rPr>
        <w:t xml:space="preserve">in connection with the Company’s compliance with </w:t>
      </w:r>
      <w:r w:rsidRPr="00D62CBE" w:rsidR="00562C22">
        <w:rPr>
          <w:iCs/>
          <w:szCs w:val="22"/>
        </w:rPr>
        <w:t>Section</w:t>
      </w:r>
      <w:r w:rsidRPr="00D62CBE">
        <w:rPr>
          <w:szCs w:val="22"/>
        </w:rPr>
        <w:t>s 159(a), 222, 251(e)(2) and 254(d) of the Act,</w:t>
      </w:r>
      <w:r>
        <w:rPr>
          <w:szCs w:val="22"/>
          <w:vertAlign w:val="superscript"/>
        </w:rPr>
        <w:footnoteReference w:id="14"/>
      </w:r>
      <w:r w:rsidRPr="00D62CBE">
        <w:rPr>
          <w:szCs w:val="22"/>
        </w:rPr>
        <w:t xml:space="preserve"> and </w:t>
      </w:r>
      <w:r w:rsidRPr="00D62CBE" w:rsidR="00562C22">
        <w:rPr>
          <w:szCs w:val="22"/>
        </w:rPr>
        <w:t>Section</w:t>
      </w:r>
      <w:r w:rsidRPr="00D62CBE">
        <w:rPr>
          <w:szCs w:val="22"/>
        </w:rPr>
        <w:t>s 1.1154, 1.1157,</w:t>
      </w:r>
      <w:r w:rsidRPr="00D62CBE">
        <w:rPr>
          <w:szCs w:val="22"/>
        </w:rPr>
        <w:t xml:space="preserve"> </w:t>
      </w:r>
      <w:r w:rsidRPr="00D62CBE">
        <w:rPr>
          <w:szCs w:val="22"/>
        </w:rPr>
        <w:t xml:space="preserve">1.7001, 52.17, 52.32, 54.706, 54.707, 54.711, 54.712, 64.604, 64.1195, and 64.2009(e) of the </w:t>
      </w:r>
      <w:r w:rsidRPr="00D62CBE" w:rsidR="00215593">
        <w:rPr>
          <w:szCs w:val="22"/>
        </w:rPr>
        <w:t>R</w:t>
      </w:r>
      <w:r w:rsidRPr="00D62CBE">
        <w:rPr>
          <w:szCs w:val="22"/>
        </w:rPr>
        <w:t>ules.</w:t>
      </w:r>
      <w:r>
        <w:rPr>
          <w:szCs w:val="22"/>
          <w:vertAlign w:val="superscript"/>
        </w:rPr>
        <w:footnoteReference w:id="15"/>
      </w:r>
    </w:p>
    <w:p w:rsidR="00D4526F" w:rsidRPr="00D62CBE" w:rsidP="00D4526F" w14:paraId="376CDBE3" w14:textId="3426D1D9">
      <w:pPr>
        <w:numPr>
          <w:ilvl w:val="0"/>
          <w:numId w:val="5"/>
        </w:numPr>
        <w:tabs>
          <w:tab w:val="clear" w:pos="1224"/>
        </w:tabs>
        <w:spacing w:after="120"/>
        <w:ind w:left="1890"/>
        <w:rPr>
          <w:szCs w:val="22"/>
        </w:rPr>
      </w:pPr>
      <w:r w:rsidRPr="00D62CBE">
        <w:rPr>
          <w:szCs w:val="22"/>
        </w:rPr>
        <w:t>“</w:t>
      </w:r>
      <w:r w:rsidRPr="00D62CBE">
        <w:rPr>
          <w:szCs w:val="22"/>
        </w:rPr>
        <w:t>Lunex</w:t>
      </w:r>
      <w:r w:rsidRPr="00D62CBE">
        <w:rPr>
          <w:szCs w:val="22"/>
        </w:rPr>
        <w:t xml:space="preserve">” </w:t>
      </w:r>
      <w:r w:rsidRPr="00D62CBE">
        <w:rPr>
          <w:iCs/>
          <w:szCs w:val="22"/>
        </w:rPr>
        <w:t>or “Company”</w:t>
      </w:r>
      <w:r w:rsidRPr="00D62CBE">
        <w:rPr>
          <w:szCs w:val="22"/>
        </w:rPr>
        <w:t xml:space="preserve"> means </w:t>
      </w:r>
      <w:r w:rsidRPr="00D62CBE">
        <w:rPr>
          <w:szCs w:val="22"/>
        </w:rPr>
        <w:t>Lunex</w:t>
      </w:r>
      <w:r w:rsidRPr="00D62CBE">
        <w:rPr>
          <w:szCs w:val="22"/>
        </w:rPr>
        <w:t xml:space="preserve"> Telecom, Inc. and its</w:t>
      </w:r>
      <w:r w:rsidRPr="00D62CBE" w:rsidR="0011560D">
        <w:rPr>
          <w:szCs w:val="22"/>
        </w:rPr>
        <w:t xml:space="preserve"> parent,</w:t>
      </w:r>
      <w:r w:rsidRPr="00D62CBE">
        <w:rPr>
          <w:szCs w:val="22"/>
        </w:rPr>
        <w:t xml:space="preserve"> affiliates, subsidiaries, predecessors-in-interest, and successors-in-interest.</w:t>
      </w:r>
    </w:p>
    <w:p w:rsidR="00BD08D2" w:rsidRPr="00D62CBE" w:rsidP="00D4526F" w14:paraId="663C6C2E" w14:textId="6E3ACF80">
      <w:pPr>
        <w:numPr>
          <w:ilvl w:val="0"/>
          <w:numId w:val="5"/>
        </w:numPr>
        <w:tabs>
          <w:tab w:val="clear" w:pos="1224"/>
        </w:tabs>
        <w:spacing w:after="120"/>
        <w:ind w:left="1890"/>
        <w:rPr>
          <w:szCs w:val="22"/>
        </w:rPr>
      </w:pPr>
      <w:r w:rsidRPr="00D62CBE">
        <w:rPr>
          <w:szCs w:val="22"/>
        </w:rPr>
        <w:t>“Operating Procedures” mean</w:t>
      </w:r>
      <w:r w:rsidRPr="00D62CBE" w:rsidR="003010FA">
        <w:rPr>
          <w:szCs w:val="22"/>
        </w:rPr>
        <w:t>s</w:t>
      </w:r>
      <w:r w:rsidRPr="00D62CBE" w:rsidR="00683B2D">
        <w:rPr>
          <w:szCs w:val="22"/>
        </w:rPr>
        <w:t xml:space="preserve"> the standard</w:t>
      </w:r>
      <w:r w:rsidRPr="00D62CBE">
        <w:rPr>
          <w:szCs w:val="22"/>
        </w:rPr>
        <w:t xml:space="preserve"> internal operating procedures and compliance pol</w:t>
      </w:r>
      <w:r w:rsidRPr="00D62CBE" w:rsidR="00AD6D76">
        <w:rPr>
          <w:szCs w:val="22"/>
        </w:rPr>
        <w:t xml:space="preserve">icies established by </w:t>
      </w:r>
      <w:r w:rsidRPr="00D62CBE" w:rsidR="00D4526F">
        <w:rPr>
          <w:szCs w:val="22"/>
        </w:rPr>
        <w:t>Lunex</w:t>
      </w:r>
      <w:r w:rsidRPr="00D62CBE" w:rsidR="00D4526F">
        <w:rPr>
          <w:szCs w:val="22"/>
        </w:rPr>
        <w:t xml:space="preserve"> </w:t>
      </w:r>
      <w:r w:rsidRPr="00D62CBE">
        <w:rPr>
          <w:szCs w:val="22"/>
        </w:rPr>
        <w:t>to implement the Compliance Plan.</w:t>
      </w:r>
    </w:p>
    <w:p w:rsidR="00BD08D2" w:rsidRPr="00D62CBE" w:rsidP="00EF1B1B" w14:paraId="370EFCF3" w14:textId="77777777">
      <w:pPr>
        <w:numPr>
          <w:ilvl w:val="0"/>
          <w:numId w:val="5"/>
        </w:numPr>
        <w:tabs>
          <w:tab w:val="clear" w:pos="1224"/>
        </w:tabs>
        <w:spacing w:after="120"/>
        <w:ind w:left="1890"/>
        <w:rPr>
          <w:szCs w:val="22"/>
        </w:rPr>
      </w:pPr>
      <w:r w:rsidRPr="00D62CBE">
        <w:rPr>
          <w:szCs w:val="22"/>
        </w:rPr>
        <w:t>“Parties” mean</w:t>
      </w:r>
      <w:r w:rsidRPr="00D62CBE" w:rsidR="003010FA">
        <w:rPr>
          <w:szCs w:val="22"/>
        </w:rPr>
        <w:t>s</w:t>
      </w:r>
      <w:r w:rsidRPr="00D62CBE">
        <w:rPr>
          <w:szCs w:val="22"/>
        </w:rPr>
        <w:t xml:space="preserve"> </w:t>
      </w:r>
      <w:r w:rsidRPr="00D62CBE" w:rsidR="00D4526F">
        <w:rPr>
          <w:szCs w:val="22"/>
        </w:rPr>
        <w:t>Lunex</w:t>
      </w:r>
      <w:r w:rsidRPr="00D62CBE" w:rsidR="00D4526F">
        <w:rPr>
          <w:szCs w:val="22"/>
        </w:rPr>
        <w:t xml:space="preserve"> </w:t>
      </w:r>
      <w:r w:rsidRPr="00D62CBE">
        <w:rPr>
          <w:szCs w:val="22"/>
        </w:rPr>
        <w:t>and the Bureau, each of which is a “Party.”</w:t>
      </w:r>
    </w:p>
    <w:p w:rsidR="00EE1291" w:rsidRPr="00D62CBE" w:rsidP="00D4526F" w14:paraId="550AC0C1" w14:textId="6BEA0213">
      <w:pPr>
        <w:numPr>
          <w:ilvl w:val="0"/>
          <w:numId w:val="5"/>
        </w:numPr>
        <w:tabs>
          <w:tab w:val="clear" w:pos="1224"/>
        </w:tabs>
        <w:spacing w:after="120"/>
        <w:ind w:left="1890"/>
        <w:rPr>
          <w:szCs w:val="22"/>
        </w:rPr>
      </w:pPr>
      <w:r w:rsidRPr="00D62CBE">
        <w:rPr>
          <w:szCs w:val="22"/>
        </w:rPr>
        <w:t>“Rules” mean</w:t>
      </w:r>
      <w:r w:rsidRPr="00D62CBE" w:rsidR="003010FA">
        <w:rPr>
          <w:szCs w:val="22"/>
        </w:rPr>
        <w:t>s</w:t>
      </w:r>
      <w:r w:rsidRPr="00D62CBE">
        <w:rPr>
          <w:szCs w:val="22"/>
        </w:rPr>
        <w:t xml:space="preserve"> the Commission’s regulations found in Title 47 of the Code of Federal Regulations.</w:t>
      </w:r>
    </w:p>
    <w:p w:rsidR="00126311" w:rsidRPr="00D62CBE" w:rsidP="00126311" w14:paraId="00C4AD7A" w14:textId="77777777">
      <w:pPr>
        <w:numPr>
          <w:ilvl w:val="0"/>
          <w:numId w:val="5"/>
        </w:numPr>
        <w:tabs>
          <w:tab w:val="clear" w:pos="1224"/>
        </w:tabs>
        <w:spacing w:after="120"/>
        <w:ind w:left="1890"/>
        <w:rPr>
          <w:szCs w:val="22"/>
        </w:rPr>
      </w:pPr>
      <w:r w:rsidRPr="00D62CBE">
        <w:rPr>
          <w:szCs w:val="22"/>
        </w:rPr>
        <w:t>“Service Providers” means telecommunications service providers and telecommunications providers subject to the Filing Rules.</w:t>
      </w:r>
    </w:p>
    <w:p w:rsidR="00A07764" w:rsidRPr="00D62CBE" w:rsidP="00126311" w14:paraId="32300E4A" w14:textId="202FA9B2">
      <w:pPr>
        <w:numPr>
          <w:ilvl w:val="0"/>
          <w:numId w:val="5"/>
        </w:numPr>
        <w:tabs>
          <w:tab w:val="clear" w:pos="1224"/>
        </w:tabs>
        <w:spacing w:after="120"/>
        <w:ind w:left="1890"/>
        <w:rPr>
          <w:szCs w:val="22"/>
        </w:rPr>
      </w:pPr>
      <w:r w:rsidRPr="00D62CBE">
        <w:rPr>
          <w:szCs w:val="22"/>
        </w:rPr>
        <w:t>“</w:t>
      </w:r>
      <w:r w:rsidRPr="00D62CBE" w:rsidR="0041648A">
        <w:rPr>
          <w:szCs w:val="22"/>
        </w:rPr>
        <w:t>Worksheets” means Telecommunications Reporting Worksheets, including FCC Form 499-A, which Service Providers must file by April 1 of each year (“Annual Worksheet”), and FCC Form 499-Q, which Service Providers must file by February 1, May 1, August 1, and November 1 of each year (“Quarterly Worksheet”).</w:t>
      </w:r>
    </w:p>
    <w:p w:rsidR="00E02214" w:rsidRPr="00D62CBE" w:rsidP="00E24E9F" w14:paraId="18919B16" w14:textId="490F25FA">
      <w:pPr>
        <w:pStyle w:val="Heading1"/>
        <w:rPr>
          <w:szCs w:val="22"/>
        </w:rPr>
      </w:pPr>
      <w:r w:rsidRPr="00D62CBE">
        <w:rPr>
          <w:szCs w:val="22"/>
        </w:rPr>
        <w:t>BACKGROUND</w:t>
      </w:r>
    </w:p>
    <w:p w:rsidR="00853F7A" w:rsidRPr="00D62CBE" w:rsidP="00F10394" w14:paraId="5ACE205A" w14:textId="77777777">
      <w:pPr>
        <w:pStyle w:val="Heading2"/>
        <w:rPr>
          <w:szCs w:val="22"/>
        </w:rPr>
      </w:pPr>
      <w:r w:rsidRPr="00D62CBE">
        <w:rPr>
          <w:szCs w:val="22"/>
        </w:rPr>
        <w:t>Worksheet Filing Requirements</w:t>
      </w:r>
    </w:p>
    <w:p w:rsidR="00853F7A" w:rsidRPr="00D62CBE" w:rsidP="00322CA5" w14:paraId="75ADA387" w14:textId="522455CA">
      <w:pPr>
        <w:pStyle w:val="ParaNum"/>
        <w:rPr>
          <w:szCs w:val="22"/>
        </w:rPr>
      </w:pPr>
      <w:r w:rsidRPr="00D62CBE">
        <w:rPr>
          <w:szCs w:val="22"/>
        </w:rPr>
        <w:t>Section</w:t>
      </w:r>
      <w:r w:rsidRPr="00D62CBE">
        <w:rPr>
          <w:szCs w:val="22"/>
        </w:rPr>
        <w:t xml:space="preserve"> 254(d) of the Act requires, among other things, that “[e]very telecommunications carrier [providing] interstate telecommunications services . . . contribute, on an equitable and nondiscriminatory basis, to the specific, predictable, and sufficient mechanisms established by the Commission to preserve and advance universal service.”</w:t>
      </w:r>
      <w:r>
        <w:rPr>
          <w:rStyle w:val="FootnoteReference"/>
          <w:sz w:val="22"/>
          <w:szCs w:val="22"/>
        </w:rPr>
        <w:footnoteReference w:id="16"/>
      </w:r>
      <w:r w:rsidRPr="00D62CBE">
        <w:rPr>
          <w:szCs w:val="22"/>
        </w:rPr>
        <w:t xml:space="preserve">  In implementing this Congressional mandate, the Commission directed interstate telecommunications services providers, and certain providers of interstate telecommunications (collectively, “Service Providers”), including Voice over Internet Protocol (VoIP) providers such as </w:t>
      </w:r>
      <w:r w:rsidRPr="00D62CBE" w:rsidR="0041648A">
        <w:rPr>
          <w:szCs w:val="22"/>
        </w:rPr>
        <w:t>Lunex</w:t>
      </w:r>
      <w:r w:rsidRPr="00D62CBE">
        <w:rPr>
          <w:szCs w:val="22"/>
        </w:rPr>
        <w:t>,</w:t>
      </w:r>
      <w:r>
        <w:rPr>
          <w:rStyle w:val="FootnoteReference"/>
          <w:sz w:val="22"/>
          <w:szCs w:val="22"/>
        </w:rPr>
        <w:footnoteReference w:id="17"/>
      </w:r>
      <w:r w:rsidRPr="00D62CBE">
        <w:rPr>
          <w:szCs w:val="22"/>
        </w:rPr>
        <w:t xml:space="preserve"> to contribute to the Universal Service Fund (USF) based upon their </w:t>
      </w:r>
      <w:r w:rsidRPr="00D62CBE">
        <w:rPr>
          <w:szCs w:val="22"/>
        </w:rPr>
        <w:t>interstate and international end-user telecommunications revenues.</w:t>
      </w:r>
      <w:r>
        <w:rPr>
          <w:rStyle w:val="FootnoteReference"/>
          <w:sz w:val="22"/>
          <w:szCs w:val="22"/>
        </w:rPr>
        <w:footnoteReference w:id="18"/>
      </w:r>
      <w:r w:rsidRPr="00D62CBE">
        <w:rPr>
          <w:szCs w:val="22"/>
        </w:rPr>
        <w:t xml:space="preserve">  When Service Providers fail to pay their share of obligations to the USF, they undermine the Congressional mandates embodied in </w:t>
      </w:r>
      <w:r w:rsidRPr="00D62CBE">
        <w:rPr>
          <w:szCs w:val="22"/>
        </w:rPr>
        <w:t>Section</w:t>
      </w:r>
      <w:r w:rsidRPr="00D62CBE">
        <w:rPr>
          <w:szCs w:val="22"/>
        </w:rPr>
        <w:t xml:space="preserve"> 254(d) of the Act.</w:t>
      </w:r>
      <w:r>
        <w:rPr>
          <w:rStyle w:val="FootnoteReference"/>
          <w:sz w:val="22"/>
          <w:szCs w:val="22"/>
        </w:rPr>
        <w:footnoteReference w:id="19"/>
      </w:r>
      <w:r w:rsidRPr="00D62CBE">
        <w:rPr>
          <w:szCs w:val="22"/>
        </w:rPr>
        <w:t xml:space="preserve">  Delinquent contributors also obtain an unfair competitive advantage over companies that comply with the universal service provisions of the Act and the </w:t>
      </w:r>
      <w:r w:rsidRPr="00D62CBE" w:rsidR="00215593">
        <w:rPr>
          <w:szCs w:val="22"/>
        </w:rPr>
        <w:t>R</w:t>
      </w:r>
      <w:r w:rsidRPr="00D62CBE">
        <w:rPr>
          <w:szCs w:val="22"/>
        </w:rPr>
        <w:t>ules.</w:t>
      </w:r>
      <w:r>
        <w:rPr>
          <w:rStyle w:val="FootnoteReference"/>
          <w:sz w:val="22"/>
          <w:szCs w:val="22"/>
        </w:rPr>
        <w:footnoteReference w:id="20"/>
      </w:r>
      <w:r w:rsidRPr="00D62CBE">
        <w:rPr>
          <w:szCs w:val="22"/>
        </w:rPr>
        <w:t xml:space="preserve">  </w:t>
      </w:r>
    </w:p>
    <w:p w:rsidR="00853F7A" w:rsidRPr="00D62CBE" w:rsidP="00853F7A" w14:paraId="77C7E1D0" w14:textId="4B175CF0">
      <w:pPr>
        <w:pStyle w:val="ParaNum"/>
        <w:rPr>
          <w:szCs w:val="22"/>
        </w:rPr>
      </w:pPr>
      <w:r w:rsidRPr="00D62CBE">
        <w:rPr>
          <w:szCs w:val="22"/>
        </w:rPr>
        <w:t xml:space="preserve">Each </w:t>
      </w:r>
      <w:r w:rsidRPr="00D62CBE" w:rsidR="00F10394">
        <w:rPr>
          <w:szCs w:val="22"/>
        </w:rPr>
        <w:t>S</w:t>
      </w:r>
      <w:r w:rsidRPr="00D62CBE">
        <w:rPr>
          <w:szCs w:val="22"/>
        </w:rPr>
        <w:t xml:space="preserve">ervice </w:t>
      </w:r>
      <w:r w:rsidRPr="00D62CBE" w:rsidR="00F10394">
        <w:rPr>
          <w:szCs w:val="22"/>
        </w:rPr>
        <w:t>P</w:t>
      </w:r>
      <w:r w:rsidRPr="00D62CBE">
        <w:rPr>
          <w:szCs w:val="22"/>
        </w:rPr>
        <w:t>rovider required to contribute to the USF is required to file Annual Worksheets,</w:t>
      </w:r>
      <w:r>
        <w:rPr>
          <w:rStyle w:val="FootnoteReference"/>
          <w:sz w:val="22"/>
          <w:szCs w:val="22"/>
        </w:rPr>
        <w:footnoteReference w:id="21"/>
      </w:r>
      <w:r w:rsidRPr="00D62CBE">
        <w:rPr>
          <w:szCs w:val="22"/>
        </w:rPr>
        <w:t xml:space="preserve"> and with certain exceptions, Quarterly Worksheets.</w:t>
      </w:r>
      <w:r>
        <w:rPr>
          <w:rStyle w:val="FootnoteReference"/>
          <w:sz w:val="22"/>
          <w:szCs w:val="22"/>
        </w:rPr>
        <w:footnoteReference w:id="22"/>
      </w:r>
      <w:r w:rsidRPr="00D62CBE">
        <w:rPr>
          <w:szCs w:val="22"/>
        </w:rPr>
        <w:t xml:space="preserve">  </w:t>
      </w:r>
      <w:r w:rsidRPr="00D62CBE" w:rsidR="00AE2846">
        <w:rPr>
          <w:szCs w:val="22"/>
        </w:rPr>
        <w:t>The Universal Service Administrative Company (</w:t>
      </w:r>
      <w:r w:rsidRPr="00D62CBE">
        <w:rPr>
          <w:szCs w:val="22"/>
        </w:rPr>
        <w:t>USAC</w:t>
      </w:r>
      <w:r w:rsidRPr="00D62CBE" w:rsidR="00AE2846">
        <w:rPr>
          <w:szCs w:val="22"/>
        </w:rPr>
        <w:t>)</w:t>
      </w:r>
      <w:r w:rsidRPr="00D62CBE">
        <w:rPr>
          <w:szCs w:val="22"/>
        </w:rPr>
        <w:t xml:space="preserve"> uses the revenue projections submitted in Quarterly Worksheets to determine each </w:t>
      </w:r>
      <w:r w:rsidRPr="00D62CBE" w:rsidR="00F10394">
        <w:rPr>
          <w:szCs w:val="22"/>
        </w:rPr>
        <w:t>S</w:t>
      </w:r>
      <w:r w:rsidRPr="00D62CBE">
        <w:rPr>
          <w:szCs w:val="22"/>
        </w:rPr>
        <w:t xml:space="preserve">ervice </w:t>
      </w:r>
      <w:r w:rsidRPr="00D62CBE" w:rsidR="00F10394">
        <w:rPr>
          <w:szCs w:val="22"/>
        </w:rPr>
        <w:t>P</w:t>
      </w:r>
      <w:r w:rsidRPr="00D62CBE">
        <w:rPr>
          <w:szCs w:val="22"/>
        </w:rPr>
        <w:t>rovider’s monthly universal service contribution obligation.</w:t>
      </w:r>
      <w:r>
        <w:rPr>
          <w:rStyle w:val="FootnoteReference"/>
          <w:sz w:val="22"/>
          <w:szCs w:val="22"/>
        </w:rPr>
        <w:footnoteReference w:id="23"/>
      </w:r>
      <w:r w:rsidRPr="00D62CBE">
        <w:rPr>
          <w:szCs w:val="22"/>
        </w:rPr>
        <w:t xml:space="preserve">  A </w:t>
      </w:r>
      <w:r w:rsidRPr="00D62CBE" w:rsidR="00F10394">
        <w:rPr>
          <w:szCs w:val="22"/>
        </w:rPr>
        <w:t>S</w:t>
      </w:r>
      <w:r w:rsidRPr="00D62CBE">
        <w:rPr>
          <w:szCs w:val="22"/>
        </w:rPr>
        <w:t xml:space="preserve">ervice </w:t>
      </w:r>
      <w:r w:rsidRPr="00D62CBE" w:rsidR="00F10394">
        <w:rPr>
          <w:szCs w:val="22"/>
        </w:rPr>
        <w:t>P</w:t>
      </w:r>
      <w:r w:rsidRPr="00D62CBE">
        <w:rPr>
          <w:szCs w:val="22"/>
        </w:rPr>
        <w:t>rovider must timely file Quarterly Worksheets by February 1, May 1, August 1 and November 1 of each year, and Annual Worksheets by April 1 of each year.</w:t>
      </w:r>
      <w:r>
        <w:rPr>
          <w:rStyle w:val="FootnoteReference"/>
          <w:sz w:val="22"/>
          <w:szCs w:val="22"/>
        </w:rPr>
        <w:footnoteReference w:id="24"/>
      </w:r>
      <w:r w:rsidRPr="00D62CBE">
        <w:rPr>
          <w:szCs w:val="22"/>
        </w:rPr>
        <w:t xml:space="preserve">  The </w:t>
      </w:r>
      <w:r w:rsidRPr="00D62CBE" w:rsidR="00215593">
        <w:rPr>
          <w:szCs w:val="22"/>
        </w:rPr>
        <w:t>R</w:t>
      </w:r>
      <w:r w:rsidRPr="00D62CBE">
        <w:rPr>
          <w:szCs w:val="22"/>
        </w:rPr>
        <w:t>ules explicitly warn Service Providers that failure to timely file Worksheets or submit timely USF payments potentially subjects them to enforcement action.</w:t>
      </w:r>
      <w:r>
        <w:rPr>
          <w:rStyle w:val="FootnoteReference"/>
          <w:sz w:val="22"/>
          <w:szCs w:val="22"/>
        </w:rPr>
        <w:footnoteReference w:id="25"/>
      </w:r>
      <w:r w:rsidRPr="00D62CBE">
        <w:rPr>
          <w:szCs w:val="22"/>
        </w:rPr>
        <w:t xml:space="preserve">  </w:t>
      </w:r>
      <w:r w:rsidRPr="00D62CBE">
        <w:rPr>
          <w:szCs w:val="22"/>
        </w:rPr>
        <w:t>USAC</w:t>
      </w:r>
      <w:r w:rsidRPr="00D62CBE">
        <w:rPr>
          <w:szCs w:val="22"/>
        </w:rPr>
        <w:t>; the administrators of Telecommunications Relay Service, Local Number Portability, and the North American Numbering Plan; and the Commission rely on the Worksheets that Service Providers file to determine liability for, and subsequent billing and collection of, payments for important federal regulatory mechanisms implemented under the Act.</w:t>
      </w:r>
      <w:r>
        <w:rPr>
          <w:rStyle w:val="FootnoteReference"/>
          <w:sz w:val="22"/>
          <w:szCs w:val="22"/>
        </w:rPr>
        <w:footnoteReference w:id="26"/>
      </w:r>
      <w:r w:rsidRPr="00D62CBE">
        <w:rPr>
          <w:szCs w:val="22"/>
        </w:rPr>
        <w:t xml:space="preserve">  A Service Provider that neglects to timely submit accurate and the most current revenue information in its Worksheets can consequently evade its federal obligations to fully contribute toward the vital programs linked to the reporting obligations.</w:t>
      </w:r>
      <w:r>
        <w:rPr>
          <w:rStyle w:val="FootnoteReference"/>
          <w:sz w:val="22"/>
          <w:szCs w:val="22"/>
        </w:rPr>
        <w:footnoteReference w:id="27"/>
      </w:r>
      <w:r w:rsidRPr="00D62CBE">
        <w:rPr>
          <w:szCs w:val="22"/>
        </w:rPr>
        <w:t xml:space="preserve">  As a consequence of this failure, other Service Providers might shoulder an unfair burden of the USF and other federal regulatory programs implemented under the Act.</w:t>
      </w:r>
      <w:r>
        <w:rPr>
          <w:rStyle w:val="FootnoteReference"/>
          <w:sz w:val="22"/>
          <w:szCs w:val="22"/>
        </w:rPr>
        <w:footnoteReference w:id="28"/>
      </w:r>
      <w:r w:rsidRPr="00D62CBE">
        <w:rPr>
          <w:szCs w:val="22"/>
        </w:rPr>
        <w:t xml:space="preserve">  </w:t>
      </w:r>
    </w:p>
    <w:p w:rsidR="00C47F6C" w:rsidRPr="00D62CBE" w:rsidP="00F10394" w14:paraId="40625DCF" w14:textId="77777777">
      <w:pPr>
        <w:pStyle w:val="Heading2"/>
        <w:rPr>
          <w:szCs w:val="22"/>
        </w:rPr>
      </w:pPr>
      <w:r w:rsidRPr="00D62CBE">
        <w:rPr>
          <w:szCs w:val="22"/>
        </w:rPr>
        <w:t>CPNI</w:t>
      </w:r>
      <w:r w:rsidRPr="00D62CBE">
        <w:rPr>
          <w:szCs w:val="22"/>
        </w:rPr>
        <w:t xml:space="preserve"> Certification Filing Requirements</w:t>
      </w:r>
    </w:p>
    <w:p w:rsidR="00C448A6" w:rsidRPr="00D62CBE" w:rsidP="00A07764" w14:paraId="4CE5E9FC" w14:textId="71AAA2BF">
      <w:pPr>
        <w:pStyle w:val="ParaNum"/>
        <w:widowControl/>
        <w:rPr>
          <w:szCs w:val="22"/>
        </w:rPr>
      </w:pPr>
      <w:r w:rsidRPr="00D62CBE">
        <w:rPr>
          <w:szCs w:val="22"/>
        </w:rPr>
        <w:t xml:space="preserve">The protection of </w:t>
      </w:r>
      <w:r w:rsidRPr="00D62CBE">
        <w:rPr>
          <w:szCs w:val="22"/>
        </w:rPr>
        <w:t>CPNI</w:t>
      </w:r>
      <w:r w:rsidRPr="00D62CBE">
        <w:rPr>
          <w:szCs w:val="22"/>
        </w:rPr>
        <w:t xml:space="preserve"> is of paramount importance, and the </w:t>
      </w:r>
      <w:r w:rsidRPr="00D62CBE" w:rsidR="00215593">
        <w:rPr>
          <w:szCs w:val="22"/>
        </w:rPr>
        <w:t>R</w:t>
      </w:r>
      <w:r w:rsidRPr="00D62CBE">
        <w:rPr>
          <w:szCs w:val="22"/>
        </w:rPr>
        <w:t xml:space="preserve">ules direct Service Providers to ensure that </w:t>
      </w:r>
      <w:r w:rsidRPr="00D62CBE">
        <w:rPr>
          <w:snapToGrid/>
          <w:color w:val="231F20"/>
          <w:kern w:val="0"/>
          <w:szCs w:val="22"/>
        </w:rPr>
        <w:t>CPNI</w:t>
      </w:r>
      <w:r w:rsidRPr="00D62CBE">
        <w:rPr>
          <w:snapToGrid/>
          <w:color w:val="231F20"/>
          <w:kern w:val="0"/>
          <w:szCs w:val="22"/>
        </w:rPr>
        <w:t xml:space="preserve"> is adequately protected from unauthorized access, use, or disclosure</w:t>
      </w:r>
      <w:r w:rsidRPr="00D62CBE">
        <w:rPr>
          <w:szCs w:val="22"/>
        </w:rPr>
        <w:t>.</w:t>
      </w:r>
      <w:r>
        <w:rPr>
          <w:rStyle w:val="FootnoteReference"/>
          <w:sz w:val="22"/>
          <w:szCs w:val="22"/>
        </w:rPr>
        <w:footnoteReference w:id="29"/>
      </w:r>
      <w:r w:rsidRPr="00D62CBE">
        <w:rPr>
          <w:szCs w:val="22"/>
        </w:rPr>
        <w:t xml:space="preserve">  </w:t>
      </w:r>
      <w:r w:rsidRPr="00D62CBE">
        <w:rPr>
          <w:snapToGrid/>
          <w:color w:val="231F20"/>
          <w:kern w:val="0"/>
          <w:szCs w:val="22"/>
        </w:rPr>
        <w:t xml:space="preserve">Service Providers must file an annual </w:t>
      </w:r>
      <w:r w:rsidRPr="00D62CBE">
        <w:rPr>
          <w:snapToGrid/>
          <w:color w:val="231F20"/>
          <w:kern w:val="0"/>
          <w:szCs w:val="22"/>
        </w:rPr>
        <w:t>CPNI</w:t>
      </w:r>
      <w:r w:rsidRPr="00D62CBE">
        <w:rPr>
          <w:snapToGrid/>
          <w:color w:val="231F20"/>
          <w:kern w:val="0"/>
          <w:szCs w:val="22"/>
        </w:rPr>
        <w:t xml:space="preserve"> Certification, documenting compliance with the Commission’s </w:t>
      </w:r>
      <w:r w:rsidRPr="00D62CBE">
        <w:rPr>
          <w:snapToGrid/>
          <w:color w:val="231F20"/>
          <w:kern w:val="0"/>
          <w:szCs w:val="22"/>
        </w:rPr>
        <w:t>CPNI</w:t>
      </w:r>
      <w:r w:rsidRPr="00D62CBE">
        <w:rPr>
          <w:snapToGrid/>
          <w:color w:val="231F20"/>
          <w:kern w:val="0"/>
          <w:szCs w:val="22"/>
        </w:rPr>
        <w:t xml:space="preserve"> rules, by March 1 of each year.</w:t>
      </w:r>
      <w:r>
        <w:rPr>
          <w:rStyle w:val="FootnoteReference"/>
          <w:snapToGrid/>
          <w:kern w:val="0"/>
          <w:sz w:val="22"/>
          <w:szCs w:val="22"/>
        </w:rPr>
        <w:footnoteReference w:id="30"/>
      </w:r>
      <w:r w:rsidRPr="00D62CBE">
        <w:rPr>
          <w:szCs w:val="22"/>
        </w:rPr>
        <w:t xml:space="preserve">  The f</w:t>
      </w:r>
      <w:r w:rsidRPr="00D62CBE">
        <w:rPr>
          <w:rFonts w:ascii="TimesNewRomanPSMT" w:hAnsi="TimesNewRomanPSMT" w:cs="TimesNewRomanPSMT"/>
          <w:snapToGrid/>
          <w:color w:val="231F20"/>
          <w:kern w:val="0"/>
          <w:szCs w:val="22"/>
        </w:rPr>
        <w:t xml:space="preserve">ailure of a </w:t>
      </w:r>
      <w:r w:rsidRPr="00D62CBE" w:rsidR="00F10394">
        <w:rPr>
          <w:rFonts w:ascii="TimesNewRomanPSMT" w:hAnsi="TimesNewRomanPSMT" w:cs="TimesNewRomanPSMT"/>
          <w:snapToGrid/>
          <w:color w:val="231F20"/>
          <w:kern w:val="0"/>
          <w:szCs w:val="22"/>
        </w:rPr>
        <w:t>S</w:t>
      </w:r>
      <w:r w:rsidRPr="00D62CBE">
        <w:rPr>
          <w:rFonts w:ascii="TimesNewRomanPSMT" w:hAnsi="TimesNewRomanPSMT" w:cs="TimesNewRomanPSMT"/>
          <w:snapToGrid/>
          <w:color w:val="231F20"/>
          <w:kern w:val="0"/>
          <w:szCs w:val="22"/>
        </w:rPr>
        <w:t xml:space="preserve">ervice </w:t>
      </w:r>
      <w:r w:rsidRPr="00D62CBE" w:rsidR="00F10394">
        <w:rPr>
          <w:rFonts w:ascii="TimesNewRomanPSMT" w:hAnsi="TimesNewRomanPSMT" w:cs="TimesNewRomanPSMT"/>
          <w:snapToGrid/>
          <w:color w:val="231F20"/>
          <w:kern w:val="0"/>
          <w:szCs w:val="22"/>
        </w:rPr>
        <w:t>P</w:t>
      </w:r>
      <w:r w:rsidRPr="00D62CBE">
        <w:rPr>
          <w:rFonts w:ascii="TimesNewRomanPSMT" w:hAnsi="TimesNewRomanPSMT" w:cs="TimesNewRomanPSMT"/>
          <w:snapToGrid/>
          <w:color w:val="231F20"/>
          <w:kern w:val="0"/>
          <w:szCs w:val="22"/>
        </w:rPr>
        <w:t xml:space="preserve">rovider to file a timely and complete </w:t>
      </w:r>
      <w:r w:rsidRPr="00D62CBE">
        <w:rPr>
          <w:rFonts w:ascii="TimesNewRomanPSMT" w:hAnsi="TimesNewRomanPSMT" w:cs="TimesNewRomanPSMT"/>
          <w:snapToGrid/>
          <w:color w:val="231F20"/>
          <w:kern w:val="0"/>
          <w:szCs w:val="22"/>
        </w:rPr>
        <w:t>CPNI</w:t>
      </w:r>
      <w:r w:rsidRPr="00D62CBE">
        <w:rPr>
          <w:rFonts w:ascii="TimesNewRomanPSMT" w:hAnsi="TimesNewRomanPSMT" w:cs="TimesNewRomanPSMT"/>
          <w:snapToGrid/>
          <w:color w:val="231F20"/>
          <w:kern w:val="0"/>
          <w:szCs w:val="22"/>
        </w:rPr>
        <w:t xml:space="preserve"> Certification calls into question whether the </w:t>
      </w:r>
      <w:r w:rsidRPr="00D62CBE" w:rsidR="00F10394">
        <w:rPr>
          <w:rFonts w:ascii="TimesNewRomanPSMT" w:hAnsi="TimesNewRomanPSMT" w:cs="TimesNewRomanPSMT"/>
          <w:snapToGrid/>
          <w:color w:val="231F20"/>
          <w:kern w:val="0"/>
          <w:szCs w:val="22"/>
        </w:rPr>
        <w:t>S</w:t>
      </w:r>
      <w:r w:rsidRPr="00D62CBE">
        <w:rPr>
          <w:rFonts w:ascii="TimesNewRomanPSMT" w:hAnsi="TimesNewRomanPSMT" w:cs="TimesNewRomanPSMT"/>
          <w:snapToGrid/>
          <w:color w:val="231F20"/>
          <w:kern w:val="0"/>
          <w:szCs w:val="22"/>
        </w:rPr>
        <w:t xml:space="preserve">ervice </w:t>
      </w:r>
      <w:r w:rsidRPr="00D62CBE" w:rsidR="00F10394">
        <w:rPr>
          <w:rFonts w:ascii="TimesNewRomanPSMT" w:hAnsi="TimesNewRomanPSMT" w:cs="TimesNewRomanPSMT"/>
          <w:snapToGrid/>
          <w:color w:val="231F20"/>
          <w:kern w:val="0"/>
          <w:szCs w:val="22"/>
        </w:rPr>
        <w:t>P</w:t>
      </w:r>
      <w:r w:rsidRPr="00D62CBE">
        <w:rPr>
          <w:rFonts w:ascii="TimesNewRomanPSMT" w:hAnsi="TimesNewRomanPSMT" w:cs="TimesNewRomanPSMT"/>
          <w:snapToGrid/>
          <w:color w:val="231F20"/>
          <w:kern w:val="0"/>
          <w:szCs w:val="22"/>
        </w:rPr>
        <w:t xml:space="preserve">rovider has complied with </w:t>
      </w:r>
      <w:r w:rsidRPr="00D62CBE" w:rsidR="00215593">
        <w:rPr>
          <w:rFonts w:ascii="TimesNewRomanPSMT" w:hAnsi="TimesNewRomanPSMT" w:cs="TimesNewRomanPSMT"/>
          <w:snapToGrid/>
          <w:color w:val="231F20"/>
          <w:kern w:val="0"/>
          <w:szCs w:val="22"/>
        </w:rPr>
        <w:t>R</w:t>
      </w:r>
      <w:r w:rsidRPr="00D62CBE">
        <w:rPr>
          <w:rFonts w:ascii="TimesNewRomanPSMT" w:hAnsi="TimesNewRomanPSMT" w:cs="TimesNewRomanPSMT"/>
          <w:snapToGrid/>
          <w:color w:val="231F20"/>
          <w:kern w:val="0"/>
          <w:szCs w:val="22"/>
        </w:rPr>
        <w:t xml:space="preserve">ules implemented to protect the privacy and security of </w:t>
      </w:r>
      <w:r w:rsidRPr="00D62CBE">
        <w:rPr>
          <w:rFonts w:ascii="TimesNewRomanPSMT" w:hAnsi="TimesNewRomanPSMT" w:cs="TimesNewRomanPSMT"/>
          <w:snapToGrid/>
          <w:color w:val="231F20"/>
          <w:kern w:val="0"/>
          <w:szCs w:val="22"/>
        </w:rPr>
        <w:t>CPNI</w:t>
      </w:r>
      <w:r w:rsidRPr="00D62CBE">
        <w:rPr>
          <w:rFonts w:ascii="TimesNewRomanPSMT" w:hAnsi="TimesNewRomanPSMT" w:cs="TimesNewRomanPSMT"/>
          <w:snapToGrid/>
          <w:color w:val="231F20"/>
          <w:kern w:val="0"/>
          <w:szCs w:val="22"/>
        </w:rPr>
        <w:t>.</w:t>
      </w:r>
      <w:r>
        <w:rPr>
          <w:rStyle w:val="FootnoteReference"/>
          <w:rFonts w:cs="TimesNewRomanPSMT"/>
          <w:snapToGrid/>
          <w:kern w:val="0"/>
          <w:sz w:val="22"/>
          <w:szCs w:val="22"/>
        </w:rPr>
        <w:footnoteReference w:id="31"/>
      </w:r>
      <w:r w:rsidRPr="00D62CBE">
        <w:rPr>
          <w:rFonts w:ascii="TimesNewRomanPSMT" w:hAnsi="TimesNewRomanPSMT" w:cs="TimesNewRomanPSMT"/>
          <w:snapToGrid/>
          <w:color w:val="231F20"/>
          <w:kern w:val="0"/>
          <w:szCs w:val="22"/>
        </w:rPr>
        <w:t xml:space="preserve">  The Bureau has </w:t>
      </w:r>
      <w:r w:rsidRPr="00D62CBE">
        <w:rPr>
          <w:snapToGrid/>
          <w:color w:val="231F20"/>
          <w:kern w:val="0"/>
          <w:szCs w:val="22"/>
        </w:rPr>
        <w:t xml:space="preserve">provided notice that failure to timely submit </w:t>
      </w:r>
      <w:r w:rsidRPr="00D62CBE">
        <w:rPr>
          <w:snapToGrid/>
          <w:color w:val="231F20"/>
          <w:kern w:val="0"/>
          <w:szCs w:val="22"/>
        </w:rPr>
        <w:t>CPNI</w:t>
      </w:r>
      <w:r w:rsidRPr="00D62CBE">
        <w:rPr>
          <w:snapToGrid/>
          <w:color w:val="231F20"/>
          <w:kern w:val="0"/>
          <w:szCs w:val="22"/>
        </w:rPr>
        <w:t xml:space="preserve"> Certifications may lead to enforcement action.</w:t>
      </w:r>
      <w:r>
        <w:rPr>
          <w:rStyle w:val="FootnoteReference"/>
          <w:snapToGrid/>
          <w:kern w:val="0"/>
          <w:sz w:val="22"/>
          <w:szCs w:val="22"/>
        </w:rPr>
        <w:footnoteReference w:id="32"/>
      </w:r>
    </w:p>
    <w:p w:rsidR="000C2A41" w:rsidRPr="00D62CBE" w:rsidP="00F10394" w14:paraId="1A785524" w14:textId="7C93378C">
      <w:pPr>
        <w:pStyle w:val="Heading2"/>
        <w:rPr>
          <w:szCs w:val="22"/>
        </w:rPr>
      </w:pPr>
      <w:bookmarkStart w:id="3" w:name="co_tablefootnote_58_1"/>
      <w:bookmarkEnd w:id="3"/>
      <w:r w:rsidRPr="00D62CBE">
        <w:rPr>
          <w:szCs w:val="22"/>
        </w:rPr>
        <w:t>Lunex</w:t>
      </w:r>
      <w:r w:rsidRPr="00D62CBE">
        <w:rPr>
          <w:szCs w:val="22"/>
        </w:rPr>
        <w:t xml:space="preserve"> Filing Violations and Remedial Actions</w:t>
      </w:r>
    </w:p>
    <w:p w:rsidR="00697F40" w:rsidRPr="00D62CBE" w:rsidP="00697F40" w14:paraId="14C8A449" w14:textId="6A4A998B">
      <w:pPr>
        <w:pStyle w:val="ParaNum"/>
        <w:widowControl/>
        <w:spacing w:line="259" w:lineRule="auto"/>
        <w:rPr>
          <w:szCs w:val="22"/>
        </w:rPr>
      </w:pPr>
      <w:r w:rsidRPr="00D62CBE">
        <w:rPr>
          <w:szCs w:val="22"/>
        </w:rPr>
        <w:t>The Company, a</w:t>
      </w:r>
      <w:r w:rsidRPr="00D62CBE" w:rsidR="00F10394">
        <w:rPr>
          <w:szCs w:val="22"/>
        </w:rPr>
        <w:t xml:space="preserve"> Service Provider subject to the Filing Rules</w:t>
      </w:r>
      <w:r w:rsidRPr="00D62CBE">
        <w:rPr>
          <w:szCs w:val="22"/>
        </w:rPr>
        <w:t xml:space="preserve">, did not timely file a total of </w:t>
      </w:r>
      <w:r w:rsidRPr="00D62CBE" w:rsidR="009078BA">
        <w:rPr>
          <w:szCs w:val="22"/>
        </w:rPr>
        <w:t>41</w:t>
      </w:r>
      <w:r w:rsidRPr="00D62CBE">
        <w:rPr>
          <w:szCs w:val="22"/>
        </w:rPr>
        <w:t xml:space="preserve"> required Worksheets by the Commission’s filing deadlines between </w:t>
      </w:r>
      <w:r w:rsidRPr="00D62CBE" w:rsidR="009078BA">
        <w:rPr>
          <w:szCs w:val="22"/>
        </w:rPr>
        <w:t>April 2011 and November 2020</w:t>
      </w:r>
      <w:r w:rsidRPr="00D62CBE" w:rsidR="00971564">
        <w:rPr>
          <w:szCs w:val="22"/>
        </w:rPr>
        <w:t>.</w:t>
      </w:r>
      <w:r w:rsidRPr="00D62CBE" w:rsidR="00971564">
        <w:rPr>
          <w:b/>
          <w:bCs/>
          <w:szCs w:val="22"/>
        </w:rPr>
        <w:t xml:space="preserve">  </w:t>
      </w:r>
      <w:bookmarkStart w:id="4" w:name="_Hlk61597804"/>
      <w:r w:rsidRPr="00D62CBE" w:rsidR="00971564">
        <w:rPr>
          <w:szCs w:val="22"/>
        </w:rPr>
        <w:t xml:space="preserve">Prior to the Investigation, </w:t>
      </w:r>
      <w:r w:rsidRPr="00D62CBE" w:rsidR="00971564">
        <w:rPr>
          <w:szCs w:val="22"/>
        </w:rPr>
        <w:t>Lunex</w:t>
      </w:r>
      <w:r w:rsidRPr="00D62CBE" w:rsidR="00971564">
        <w:rPr>
          <w:szCs w:val="22"/>
        </w:rPr>
        <w:t xml:space="preserve">, </w:t>
      </w:r>
      <w:r w:rsidRPr="00D62CBE" w:rsidR="00F10394">
        <w:rPr>
          <w:szCs w:val="22"/>
        </w:rPr>
        <w:t xml:space="preserve">had not </w:t>
      </w:r>
      <w:r w:rsidRPr="00D62CBE" w:rsidR="009078BA">
        <w:rPr>
          <w:szCs w:val="22"/>
        </w:rPr>
        <w:t>timely</w:t>
      </w:r>
      <w:r w:rsidRPr="00D62CBE" w:rsidR="00971564">
        <w:rPr>
          <w:szCs w:val="22"/>
        </w:rPr>
        <w:t xml:space="preserve"> filed </w:t>
      </w:r>
      <w:r w:rsidRPr="00D62CBE" w:rsidR="00F10394">
        <w:rPr>
          <w:szCs w:val="22"/>
        </w:rPr>
        <w:t>an Annual Worksheet since</w:t>
      </w:r>
      <w:r w:rsidRPr="00D62CBE" w:rsidR="00971564">
        <w:rPr>
          <w:szCs w:val="22"/>
        </w:rPr>
        <w:t xml:space="preserve"> 2010 and </w:t>
      </w:r>
      <w:r w:rsidRPr="00D62CBE" w:rsidR="00F10394">
        <w:rPr>
          <w:szCs w:val="22"/>
        </w:rPr>
        <w:t>had not timely filed a Quarterly Worksheet since</w:t>
      </w:r>
      <w:r w:rsidRPr="00D62CBE" w:rsidR="00971564">
        <w:rPr>
          <w:szCs w:val="22"/>
        </w:rPr>
        <w:t xml:space="preserve"> February 2011</w:t>
      </w:r>
      <w:bookmarkEnd w:id="4"/>
      <w:r w:rsidRPr="00D62CBE">
        <w:rPr>
          <w:szCs w:val="22"/>
        </w:rPr>
        <w:t>.</w:t>
      </w:r>
      <w:r>
        <w:rPr>
          <w:rStyle w:val="FootnoteReference"/>
          <w:sz w:val="22"/>
          <w:szCs w:val="22"/>
        </w:rPr>
        <w:footnoteReference w:id="33"/>
      </w:r>
      <w:r w:rsidRPr="00D62CBE">
        <w:rPr>
          <w:szCs w:val="22"/>
        </w:rPr>
        <w:t xml:space="preserve">  </w:t>
      </w:r>
    </w:p>
    <w:p w:rsidR="00697F40" w:rsidRPr="00D62CBE" w:rsidP="00697F40" w14:paraId="262B42A5" w14:textId="745DF8BD">
      <w:pPr>
        <w:pStyle w:val="ParaNum"/>
        <w:widowControl/>
        <w:spacing w:line="259" w:lineRule="auto"/>
        <w:rPr>
          <w:szCs w:val="22"/>
        </w:rPr>
      </w:pPr>
      <w:r w:rsidRPr="00D62CBE">
        <w:rPr>
          <w:szCs w:val="22"/>
        </w:rPr>
        <w:t xml:space="preserve">In addition, </w:t>
      </w:r>
      <w:r w:rsidRPr="00D62CBE" w:rsidR="000C2A41">
        <w:rPr>
          <w:szCs w:val="22"/>
        </w:rPr>
        <w:t>Lunex</w:t>
      </w:r>
      <w:r w:rsidRPr="00D62CBE" w:rsidR="000C2A41">
        <w:rPr>
          <w:szCs w:val="22"/>
        </w:rPr>
        <w:t xml:space="preserve"> </w:t>
      </w:r>
      <w:r w:rsidRPr="00D62CBE">
        <w:rPr>
          <w:szCs w:val="22"/>
        </w:rPr>
        <w:t>failed to</w:t>
      </w:r>
      <w:r w:rsidRPr="00D62CBE" w:rsidR="000C2A41">
        <w:rPr>
          <w:szCs w:val="22"/>
        </w:rPr>
        <w:t xml:space="preserve"> timely file </w:t>
      </w:r>
      <w:r w:rsidRPr="00D62CBE" w:rsidR="000C2A41">
        <w:rPr>
          <w:szCs w:val="22"/>
        </w:rPr>
        <w:t>CPNI</w:t>
      </w:r>
      <w:r w:rsidRPr="00D62CBE" w:rsidR="000C2A41">
        <w:rPr>
          <w:szCs w:val="22"/>
        </w:rPr>
        <w:t xml:space="preserve"> Certifications that were due by </w:t>
      </w:r>
      <w:r w:rsidRPr="00D62CBE" w:rsidR="00F10394">
        <w:rPr>
          <w:szCs w:val="22"/>
        </w:rPr>
        <w:t xml:space="preserve">March 1 of each year from </w:t>
      </w:r>
      <w:r w:rsidRPr="00D62CBE" w:rsidR="002B39CF">
        <w:rPr>
          <w:szCs w:val="22"/>
        </w:rPr>
        <w:t xml:space="preserve">2012 </w:t>
      </w:r>
      <w:r w:rsidRPr="00D62CBE" w:rsidR="00F10394">
        <w:rPr>
          <w:szCs w:val="22"/>
        </w:rPr>
        <w:t xml:space="preserve">to </w:t>
      </w:r>
      <w:r w:rsidRPr="00D62CBE" w:rsidR="000C2A41">
        <w:rPr>
          <w:szCs w:val="22"/>
        </w:rPr>
        <w:t xml:space="preserve">2020.  The Company </w:t>
      </w:r>
      <w:r w:rsidRPr="00D62CBE" w:rsidR="002B39CF">
        <w:rPr>
          <w:szCs w:val="22"/>
        </w:rPr>
        <w:t>filed</w:t>
      </w:r>
      <w:r w:rsidRPr="00D62CBE" w:rsidR="000C2A41">
        <w:rPr>
          <w:szCs w:val="22"/>
        </w:rPr>
        <w:t xml:space="preserve"> </w:t>
      </w:r>
      <w:r w:rsidRPr="00D62CBE" w:rsidR="000C2A41">
        <w:rPr>
          <w:szCs w:val="22"/>
        </w:rPr>
        <w:t>CPNI</w:t>
      </w:r>
      <w:r w:rsidRPr="00D62CBE" w:rsidR="000C2A41">
        <w:rPr>
          <w:szCs w:val="22"/>
        </w:rPr>
        <w:t xml:space="preserve"> Certifications </w:t>
      </w:r>
      <w:r w:rsidRPr="00D62CBE" w:rsidR="002B39CF">
        <w:rPr>
          <w:szCs w:val="22"/>
        </w:rPr>
        <w:t xml:space="preserve">for 2012-2013 and 2015-2019 on November 6, </w:t>
      </w:r>
      <w:r w:rsidRPr="00D62CBE" w:rsidR="000C2A41">
        <w:rPr>
          <w:szCs w:val="22"/>
        </w:rPr>
        <w:t>2020</w:t>
      </w:r>
      <w:r w:rsidRPr="00D62CBE" w:rsidR="0043291E">
        <w:rPr>
          <w:szCs w:val="22"/>
        </w:rPr>
        <w:t>, and</w:t>
      </w:r>
      <w:r w:rsidRPr="00D62CBE" w:rsidR="000C2A41">
        <w:rPr>
          <w:szCs w:val="22"/>
        </w:rPr>
        <w:t xml:space="preserve"> </w:t>
      </w:r>
      <w:r w:rsidRPr="00D62CBE">
        <w:rPr>
          <w:szCs w:val="22"/>
        </w:rPr>
        <w:t>CPNI</w:t>
      </w:r>
      <w:r w:rsidRPr="00D62CBE">
        <w:rPr>
          <w:szCs w:val="22"/>
        </w:rPr>
        <w:t xml:space="preserve"> Certifications for 2011 and 2014 on January 8, 2021.</w:t>
      </w:r>
      <w:r>
        <w:rPr>
          <w:rStyle w:val="FootnoteReference"/>
          <w:sz w:val="22"/>
          <w:szCs w:val="22"/>
        </w:rPr>
        <w:footnoteReference w:id="34"/>
      </w:r>
    </w:p>
    <w:p w:rsidR="00EB7EA5" w:rsidRPr="00D62CBE" w:rsidP="00C55C19" w14:paraId="6530B1C6" w14:textId="54AB296F">
      <w:pPr>
        <w:pStyle w:val="ParaNum"/>
        <w:widowControl/>
        <w:spacing w:line="259" w:lineRule="auto"/>
        <w:rPr>
          <w:szCs w:val="22"/>
        </w:rPr>
      </w:pPr>
      <w:r w:rsidRPr="00D62CBE">
        <w:rPr>
          <w:szCs w:val="22"/>
        </w:rPr>
        <w:t xml:space="preserve">After </w:t>
      </w:r>
      <w:r w:rsidRPr="00D62CBE">
        <w:rPr>
          <w:szCs w:val="22"/>
        </w:rPr>
        <w:t>USAC</w:t>
      </w:r>
      <w:r w:rsidRPr="00D62CBE">
        <w:rPr>
          <w:szCs w:val="22"/>
        </w:rPr>
        <w:t xml:space="preserve"> referred </w:t>
      </w:r>
      <w:r w:rsidRPr="00D62CBE">
        <w:rPr>
          <w:szCs w:val="22"/>
        </w:rPr>
        <w:t>Lunex</w:t>
      </w:r>
      <w:r w:rsidRPr="00D62CBE">
        <w:rPr>
          <w:szCs w:val="22"/>
        </w:rPr>
        <w:t xml:space="preserve"> to the Bureau for investigation into the Company’s repeated failures to comply with the Worksheet filing requirements of </w:t>
      </w:r>
      <w:r w:rsidRPr="00D62CBE" w:rsidR="00562C22">
        <w:rPr>
          <w:szCs w:val="22"/>
        </w:rPr>
        <w:t>Section</w:t>
      </w:r>
      <w:r w:rsidRPr="00D62CBE">
        <w:rPr>
          <w:szCs w:val="22"/>
        </w:rPr>
        <w:t xml:space="preserve"> 54.711 of the </w:t>
      </w:r>
      <w:r w:rsidRPr="00D62CBE" w:rsidR="00AE2846">
        <w:rPr>
          <w:szCs w:val="22"/>
        </w:rPr>
        <w:t>R</w:t>
      </w:r>
      <w:r w:rsidRPr="00D62CBE">
        <w:rPr>
          <w:szCs w:val="22"/>
        </w:rPr>
        <w:t xml:space="preserve">ules, on February 19, 2020, the Bureau issued the </w:t>
      </w:r>
      <w:r w:rsidRPr="00D62CBE">
        <w:rPr>
          <w:szCs w:val="22"/>
        </w:rPr>
        <w:t>LOI</w:t>
      </w:r>
      <w:r w:rsidRPr="00D62CBE">
        <w:rPr>
          <w:szCs w:val="22"/>
        </w:rPr>
        <w:t xml:space="preserve"> to </w:t>
      </w:r>
      <w:r w:rsidRPr="00D62CBE" w:rsidR="00F73F83">
        <w:rPr>
          <w:szCs w:val="22"/>
        </w:rPr>
        <w:t>Lunex</w:t>
      </w:r>
      <w:r w:rsidRPr="00D62CBE">
        <w:rPr>
          <w:szCs w:val="22"/>
        </w:rPr>
        <w:t xml:space="preserve">.  </w:t>
      </w:r>
      <w:r w:rsidRPr="00D62CBE" w:rsidR="0058717D">
        <w:rPr>
          <w:szCs w:val="22"/>
        </w:rPr>
        <w:t>Lunex</w:t>
      </w:r>
      <w:r w:rsidRPr="00D62CBE" w:rsidR="0058717D">
        <w:rPr>
          <w:szCs w:val="22"/>
        </w:rPr>
        <w:t xml:space="preserve"> filed its response to the </w:t>
      </w:r>
      <w:r w:rsidRPr="00D62CBE" w:rsidR="0058717D">
        <w:rPr>
          <w:szCs w:val="22"/>
        </w:rPr>
        <w:t>LOI</w:t>
      </w:r>
      <w:r w:rsidRPr="00D62CBE" w:rsidR="0058717D">
        <w:rPr>
          <w:szCs w:val="22"/>
        </w:rPr>
        <w:t xml:space="preserve"> </w:t>
      </w:r>
      <w:r w:rsidRPr="00D62CBE" w:rsidR="00007A85">
        <w:rPr>
          <w:szCs w:val="22"/>
        </w:rPr>
        <w:t>between</w:t>
      </w:r>
      <w:r w:rsidRPr="00D62CBE" w:rsidR="004E67E4">
        <w:rPr>
          <w:szCs w:val="22"/>
        </w:rPr>
        <w:t xml:space="preserve"> June 4</w:t>
      </w:r>
      <w:r w:rsidRPr="00D62CBE" w:rsidR="00007A85">
        <w:rPr>
          <w:szCs w:val="22"/>
        </w:rPr>
        <w:t xml:space="preserve"> and </w:t>
      </w:r>
      <w:r w:rsidRPr="00D62CBE" w:rsidR="00007A85">
        <w:rPr>
          <w:szCs w:val="22"/>
        </w:rPr>
        <w:t>July 17</w:t>
      </w:r>
      <w:r w:rsidRPr="00D62CBE" w:rsidR="004E67E4">
        <w:rPr>
          <w:szCs w:val="22"/>
        </w:rPr>
        <w:t>, 2020</w:t>
      </w:r>
      <w:r w:rsidRPr="00D62CBE" w:rsidR="0058717D">
        <w:rPr>
          <w:szCs w:val="22"/>
        </w:rPr>
        <w:t>, and</w:t>
      </w:r>
      <w:r w:rsidRPr="00D62CBE" w:rsidR="0058717D">
        <w:rPr>
          <w:szCs w:val="22"/>
        </w:rPr>
        <w:t xml:space="preserve"> supplemented its responses through January 2021</w:t>
      </w:r>
      <w:r w:rsidRPr="00D62CBE" w:rsidR="004E67E4">
        <w:rPr>
          <w:szCs w:val="22"/>
        </w:rPr>
        <w:t xml:space="preserve">. </w:t>
      </w:r>
      <w:r w:rsidRPr="00D62CBE" w:rsidR="0058717D">
        <w:rPr>
          <w:szCs w:val="22"/>
        </w:rPr>
        <w:t xml:space="preserve"> </w:t>
      </w:r>
      <w:r w:rsidRPr="00D62CBE" w:rsidR="00C448A6">
        <w:rPr>
          <w:szCs w:val="22"/>
        </w:rPr>
        <w:t xml:space="preserve">On August 6, 2020, </w:t>
      </w:r>
      <w:r w:rsidRPr="00D62CBE" w:rsidR="002F52BD">
        <w:rPr>
          <w:szCs w:val="22"/>
        </w:rPr>
        <w:t xml:space="preserve">the </w:t>
      </w:r>
      <w:r w:rsidRPr="00D62CBE" w:rsidR="00007A85">
        <w:rPr>
          <w:szCs w:val="22"/>
        </w:rPr>
        <w:t xml:space="preserve">Company informed the </w:t>
      </w:r>
      <w:r w:rsidRPr="00D62CBE" w:rsidR="002F52BD">
        <w:rPr>
          <w:szCs w:val="22"/>
        </w:rPr>
        <w:t xml:space="preserve">Bureau that </w:t>
      </w:r>
      <w:r w:rsidRPr="00D62CBE" w:rsidR="00007A85">
        <w:rPr>
          <w:szCs w:val="22"/>
        </w:rPr>
        <w:t xml:space="preserve">it engaged counsel to </w:t>
      </w:r>
      <w:r w:rsidRPr="00D62CBE" w:rsidR="002F52BD">
        <w:rPr>
          <w:szCs w:val="22"/>
        </w:rPr>
        <w:t xml:space="preserve">represent </w:t>
      </w:r>
      <w:r w:rsidRPr="00D62CBE" w:rsidR="002F52BD">
        <w:rPr>
          <w:szCs w:val="22"/>
        </w:rPr>
        <w:t>Lunex</w:t>
      </w:r>
      <w:r w:rsidRPr="00D62CBE" w:rsidR="002F52BD">
        <w:rPr>
          <w:szCs w:val="22"/>
        </w:rPr>
        <w:t xml:space="preserve"> in this matter</w:t>
      </w:r>
      <w:r w:rsidRPr="00D62CBE" w:rsidR="00007A85">
        <w:rPr>
          <w:szCs w:val="22"/>
        </w:rPr>
        <w:t>,</w:t>
      </w:r>
      <w:r>
        <w:rPr>
          <w:rStyle w:val="FootnoteReference"/>
          <w:sz w:val="22"/>
          <w:szCs w:val="22"/>
        </w:rPr>
        <w:footnoteReference w:id="35"/>
      </w:r>
      <w:r w:rsidRPr="00D62CBE" w:rsidR="002F52BD">
        <w:rPr>
          <w:szCs w:val="22"/>
        </w:rPr>
        <w:t xml:space="preserve"> </w:t>
      </w:r>
      <w:r w:rsidRPr="00D62CBE" w:rsidR="00007A85">
        <w:rPr>
          <w:szCs w:val="22"/>
        </w:rPr>
        <w:t>and</w:t>
      </w:r>
      <w:r w:rsidRPr="00D62CBE" w:rsidR="002F52BD">
        <w:rPr>
          <w:szCs w:val="22"/>
        </w:rPr>
        <w:t xml:space="preserve"> requested </w:t>
      </w:r>
      <w:r w:rsidRPr="00D62CBE" w:rsidR="00F0617A">
        <w:rPr>
          <w:szCs w:val="22"/>
        </w:rPr>
        <w:t>settlement</w:t>
      </w:r>
      <w:r w:rsidRPr="00D62CBE" w:rsidR="002F52BD">
        <w:rPr>
          <w:szCs w:val="22"/>
        </w:rPr>
        <w:t xml:space="preserve"> negotiations with the Bureau.</w:t>
      </w:r>
      <w:r>
        <w:rPr>
          <w:rStyle w:val="FootnoteReference"/>
          <w:sz w:val="22"/>
          <w:szCs w:val="22"/>
        </w:rPr>
        <w:footnoteReference w:id="36"/>
      </w:r>
      <w:r w:rsidRPr="00D62CBE" w:rsidR="002F52BD">
        <w:rPr>
          <w:szCs w:val="22"/>
        </w:rPr>
        <w:t xml:space="preserve"> </w:t>
      </w:r>
      <w:r w:rsidRPr="00D62CBE" w:rsidR="00FA6953">
        <w:rPr>
          <w:szCs w:val="22"/>
        </w:rPr>
        <w:t xml:space="preserve"> </w:t>
      </w:r>
      <w:bookmarkStart w:id="6" w:name="_Hlk54949126"/>
      <w:r w:rsidRPr="00D62CBE" w:rsidR="0058717D">
        <w:rPr>
          <w:szCs w:val="22"/>
        </w:rPr>
        <w:t>This settlemen</w:t>
      </w:r>
      <w:r w:rsidRPr="00D62CBE" w:rsidR="004C22A0">
        <w:rPr>
          <w:szCs w:val="22"/>
        </w:rPr>
        <w:t>t</w:t>
      </w:r>
      <w:r w:rsidRPr="00D62CBE" w:rsidR="0058717D">
        <w:rPr>
          <w:szCs w:val="22"/>
        </w:rPr>
        <w:t xml:space="preserve"> is a result of those negotiations, and </w:t>
      </w:r>
      <w:r w:rsidRPr="00D62CBE" w:rsidR="00C448A6">
        <w:rPr>
          <w:szCs w:val="22"/>
        </w:rPr>
        <w:t>Lunex</w:t>
      </w:r>
      <w:r w:rsidRPr="00D62CBE">
        <w:rPr>
          <w:szCs w:val="22"/>
        </w:rPr>
        <w:t xml:space="preserve"> </w:t>
      </w:r>
      <w:bookmarkEnd w:id="6"/>
      <w:r w:rsidRPr="00D62CBE">
        <w:rPr>
          <w:szCs w:val="22"/>
        </w:rPr>
        <w:t>and the Bureau enter into this Consent Decree and agree to the following terms and conditions.</w:t>
      </w:r>
      <w:r w:rsidRPr="00D62CBE" w:rsidR="00FA6953">
        <w:rPr>
          <w:szCs w:val="22"/>
        </w:rPr>
        <w:t xml:space="preserve"> </w:t>
      </w:r>
    </w:p>
    <w:p w:rsidR="00E02214" w:rsidRPr="00D62CBE" w:rsidP="001B74D4" w14:paraId="21B514F6" w14:textId="77777777">
      <w:pPr>
        <w:pStyle w:val="Heading1"/>
        <w:rPr>
          <w:szCs w:val="22"/>
        </w:rPr>
      </w:pPr>
      <w:bookmarkStart w:id="7" w:name="FN[FN18]"/>
      <w:bookmarkEnd w:id="7"/>
      <w:r w:rsidRPr="00D62CBE">
        <w:rPr>
          <w:szCs w:val="22"/>
        </w:rPr>
        <w:t>TERMS OF AGREEMENT</w:t>
      </w:r>
    </w:p>
    <w:p w:rsidR="006F0DB8" w:rsidRPr="00D62CBE" w:rsidP="00ED419F" w14:paraId="2323083B" w14:textId="77777777">
      <w:pPr>
        <w:pStyle w:val="ParaNum"/>
        <w:rPr>
          <w:szCs w:val="22"/>
        </w:rPr>
      </w:pPr>
      <w:r w:rsidRPr="00D62CBE">
        <w:rPr>
          <w:b/>
          <w:szCs w:val="22"/>
          <w:u w:val="single"/>
        </w:rPr>
        <w:t>Adopting Order</w:t>
      </w:r>
      <w:r w:rsidRPr="00D62CBE" w:rsidR="00CE68FE">
        <w:rPr>
          <w:szCs w:val="22"/>
        </w:rPr>
        <w:t>.  The provisions of this Consent Decree shall be incorporated by the Bureau in an Adopting Order</w:t>
      </w:r>
      <w:r w:rsidRPr="00D62CBE">
        <w:rPr>
          <w:szCs w:val="22"/>
        </w:rPr>
        <w:t>.</w:t>
      </w:r>
    </w:p>
    <w:p w:rsidR="006F0DB8" w:rsidRPr="00D62CBE" w:rsidP="007951D6" w14:paraId="08A163FD" w14:textId="77777777">
      <w:pPr>
        <w:pStyle w:val="ParaNum"/>
        <w:widowControl/>
        <w:rPr>
          <w:szCs w:val="22"/>
        </w:rPr>
      </w:pPr>
      <w:r w:rsidRPr="00D62CBE">
        <w:rPr>
          <w:b/>
          <w:szCs w:val="22"/>
          <w:u w:val="single"/>
        </w:rPr>
        <w:t>Jurisdiction</w:t>
      </w:r>
      <w:r w:rsidRPr="00D62CBE">
        <w:rPr>
          <w:szCs w:val="22"/>
        </w:rPr>
        <w:t xml:space="preserve">.  </w:t>
      </w:r>
      <w:r w:rsidRPr="00D62CBE" w:rsidR="00D4526F">
        <w:rPr>
          <w:szCs w:val="22"/>
        </w:rPr>
        <w:t>Lunex</w:t>
      </w:r>
      <w:r w:rsidRPr="00D62CBE" w:rsidR="00D4526F">
        <w:rPr>
          <w:szCs w:val="22"/>
        </w:rPr>
        <w:t xml:space="preserve"> </w:t>
      </w:r>
      <w:r w:rsidRPr="00D62CBE">
        <w:rPr>
          <w:szCs w:val="22"/>
        </w:rPr>
        <w:t>agrees that the Bureau has jurisdiction over it and the matters contained in this Con</w:t>
      </w:r>
      <w:r w:rsidRPr="00D62CBE" w:rsidR="00073450">
        <w:rPr>
          <w:szCs w:val="22"/>
        </w:rPr>
        <w:t xml:space="preserve">sent Decree and </w:t>
      </w:r>
      <w:r w:rsidRPr="00D62CBE">
        <w:rPr>
          <w:szCs w:val="22"/>
        </w:rPr>
        <w:t xml:space="preserve">has the authority to </w:t>
      </w:r>
      <w:r w:rsidRPr="00D62CBE">
        <w:rPr>
          <w:szCs w:val="22"/>
        </w:rPr>
        <w:t>enter into</w:t>
      </w:r>
      <w:r w:rsidRPr="00D62CBE">
        <w:rPr>
          <w:szCs w:val="22"/>
        </w:rPr>
        <w:t xml:space="preserve"> and adopt this Consent Decree.</w:t>
      </w:r>
    </w:p>
    <w:p w:rsidR="006F0DB8" w:rsidRPr="00D62CBE" w:rsidP="006B3C40" w14:paraId="0C34D363" w14:textId="77777777">
      <w:pPr>
        <w:pStyle w:val="ParaNum"/>
        <w:rPr>
          <w:szCs w:val="22"/>
        </w:rPr>
      </w:pPr>
      <w:r w:rsidRPr="00D62CBE">
        <w:rPr>
          <w:b/>
          <w:szCs w:val="22"/>
          <w:u w:val="single"/>
        </w:rPr>
        <w:t>Effective Date; Violations</w:t>
      </w:r>
      <w:r w:rsidRPr="00D62CBE">
        <w:rPr>
          <w:szCs w:val="22"/>
        </w:rPr>
        <w:t xml:space="preserve">.  The Parties agree that this Consent Decree shall become effective on the Effective Date as defined herein.  As of the Effective Date, the </w:t>
      </w:r>
      <w:r w:rsidRPr="00D62CBE" w:rsidR="00CE68FE">
        <w:rPr>
          <w:szCs w:val="22"/>
        </w:rPr>
        <w:t xml:space="preserve">Parties agree that </w:t>
      </w:r>
      <w:r w:rsidRPr="00D62CBE">
        <w:rPr>
          <w:szCs w:val="22"/>
        </w:rPr>
        <w:t xml:space="preserve">this Consent Decree shall have the same force and effect as any other order of the Commission.  </w:t>
      </w:r>
    </w:p>
    <w:p w:rsidR="006F0DB8" w:rsidRPr="00D62CBE" w:rsidP="00ED419F" w14:paraId="2E0125EB" w14:textId="77777777">
      <w:pPr>
        <w:pStyle w:val="ParaNum"/>
        <w:rPr>
          <w:szCs w:val="22"/>
        </w:rPr>
      </w:pPr>
      <w:r w:rsidRPr="00D62CBE">
        <w:rPr>
          <w:b/>
          <w:szCs w:val="22"/>
          <w:u w:val="single"/>
        </w:rPr>
        <w:t>Termination of Investigation</w:t>
      </w:r>
      <w:r w:rsidRPr="00D62CBE">
        <w:rPr>
          <w:szCs w:val="22"/>
        </w:rPr>
        <w:t xml:space="preserve">.  In express reliance on the covenants and representations in this Consent Decree and to avoid further expenditure of public resources, the Bureau agrees to terminate the Investigation.  In consideration for </w:t>
      </w:r>
      <w:r w:rsidRPr="00D62CBE" w:rsidR="007A541A">
        <w:rPr>
          <w:szCs w:val="22"/>
        </w:rPr>
        <w:t xml:space="preserve">the </w:t>
      </w:r>
      <w:r w:rsidRPr="00D62CBE">
        <w:rPr>
          <w:szCs w:val="22"/>
        </w:rPr>
        <w:t xml:space="preserve">termination of the Investigation, </w:t>
      </w:r>
      <w:r w:rsidRPr="00D62CBE" w:rsidR="00D4526F">
        <w:rPr>
          <w:szCs w:val="22"/>
        </w:rPr>
        <w:t>Lunex</w:t>
      </w:r>
      <w:r w:rsidRPr="00D62CBE" w:rsidR="00D4526F">
        <w:rPr>
          <w:szCs w:val="22"/>
        </w:rPr>
        <w:t xml:space="preserve"> </w:t>
      </w:r>
      <w:r w:rsidRPr="00D62CBE" w:rsidR="006A0CCD">
        <w:rPr>
          <w:szCs w:val="22"/>
        </w:rPr>
        <w:t>a</w:t>
      </w:r>
      <w:r w:rsidRPr="00D62CBE">
        <w:rPr>
          <w:szCs w:val="22"/>
        </w:rPr>
        <w:t xml:space="preserve">grees to the terms, conditions, and procedures contained herein. </w:t>
      </w:r>
      <w:r w:rsidRPr="00D62CBE" w:rsidR="00073450">
        <w:rPr>
          <w:szCs w:val="22"/>
        </w:rPr>
        <w:t xml:space="preserve"> The Bureau further agrees that,</w:t>
      </w:r>
      <w:r w:rsidRPr="00D62CBE">
        <w:rPr>
          <w:szCs w:val="22"/>
        </w:rPr>
        <w:t xml:space="preserve"> in the absence of n</w:t>
      </w:r>
      <w:r w:rsidRPr="00D62CBE" w:rsidR="00076C13">
        <w:rPr>
          <w:szCs w:val="22"/>
        </w:rPr>
        <w:t>ew material evidence, it</w:t>
      </w:r>
      <w:r w:rsidRPr="00D62CBE">
        <w:rPr>
          <w:szCs w:val="22"/>
        </w:rPr>
        <w:t xml:space="preserve"> will not</w:t>
      </w:r>
      <w:r w:rsidRPr="00D62CBE" w:rsidR="00683B2D">
        <w:rPr>
          <w:szCs w:val="22"/>
        </w:rPr>
        <w:t xml:space="preserve"> use the facts developed in the</w:t>
      </w:r>
      <w:r w:rsidRPr="00D62CBE">
        <w:rPr>
          <w:szCs w:val="22"/>
        </w:rPr>
        <w:t xml:space="preserve"> Investigation through the Effective Date, or the existence of this Consent Decree, to institute any new proceeding</w:t>
      </w:r>
      <w:r w:rsidRPr="00D62CBE" w:rsidR="00A90A66">
        <w:rPr>
          <w:szCs w:val="22"/>
        </w:rPr>
        <w:t xml:space="preserve"> on its own motion</w:t>
      </w:r>
      <w:r w:rsidRPr="00D62CBE">
        <w:rPr>
          <w:szCs w:val="22"/>
        </w:rPr>
        <w:t xml:space="preserve"> against </w:t>
      </w:r>
      <w:r w:rsidRPr="00D62CBE" w:rsidR="00D4526F">
        <w:rPr>
          <w:szCs w:val="22"/>
        </w:rPr>
        <w:t>Lunex</w:t>
      </w:r>
      <w:r w:rsidRPr="00D62CBE" w:rsidR="00D4526F">
        <w:rPr>
          <w:szCs w:val="22"/>
        </w:rPr>
        <w:t xml:space="preserve"> </w:t>
      </w:r>
      <w:r w:rsidRPr="00D62CBE">
        <w:rPr>
          <w:szCs w:val="22"/>
        </w:rPr>
        <w:t>concerning the matters that were the subject of the Investigation</w:t>
      </w:r>
      <w:r w:rsidRPr="00D62CBE" w:rsidR="00A90A66">
        <w:rPr>
          <w:szCs w:val="22"/>
        </w:rPr>
        <w:t>,</w:t>
      </w:r>
      <w:r w:rsidRPr="00D62CBE" w:rsidR="006B3C40">
        <w:rPr>
          <w:szCs w:val="22"/>
        </w:rPr>
        <w:t xml:space="preserve"> or to set for hearing the question of </w:t>
      </w:r>
      <w:r w:rsidRPr="00D62CBE" w:rsidR="00D4526F">
        <w:rPr>
          <w:szCs w:val="22"/>
        </w:rPr>
        <w:t>Lunex</w:t>
      </w:r>
      <w:r w:rsidRPr="00D62CBE" w:rsidR="006B3C40">
        <w:rPr>
          <w:szCs w:val="22"/>
        </w:rPr>
        <w:t>’s</w:t>
      </w:r>
      <w:r w:rsidRPr="00D62CBE" w:rsidR="006B3C40">
        <w:rPr>
          <w:szCs w:val="22"/>
        </w:rPr>
        <w:t xml:space="preserve"> basic qualifications to be a Commission licensee or hold Commission licenses or authorizations</w:t>
      </w:r>
      <w:r w:rsidRPr="00D62CBE" w:rsidR="00897EDF">
        <w:rPr>
          <w:szCs w:val="22"/>
        </w:rPr>
        <w:t xml:space="preserve"> based on the matters that were the subject of the Investigation</w:t>
      </w:r>
      <w:r w:rsidRPr="00D62CBE" w:rsidR="006B3C40">
        <w:rPr>
          <w:szCs w:val="22"/>
        </w:rPr>
        <w:t>.</w:t>
      </w:r>
      <w:r>
        <w:rPr>
          <w:rStyle w:val="FootnoteReference"/>
          <w:sz w:val="22"/>
          <w:szCs w:val="22"/>
        </w:rPr>
        <w:footnoteReference w:id="37"/>
      </w:r>
    </w:p>
    <w:p w:rsidR="00B10CD2" w:rsidRPr="00D62CBE" w:rsidP="00B10CD2" w14:paraId="6A37C332" w14:textId="02937D44">
      <w:pPr>
        <w:pStyle w:val="ParaNum"/>
        <w:rPr>
          <w:szCs w:val="22"/>
        </w:rPr>
      </w:pPr>
      <w:r w:rsidRPr="00D62CBE">
        <w:rPr>
          <w:b/>
          <w:szCs w:val="22"/>
          <w:u w:val="single"/>
        </w:rPr>
        <w:t>Admission of Liability</w:t>
      </w:r>
      <w:r w:rsidRPr="00D62CBE">
        <w:rPr>
          <w:szCs w:val="22"/>
        </w:rPr>
        <w:t xml:space="preserve">.  </w:t>
      </w:r>
      <w:r w:rsidRPr="00D62CBE" w:rsidR="00D4526F">
        <w:rPr>
          <w:szCs w:val="22"/>
        </w:rPr>
        <w:t>Lunex</w:t>
      </w:r>
      <w:r w:rsidRPr="00D62CBE" w:rsidR="00D4526F">
        <w:rPr>
          <w:szCs w:val="22"/>
        </w:rPr>
        <w:t xml:space="preserve"> </w:t>
      </w:r>
      <w:r w:rsidRPr="00D62CBE">
        <w:rPr>
          <w:szCs w:val="22"/>
        </w:rPr>
        <w:t xml:space="preserve">admits for the purpose of this Consent Decree and for Commission civil enforcement purposes, and in express reliance on the provisions of paragraph </w:t>
      </w:r>
      <w:r w:rsidRPr="00D62CBE" w:rsidR="00AA5CC3">
        <w:rPr>
          <w:szCs w:val="22"/>
        </w:rPr>
        <w:t>12</w:t>
      </w:r>
      <w:r w:rsidRPr="00D62CBE">
        <w:rPr>
          <w:szCs w:val="22"/>
        </w:rPr>
        <w:t xml:space="preserve"> herein,</w:t>
      </w:r>
      <w:r w:rsidRPr="00D62CBE" w:rsidR="003D1BD8">
        <w:rPr>
          <w:szCs w:val="22"/>
        </w:rPr>
        <w:t xml:space="preserve"> </w:t>
      </w:r>
      <w:r w:rsidRPr="00D62CBE">
        <w:rPr>
          <w:szCs w:val="22"/>
        </w:rPr>
        <w:t>that its actions</w:t>
      </w:r>
      <w:r w:rsidRPr="00D62CBE" w:rsidR="003D1BD8">
        <w:rPr>
          <w:szCs w:val="22"/>
        </w:rPr>
        <w:t xml:space="preserve"> violated </w:t>
      </w:r>
      <w:r w:rsidRPr="00D62CBE" w:rsidR="00562C22">
        <w:rPr>
          <w:szCs w:val="22"/>
        </w:rPr>
        <w:t>Section</w:t>
      </w:r>
      <w:r w:rsidRPr="00D62CBE" w:rsidR="003D1BD8">
        <w:rPr>
          <w:szCs w:val="22"/>
        </w:rPr>
        <w:t>s 222, 251(e)(2) and 254(d) of the Act,</w:t>
      </w:r>
      <w:r>
        <w:rPr>
          <w:szCs w:val="22"/>
          <w:vertAlign w:val="superscript"/>
        </w:rPr>
        <w:footnoteReference w:id="38"/>
      </w:r>
      <w:r w:rsidRPr="00D62CBE" w:rsidR="003D1BD8">
        <w:rPr>
          <w:szCs w:val="22"/>
        </w:rPr>
        <w:t xml:space="preserve"> </w:t>
      </w:r>
      <w:r w:rsidRPr="00D62CBE" w:rsidR="00C55C19">
        <w:rPr>
          <w:szCs w:val="22"/>
        </w:rPr>
        <w:t xml:space="preserve">and </w:t>
      </w:r>
      <w:r w:rsidRPr="00D62CBE" w:rsidR="00562C22">
        <w:rPr>
          <w:szCs w:val="22"/>
        </w:rPr>
        <w:t>Section</w:t>
      </w:r>
      <w:r w:rsidRPr="00D62CBE" w:rsidR="003D1BD8">
        <w:rPr>
          <w:szCs w:val="22"/>
        </w:rPr>
        <w:t xml:space="preserve">s 52.17, 52.32, 54.711, 64.604, and 64.2009(e) of the </w:t>
      </w:r>
      <w:r w:rsidRPr="00D62CBE" w:rsidR="008413C3">
        <w:rPr>
          <w:szCs w:val="22"/>
        </w:rPr>
        <w:t>R</w:t>
      </w:r>
      <w:r w:rsidRPr="00D62CBE" w:rsidR="003D1BD8">
        <w:rPr>
          <w:szCs w:val="22"/>
        </w:rPr>
        <w:t>ules,</w:t>
      </w:r>
      <w:r>
        <w:rPr>
          <w:szCs w:val="22"/>
          <w:vertAlign w:val="superscript"/>
        </w:rPr>
        <w:footnoteReference w:id="39"/>
      </w:r>
      <w:r w:rsidRPr="00D62CBE" w:rsidR="003D1BD8">
        <w:rPr>
          <w:szCs w:val="22"/>
        </w:rPr>
        <w:t xml:space="preserve"> by failing to timely file Worksheets</w:t>
      </w:r>
      <w:r w:rsidRPr="00D62CBE" w:rsidR="00C55C19">
        <w:rPr>
          <w:szCs w:val="22"/>
        </w:rPr>
        <w:t xml:space="preserve"> and</w:t>
      </w:r>
      <w:r w:rsidRPr="00D62CBE" w:rsidR="003D1BD8">
        <w:rPr>
          <w:szCs w:val="22"/>
        </w:rPr>
        <w:t xml:space="preserve"> </w:t>
      </w:r>
      <w:r w:rsidRPr="00D62CBE" w:rsidR="003D1BD8">
        <w:rPr>
          <w:szCs w:val="22"/>
        </w:rPr>
        <w:t>CPNI</w:t>
      </w:r>
      <w:r w:rsidRPr="00D62CBE" w:rsidR="003D1BD8">
        <w:rPr>
          <w:szCs w:val="22"/>
        </w:rPr>
        <w:t xml:space="preserve"> Certifications, as described in paragraphs </w:t>
      </w:r>
      <w:bookmarkStart w:id="8" w:name="_Ref379202869"/>
      <w:r w:rsidRPr="00D62CBE" w:rsidR="00AA5CC3">
        <w:rPr>
          <w:szCs w:val="22"/>
        </w:rPr>
        <w:t>6-8.</w:t>
      </w:r>
    </w:p>
    <w:p w:rsidR="00E95C3C" w:rsidRPr="00D62CBE" w:rsidP="00E95C3C" w14:paraId="37F54FD0" w14:textId="6F3959B0">
      <w:pPr>
        <w:pStyle w:val="ParaNum"/>
        <w:rPr>
          <w:szCs w:val="22"/>
        </w:rPr>
      </w:pPr>
      <w:r w:rsidRPr="00D62CBE">
        <w:rPr>
          <w:b/>
          <w:szCs w:val="22"/>
          <w:u w:val="single"/>
        </w:rPr>
        <w:t>Compliance Officer</w:t>
      </w:r>
      <w:r w:rsidRPr="00D62CBE">
        <w:rPr>
          <w:szCs w:val="22"/>
        </w:rPr>
        <w:t xml:space="preserve">.  Within thirty (30) calendar days after the Effective Date, </w:t>
      </w:r>
      <w:r w:rsidRPr="00D62CBE" w:rsidR="003F23DA">
        <w:rPr>
          <w:szCs w:val="22"/>
        </w:rPr>
        <w:t>Lunex</w:t>
      </w:r>
      <w:r w:rsidRPr="00D62CBE" w:rsidR="00EF30D3">
        <w:rPr>
          <w:szCs w:val="22"/>
        </w:rPr>
        <w:t xml:space="preserve"> </w:t>
      </w:r>
      <w:r w:rsidRPr="00D62CBE">
        <w:rPr>
          <w:szCs w:val="22"/>
        </w:rPr>
        <w:t xml:space="preserve">shall designate a senior corporate manager with the requisite corporate and organizational authority to </w:t>
      </w:r>
      <w:r w:rsidRPr="00D62CBE">
        <w:rPr>
          <w:bCs/>
          <w:szCs w:val="22"/>
        </w:rPr>
        <w:t>serve</w:t>
      </w:r>
      <w:r w:rsidRPr="00D62CBE">
        <w:rPr>
          <w:szCs w:val="22"/>
        </w:rPr>
        <w:t xml:space="preserve"> as a Compliance Officer and to discharge the duties set forth below.  The person designated as the Compliance Officer shall be responsible for developing, implementing, and administering the Compliance Plan and ensuring that </w:t>
      </w:r>
      <w:r w:rsidRPr="00D62CBE" w:rsidR="00D4526F">
        <w:rPr>
          <w:szCs w:val="22"/>
        </w:rPr>
        <w:t>Lunex</w:t>
      </w:r>
      <w:r w:rsidRPr="00D62CBE" w:rsidR="00D4526F">
        <w:rPr>
          <w:szCs w:val="22"/>
        </w:rPr>
        <w:t xml:space="preserve"> </w:t>
      </w:r>
      <w:r w:rsidRPr="00D62CBE">
        <w:rPr>
          <w:szCs w:val="22"/>
        </w:rPr>
        <w:t>complies with the terms and conditions of the Compliance Plan and this Consent Decree.</w:t>
      </w:r>
      <w:r w:rsidRPr="00D62CBE" w:rsidR="00B0044E">
        <w:rPr>
          <w:szCs w:val="22"/>
        </w:rPr>
        <w:t xml:space="preserve"> </w:t>
      </w:r>
      <w:r w:rsidRPr="00D62CBE">
        <w:rPr>
          <w:szCs w:val="22"/>
        </w:rPr>
        <w:t xml:space="preserve"> In addition to the general knowledge of the Communications Laws necessary to discharge his</w:t>
      </w:r>
      <w:r w:rsidRPr="00D62CBE" w:rsidR="00B0044E">
        <w:rPr>
          <w:szCs w:val="22"/>
        </w:rPr>
        <w:t xml:space="preserve"> or </w:t>
      </w:r>
      <w:r w:rsidRPr="00D62CBE">
        <w:rPr>
          <w:szCs w:val="22"/>
        </w:rPr>
        <w:t>her duties under this Consent Decree, the Compliance Officer shall have specifi</w:t>
      </w:r>
      <w:r w:rsidRPr="00D62CBE" w:rsidR="00302C38">
        <w:rPr>
          <w:szCs w:val="22"/>
        </w:rPr>
        <w:t xml:space="preserve">c knowledge of the </w:t>
      </w:r>
      <w:r w:rsidRPr="00D62CBE" w:rsidR="0050179E">
        <w:rPr>
          <w:szCs w:val="22"/>
        </w:rPr>
        <w:t>Filing</w:t>
      </w:r>
      <w:r w:rsidRPr="00D62CBE" w:rsidR="00D4526F">
        <w:rPr>
          <w:szCs w:val="22"/>
        </w:rPr>
        <w:t xml:space="preserve"> </w:t>
      </w:r>
      <w:r w:rsidRPr="00D62CBE">
        <w:rPr>
          <w:szCs w:val="22"/>
        </w:rPr>
        <w:t>Rules prior to assuming his/her duties.</w:t>
      </w:r>
      <w:bookmarkStart w:id="9" w:name="_Ref357521857"/>
      <w:bookmarkEnd w:id="8"/>
    </w:p>
    <w:p w:rsidR="00E02214" w:rsidRPr="00D62CBE" w:rsidP="00E95C3C" w14:paraId="41E53DDA" w14:textId="5E03197A">
      <w:pPr>
        <w:pStyle w:val="ParaNum"/>
        <w:rPr>
          <w:szCs w:val="22"/>
        </w:rPr>
      </w:pPr>
      <w:r w:rsidRPr="00D62CBE">
        <w:rPr>
          <w:b/>
          <w:szCs w:val="22"/>
          <w:u w:val="single"/>
        </w:rPr>
        <w:t>Compliance Plan</w:t>
      </w:r>
      <w:r w:rsidRPr="00D62CBE">
        <w:rPr>
          <w:szCs w:val="22"/>
        </w:rPr>
        <w:t xml:space="preserve">.  For purposes of settling the matters set forth herein, </w:t>
      </w:r>
      <w:r w:rsidRPr="00D62CBE" w:rsidR="00D4526F">
        <w:rPr>
          <w:szCs w:val="22"/>
        </w:rPr>
        <w:t>Lunex</w:t>
      </w:r>
      <w:r w:rsidRPr="00D62CBE" w:rsidR="00D4526F">
        <w:rPr>
          <w:szCs w:val="22"/>
        </w:rPr>
        <w:t xml:space="preserve"> </w:t>
      </w:r>
      <w:r w:rsidRPr="00D62CBE">
        <w:rPr>
          <w:szCs w:val="22"/>
        </w:rPr>
        <w:t>agrees that it shall, within sixty (60) calendar days after the Effective Date, develop and implement a Compliance Plan designed to ensure future compliance with the Communications Laws and with the terms and conditions of this Consent Decree.  W</w:t>
      </w:r>
      <w:r w:rsidRPr="00D62CBE" w:rsidR="00302C38">
        <w:rPr>
          <w:szCs w:val="22"/>
        </w:rPr>
        <w:t xml:space="preserve">ith respect to the </w:t>
      </w:r>
      <w:r w:rsidRPr="00D62CBE" w:rsidR="00D4526F">
        <w:rPr>
          <w:szCs w:val="22"/>
        </w:rPr>
        <w:t>Filing</w:t>
      </w:r>
      <w:r w:rsidRPr="00D62CBE">
        <w:rPr>
          <w:szCs w:val="22"/>
        </w:rPr>
        <w:t xml:space="preserve"> Rules, </w:t>
      </w:r>
      <w:r w:rsidRPr="00D62CBE" w:rsidR="00D4526F">
        <w:rPr>
          <w:szCs w:val="22"/>
        </w:rPr>
        <w:t>Lunex</w:t>
      </w:r>
      <w:r w:rsidRPr="00D62CBE" w:rsidR="00D4526F">
        <w:rPr>
          <w:szCs w:val="22"/>
        </w:rPr>
        <w:t xml:space="preserve"> </w:t>
      </w:r>
      <w:r w:rsidRPr="00D62CBE" w:rsidR="00302C38">
        <w:rPr>
          <w:szCs w:val="22"/>
        </w:rPr>
        <w:t>will</w:t>
      </w:r>
      <w:r w:rsidRPr="00D62CBE">
        <w:rPr>
          <w:szCs w:val="22"/>
        </w:rPr>
        <w:t xml:space="preserve"> implement</w:t>
      </w:r>
      <w:r w:rsidRPr="00D62CBE" w:rsidR="00073450">
        <w:rPr>
          <w:szCs w:val="22"/>
        </w:rPr>
        <w:t>, at a minimum,</w:t>
      </w:r>
      <w:r w:rsidRPr="00D62CBE">
        <w:rPr>
          <w:szCs w:val="22"/>
        </w:rPr>
        <w:t xml:space="preserve"> the following procedures:</w:t>
      </w:r>
      <w:bookmarkEnd w:id="9"/>
    </w:p>
    <w:p w:rsidR="0055035F" w:rsidRPr="00D62CBE" w:rsidP="00F60217" w14:paraId="1282A439" w14:textId="259F24F1">
      <w:pPr>
        <w:widowControl/>
        <w:numPr>
          <w:ilvl w:val="0"/>
          <w:numId w:val="6"/>
        </w:numPr>
        <w:tabs>
          <w:tab w:val="clear" w:pos="1656"/>
        </w:tabs>
        <w:spacing w:after="120"/>
        <w:ind w:left="1886"/>
        <w:rPr>
          <w:szCs w:val="22"/>
        </w:rPr>
      </w:pPr>
      <w:r w:rsidRPr="00D62CBE">
        <w:rPr>
          <w:b/>
          <w:szCs w:val="22"/>
          <w:u w:val="single"/>
        </w:rPr>
        <w:t>Operating Procedures</w:t>
      </w:r>
      <w:r w:rsidRPr="00D62CBE" w:rsidR="00BD779B">
        <w:rPr>
          <w:szCs w:val="22"/>
        </w:rPr>
        <w:t>.  Within thirty (3</w:t>
      </w:r>
      <w:r w:rsidRPr="00D62CBE">
        <w:rPr>
          <w:szCs w:val="22"/>
        </w:rPr>
        <w:t xml:space="preserve">0) calendar days after the Effective Date, </w:t>
      </w:r>
      <w:r w:rsidRPr="00D62CBE" w:rsidR="00D4526F">
        <w:rPr>
          <w:szCs w:val="22"/>
        </w:rPr>
        <w:t>Lunex</w:t>
      </w:r>
      <w:r w:rsidRPr="00D62CBE" w:rsidR="00D4526F">
        <w:rPr>
          <w:szCs w:val="22"/>
        </w:rPr>
        <w:t xml:space="preserve"> </w:t>
      </w:r>
      <w:r w:rsidRPr="00D62CBE">
        <w:rPr>
          <w:szCs w:val="22"/>
        </w:rPr>
        <w:t xml:space="preserve">shall establish Operating Procedures that all Covered Employees must follow to help ensure </w:t>
      </w:r>
      <w:r w:rsidRPr="00D62CBE" w:rsidR="00D4526F">
        <w:rPr>
          <w:szCs w:val="22"/>
        </w:rPr>
        <w:t>Lunex</w:t>
      </w:r>
      <w:r w:rsidRPr="00D62CBE" w:rsidR="00EA12C6">
        <w:rPr>
          <w:szCs w:val="22"/>
        </w:rPr>
        <w:t>’</w:t>
      </w:r>
      <w:r w:rsidRPr="00D62CBE">
        <w:rPr>
          <w:szCs w:val="22"/>
        </w:rPr>
        <w:t>s</w:t>
      </w:r>
      <w:r w:rsidRPr="00D62CBE">
        <w:rPr>
          <w:szCs w:val="22"/>
        </w:rPr>
        <w:t xml:space="preserve"> c</w:t>
      </w:r>
      <w:r w:rsidRPr="00D62CBE" w:rsidR="00302C38">
        <w:rPr>
          <w:szCs w:val="22"/>
        </w:rPr>
        <w:t xml:space="preserve">ompliance with the </w:t>
      </w:r>
      <w:r w:rsidRPr="00D62CBE" w:rsidR="00D4526F">
        <w:rPr>
          <w:szCs w:val="22"/>
        </w:rPr>
        <w:t>Filing</w:t>
      </w:r>
      <w:r w:rsidRPr="00D62CBE">
        <w:rPr>
          <w:szCs w:val="22"/>
        </w:rPr>
        <w:t xml:space="preserve"> Rules.  </w:t>
      </w:r>
      <w:r w:rsidRPr="00D62CBE" w:rsidR="00D4526F">
        <w:rPr>
          <w:szCs w:val="22"/>
        </w:rPr>
        <w:t>Lunex</w:t>
      </w:r>
      <w:r w:rsidRPr="00D62CBE">
        <w:rPr>
          <w:szCs w:val="22"/>
        </w:rPr>
        <w:t>’s</w:t>
      </w:r>
      <w:r w:rsidRPr="00D62CBE">
        <w:rPr>
          <w:szCs w:val="22"/>
        </w:rPr>
        <w:t xml:space="preserve"> Operating Procedures shall include internal procedures and policies specifically designed to ensure that</w:t>
      </w:r>
      <w:r w:rsidRPr="00D62CBE" w:rsidR="00BE103C">
        <w:rPr>
          <w:szCs w:val="22"/>
        </w:rPr>
        <w:t xml:space="preserve"> </w:t>
      </w:r>
      <w:r w:rsidRPr="00D62CBE" w:rsidR="0050179E">
        <w:rPr>
          <w:szCs w:val="22"/>
        </w:rPr>
        <w:t xml:space="preserve">the Company complies with the Filing Rules.  </w:t>
      </w:r>
      <w:r w:rsidRPr="00D62CBE" w:rsidR="00D4526F">
        <w:rPr>
          <w:szCs w:val="22"/>
        </w:rPr>
        <w:t>Lunex</w:t>
      </w:r>
      <w:r w:rsidRPr="00D62CBE" w:rsidR="00302C38">
        <w:rPr>
          <w:szCs w:val="22"/>
        </w:rPr>
        <w:t xml:space="preserve"> </w:t>
      </w:r>
      <w:r w:rsidRPr="00D62CBE">
        <w:rPr>
          <w:szCs w:val="22"/>
        </w:rPr>
        <w:t xml:space="preserve">shall also develop a Compliance Checklist that describes the steps </w:t>
      </w:r>
      <w:r w:rsidRPr="00D62CBE" w:rsidR="006E4E12">
        <w:rPr>
          <w:szCs w:val="22"/>
        </w:rPr>
        <w:t xml:space="preserve">that </w:t>
      </w:r>
      <w:r w:rsidRPr="00D62CBE">
        <w:rPr>
          <w:szCs w:val="22"/>
        </w:rPr>
        <w:t xml:space="preserve">a Covered Employee must follow to ensure compliance </w:t>
      </w:r>
      <w:r w:rsidRPr="00D62CBE" w:rsidR="00302C38">
        <w:rPr>
          <w:szCs w:val="22"/>
        </w:rPr>
        <w:t xml:space="preserve">with the </w:t>
      </w:r>
      <w:r w:rsidRPr="00D62CBE" w:rsidR="00D4526F">
        <w:rPr>
          <w:szCs w:val="22"/>
        </w:rPr>
        <w:t xml:space="preserve">Filing </w:t>
      </w:r>
      <w:r w:rsidRPr="00D62CBE">
        <w:rPr>
          <w:szCs w:val="22"/>
        </w:rPr>
        <w:t>Rules.</w:t>
      </w:r>
    </w:p>
    <w:p w:rsidR="0055035F" w:rsidRPr="00D62CBE" w:rsidP="00F60217" w14:paraId="38E2D1E2" w14:textId="7C1864EC">
      <w:pPr>
        <w:widowControl/>
        <w:numPr>
          <w:ilvl w:val="0"/>
          <w:numId w:val="6"/>
        </w:numPr>
        <w:tabs>
          <w:tab w:val="clear" w:pos="1656"/>
        </w:tabs>
        <w:spacing w:after="120"/>
        <w:ind w:left="1886"/>
        <w:rPr>
          <w:szCs w:val="22"/>
        </w:rPr>
      </w:pPr>
      <w:r w:rsidRPr="00D62CBE">
        <w:rPr>
          <w:b/>
          <w:szCs w:val="22"/>
          <w:u w:val="single"/>
        </w:rPr>
        <w:t>Compliance Manual</w:t>
      </w:r>
      <w:r w:rsidRPr="00D62CBE">
        <w:rPr>
          <w:szCs w:val="22"/>
        </w:rPr>
        <w:t>.  Within sixty (60) calendar days after the Effective Date, the Compliance Officer shall develop and distribute a Compliance Manual to all Covered Employees.  The Compliance Manual</w:t>
      </w:r>
      <w:r w:rsidRPr="00D62CBE" w:rsidR="00302C38">
        <w:rPr>
          <w:szCs w:val="22"/>
        </w:rPr>
        <w:t xml:space="preserve"> shall explain the </w:t>
      </w:r>
      <w:r w:rsidRPr="00D62CBE" w:rsidR="00D4526F">
        <w:rPr>
          <w:szCs w:val="22"/>
        </w:rPr>
        <w:t>Filing</w:t>
      </w:r>
      <w:r w:rsidRPr="00D62CBE">
        <w:rPr>
          <w:szCs w:val="22"/>
        </w:rPr>
        <w:t xml:space="preserve"> Rules and set forth the Operating Procedures that Covered Employees shall follow to help </w:t>
      </w:r>
      <w:r w:rsidRPr="00D62CBE" w:rsidR="00D4526F">
        <w:rPr>
          <w:szCs w:val="22"/>
        </w:rPr>
        <w:t>Lunex</w:t>
      </w:r>
      <w:r w:rsidRPr="00D62CBE" w:rsidR="00EA12C6">
        <w:rPr>
          <w:szCs w:val="22"/>
        </w:rPr>
        <w:t>’</w:t>
      </w:r>
      <w:r w:rsidRPr="00D62CBE">
        <w:rPr>
          <w:szCs w:val="22"/>
        </w:rPr>
        <w:t>s</w:t>
      </w:r>
      <w:r w:rsidRPr="00D62CBE">
        <w:rPr>
          <w:szCs w:val="22"/>
        </w:rPr>
        <w:t xml:space="preserve"> co</w:t>
      </w:r>
      <w:r w:rsidRPr="00D62CBE" w:rsidR="00302C38">
        <w:rPr>
          <w:szCs w:val="22"/>
        </w:rPr>
        <w:t xml:space="preserve">mpliance with the </w:t>
      </w:r>
      <w:r w:rsidRPr="00D62CBE" w:rsidR="0050179E">
        <w:rPr>
          <w:szCs w:val="22"/>
        </w:rPr>
        <w:t>Filing</w:t>
      </w:r>
      <w:r w:rsidRPr="00D62CBE" w:rsidR="00302C38">
        <w:rPr>
          <w:szCs w:val="22"/>
        </w:rPr>
        <w:t xml:space="preserve"> </w:t>
      </w:r>
      <w:r w:rsidRPr="00D62CBE">
        <w:rPr>
          <w:szCs w:val="22"/>
        </w:rPr>
        <w:t xml:space="preserve">Rules.  </w:t>
      </w:r>
      <w:r w:rsidRPr="00D62CBE" w:rsidR="00D4526F">
        <w:rPr>
          <w:szCs w:val="22"/>
        </w:rPr>
        <w:t>Lunex</w:t>
      </w:r>
      <w:r w:rsidRPr="00D62CBE" w:rsidR="00D4526F">
        <w:rPr>
          <w:szCs w:val="22"/>
        </w:rPr>
        <w:t xml:space="preserve"> </w:t>
      </w:r>
      <w:r w:rsidRPr="00D62CBE">
        <w:rPr>
          <w:szCs w:val="22"/>
        </w:rPr>
        <w:t xml:space="preserve">shall periodically review and revise the Compliance Manual as necessary to ensure that the information set forth therein </w:t>
      </w:r>
      <w:r w:rsidRPr="00D62CBE">
        <w:rPr>
          <w:szCs w:val="22"/>
        </w:rPr>
        <w:t>remains current and accurate</w:t>
      </w:r>
      <w:r w:rsidRPr="00D62CBE" w:rsidR="0050179E">
        <w:rPr>
          <w:szCs w:val="22"/>
        </w:rPr>
        <w:t xml:space="preserve">.  </w:t>
      </w:r>
      <w:r w:rsidRPr="00D62CBE" w:rsidR="0050179E">
        <w:rPr>
          <w:szCs w:val="22"/>
        </w:rPr>
        <w:t>Lunex</w:t>
      </w:r>
      <w:r w:rsidRPr="00D62CBE" w:rsidR="00EA12C6">
        <w:rPr>
          <w:szCs w:val="22"/>
        </w:rPr>
        <w:t xml:space="preserve"> </w:t>
      </w:r>
      <w:r w:rsidRPr="00D62CBE">
        <w:rPr>
          <w:szCs w:val="22"/>
        </w:rPr>
        <w:t xml:space="preserve">shall distribute any revisions to the Compliance Manual promptly to </w:t>
      </w:r>
      <w:r w:rsidRPr="00D62CBE" w:rsidR="006E4E12">
        <w:rPr>
          <w:szCs w:val="22"/>
        </w:rPr>
        <w:t xml:space="preserve">all </w:t>
      </w:r>
      <w:r w:rsidRPr="00D62CBE">
        <w:rPr>
          <w:szCs w:val="22"/>
        </w:rPr>
        <w:t>Covered Employees.</w:t>
      </w:r>
    </w:p>
    <w:p w:rsidR="0055035F" w:rsidRPr="00D62CBE" w:rsidP="00F60217" w14:paraId="709AA743" w14:textId="4D70A9C5">
      <w:pPr>
        <w:widowControl/>
        <w:numPr>
          <w:ilvl w:val="0"/>
          <w:numId w:val="6"/>
        </w:numPr>
        <w:tabs>
          <w:tab w:val="clear" w:pos="1656"/>
        </w:tabs>
        <w:spacing w:after="120"/>
        <w:ind w:left="1886"/>
        <w:rPr>
          <w:szCs w:val="22"/>
        </w:rPr>
      </w:pPr>
      <w:r w:rsidRPr="00D62CBE">
        <w:rPr>
          <w:b/>
          <w:szCs w:val="22"/>
          <w:u w:val="single"/>
        </w:rPr>
        <w:t>Compliance Training Program</w:t>
      </w:r>
      <w:r w:rsidRPr="00D62CBE">
        <w:rPr>
          <w:szCs w:val="22"/>
        </w:rPr>
        <w:t xml:space="preserve">.  </w:t>
      </w:r>
      <w:r w:rsidRPr="00D62CBE" w:rsidR="00D4526F">
        <w:rPr>
          <w:szCs w:val="22"/>
        </w:rPr>
        <w:t>Lunex</w:t>
      </w:r>
      <w:r w:rsidRPr="00D62CBE" w:rsidR="00D4526F">
        <w:rPr>
          <w:szCs w:val="22"/>
        </w:rPr>
        <w:t xml:space="preserve"> </w:t>
      </w:r>
      <w:r w:rsidRPr="00D62CBE">
        <w:rPr>
          <w:szCs w:val="22"/>
        </w:rPr>
        <w:t>shall establish and implement a Compliance Training Program on c</w:t>
      </w:r>
      <w:r w:rsidRPr="00D62CBE" w:rsidR="00302C38">
        <w:rPr>
          <w:szCs w:val="22"/>
        </w:rPr>
        <w:t xml:space="preserve">ompliance with </w:t>
      </w:r>
      <w:r w:rsidRPr="00D62CBE" w:rsidR="00D4526F">
        <w:rPr>
          <w:szCs w:val="22"/>
        </w:rPr>
        <w:t>Filing</w:t>
      </w:r>
      <w:r w:rsidRPr="00D62CBE">
        <w:rPr>
          <w:szCs w:val="22"/>
        </w:rPr>
        <w:t xml:space="preserve"> Rules and the Operating Procedures.  As part of the Compliance Training Program, Covered Employees shall be advised of </w:t>
      </w:r>
      <w:r w:rsidRPr="00D62CBE" w:rsidR="000544D9">
        <w:rPr>
          <w:szCs w:val="22"/>
        </w:rPr>
        <w:t>Lunex</w:t>
      </w:r>
      <w:r w:rsidRPr="00D62CBE" w:rsidR="00EA12C6">
        <w:rPr>
          <w:szCs w:val="22"/>
        </w:rPr>
        <w:t>’</w:t>
      </w:r>
      <w:r w:rsidRPr="00D62CBE">
        <w:rPr>
          <w:szCs w:val="22"/>
        </w:rPr>
        <w:t>s</w:t>
      </w:r>
      <w:r w:rsidRPr="00D62CBE">
        <w:rPr>
          <w:szCs w:val="22"/>
        </w:rPr>
        <w:t xml:space="preserve"> obligation to report any noncomplia</w:t>
      </w:r>
      <w:r w:rsidRPr="00D62CBE" w:rsidR="00302C38">
        <w:rPr>
          <w:szCs w:val="22"/>
        </w:rPr>
        <w:t xml:space="preserve">nce with the </w:t>
      </w:r>
      <w:r w:rsidRPr="00D62CBE" w:rsidR="000544D9">
        <w:rPr>
          <w:szCs w:val="22"/>
        </w:rPr>
        <w:t>Filing</w:t>
      </w:r>
      <w:r w:rsidRPr="00D62CBE">
        <w:rPr>
          <w:szCs w:val="22"/>
        </w:rPr>
        <w:t xml:space="preserve"> Rules under paragraph </w:t>
      </w:r>
      <w:r w:rsidRPr="00D62CBE" w:rsidR="00AA5CC3">
        <w:rPr>
          <w:szCs w:val="22"/>
        </w:rPr>
        <w:t xml:space="preserve">16 </w:t>
      </w:r>
      <w:r w:rsidRPr="00D62CBE">
        <w:rPr>
          <w:szCs w:val="22"/>
        </w:rPr>
        <w:t>of this Consent Decree and shall be instructed on how to disclose noncompliance to the Compliance Officer.  All Covered Employees shall be trained pursuant to the Compliance Training Program within sixty (60) calendar days after the Effe</w:t>
      </w:r>
      <w:r w:rsidRPr="00D62CBE" w:rsidR="00302C38">
        <w:rPr>
          <w:szCs w:val="22"/>
        </w:rPr>
        <w:t>ctive Date, except</w:t>
      </w:r>
      <w:r w:rsidRPr="00D62CBE" w:rsidR="00BD5BEC">
        <w:rPr>
          <w:szCs w:val="22"/>
        </w:rPr>
        <w:t xml:space="preserve"> that a</w:t>
      </w:r>
      <w:r w:rsidRPr="00D62CBE">
        <w:rPr>
          <w:szCs w:val="22"/>
        </w:rPr>
        <w:t xml:space="preserve">ny person who becomes a Covered </w:t>
      </w:r>
      <w:r w:rsidRPr="00D62CBE" w:rsidR="00036B37">
        <w:rPr>
          <w:szCs w:val="22"/>
        </w:rPr>
        <w:t>Employee at any time after the i</w:t>
      </w:r>
      <w:r w:rsidRPr="00D62CBE">
        <w:rPr>
          <w:szCs w:val="22"/>
        </w:rPr>
        <w:t xml:space="preserve">nitial </w:t>
      </w:r>
      <w:r w:rsidRPr="00D62CBE" w:rsidR="006F7147">
        <w:rPr>
          <w:szCs w:val="22"/>
        </w:rPr>
        <w:t xml:space="preserve">Compliance </w:t>
      </w:r>
      <w:r w:rsidRPr="00D62CBE">
        <w:rPr>
          <w:szCs w:val="22"/>
        </w:rPr>
        <w:t xml:space="preserve">Training Program shall be trained within thirty (30) calendar days after the date such person becomes a Covered Employee.  </w:t>
      </w:r>
      <w:r w:rsidRPr="00D62CBE" w:rsidR="000544D9">
        <w:rPr>
          <w:szCs w:val="22"/>
        </w:rPr>
        <w:t>Lunex</w:t>
      </w:r>
      <w:r w:rsidRPr="00D62CBE" w:rsidR="000544D9">
        <w:rPr>
          <w:szCs w:val="22"/>
        </w:rPr>
        <w:t xml:space="preserve"> </w:t>
      </w:r>
      <w:r w:rsidRPr="00D62CBE" w:rsidR="00036B37">
        <w:rPr>
          <w:szCs w:val="22"/>
        </w:rPr>
        <w:t>shall repeat</w:t>
      </w:r>
      <w:r w:rsidRPr="00D62CBE">
        <w:rPr>
          <w:szCs w:val="22"/>
        </w:rPr>
        <w:t xml:space="preserve"> compliance training on an annual </w:t>
      </w:r>
      <w:r w:rsidRPr="00D62CBE">
        <w:rPr>
          <w:szCs w:val="22"/>
        </w:rPr>
        <w:t>basis, and</w:t>
      </w:r>
      <w:r w:rsidRPr="00D62CBE">
        <w:rPr>
          <w:szCs w:val="22"/>
        </w:rPr>
        <w:t xml:space="preserve"> shall periodically review and revise the Compliance Training Program as necessary to ensure that it remains current and complete and to enhance its effectiveness.</w:t>
      </w:r>
    </w:p>
    <w:p w:rsidR="006F0DB8" w:rsidRPr="00D62CBE" w:rsidP="00657894" w14:paraId="667102A1" w14:textId="77777777">
      <w:pPr>
        <w:pStyle w:val="ParaNum"/>
        <w:rPr>
          <w:szCs w:val="22"/>
        </w:rPr>
      </w:pPr>
      <w:bookmarkStart w:id="10" w:name="_Ref321323028"/>
      <w:bookmarkStart w:id="11" w:name="_Ref63756022"/>
      <w:r w:rsidRPr="00D62CBE">
        <w:rPr>
          <w:b/>
          <w:szCs w:val="22"/>
          <w:u w:val="single"/>
        </w:rPr>
        <w:t>Reporting Noncompliance</w:t>
      </w:r>
      <w:r w:rsidRPr="00D62CBE">
        <w:rPr>
          <w:szCs w:val="22"/>
        </w:rPr>
        <w:t xml:space="preserve">.  </w:t>
      </w:r>
      <w:r w:rsidRPr="00D62CBE" w:rsidR="000544D9">
        <w:rPr>
          <w:szCs w:val="22"/>
        </w:rPr>
        <w:t>Lunex</w:t>
      </w:r>
      <w:r w:rsidRPr="00D62CBE" w:rsidR="000544D9">
        <w:rPr>
          <w:szCs w:val="22"/>
        </w:rPr>
        <w:t xml:space="preserve"> </w:t>
      </w:r>
      <w:r w:rsidRPr="00D62CBE">
        <w:rPr>
          <w:szCs w:val="22"/>
        </w:rPr>
        <w:t xml:space="preserve">shall report any noncompliance with the </w:t>
      </w:r>
      <w:r w:rsidRPr="00D62CBE" w:rsidR="000544D9">
        <w:rPr>
          <w:szCs w:val="22"/>
        </w:rPr>
        <w:t>Filing</w:t>
      </w:r>
      <w:r w:rsidRPr="00D62CBE">
        <w:rPr>
          <w:szCs w:val="22"/>
        </w:rPr>
        <w:t xml:space="preserve"> Rules and with the terms and conditions of this Consent Decree within fifteen (15) calendar days after discovery of such noncompliance.  Such reports shall include a detailed explanation of</w:t>
      </w:r>
      <w:r w:rsidRPr="00D62CBE" w:rsidR="008A7975">
        <w:rPr>
          <w:szCs w:val="22"/>
        </w:rPr>
        <w:t>:</w:t>
      </w:r>
      <w:r w:rsidRPr="00D62CBE">
        <w:rPr>
          <w:szCs w:val="22"/>
        </w:rPr>
        <w:t xml:space="preserve"> </w:t>
      </w:r>
      <w:r w:rsidRPr="00D62CBE" w:rsidR="008A7975">
        <w:rPr>
          <w:szCs w:val="22"/>
        </w:rPr>
        <w:t xml:space="preserve"> </w:t>
      </w:r>
      <w:r w:rsidRPr="00D62CBE">
        <w:rPr>
          <w:szCs w:val="22"/>
        </w:rPr>
        <w:t>(</w:t>
      </w:r>
      <w:r w:rsidRPr="00D62CBE">
        <w:rPr>
          <w:szCs w:val="22"/>
        </w:rPr>
        <w:t>i</w:t>
      </w:r>
      <w:r w:rsidRPr="00D62CBE">
        <w:rPr>
          <w:szCs w:val="22"/>
        </w:rPr>
        <w:t xml:space="preserve">) each instance of noncompliance; (ii) the steps that </w:t>
      </w:r>
      <w:r w:rsidRPr="00D62CBE" w:rsidR="000544D9">
        <w:rPr>
          <w:szCs w:val="22"/>
        </w:rPr>
        <w:t>Lunex</w:t>
      </w:r>
      <w:r w:rsidRPr="00D62CBE" w:rsidR="000544D9">
        <w:rPr>
          <w:szCs w:val="22"/>
        </w:rPr>
        <w:t xml:space="preserve"> </w:t>
      </w:r>
      <w:r w:rsidRPr="00D62CBE">
        <w:rPr>
          <w:szCs w:val="22"/>
        </w:rPr>
        <w:t>has taken or will take to remedy such noncompliance; (iii) the schedule on which such remedial actions will be taken; and (iv) the steps that</w:t>
      </w:r>
      <w:r w:rsidRPr="00D62CBE" w:rsidR="009C4501">
        <w:rPr>
          <w:szCs w:val="22"/>
        </w:rPr>
        <w:t xml:space="preserve"> </w:t>
      </w:r>
      <w:r w:rsidRPr="00D62CBE" w:rsidR="000544D9">
        <w:rPr>
          <w:szCs w:val="22"/>
        </w:rPr>
        <w:t>Lunex</w:t>
      </w:r>
      <w:r w:rsidRPr="00D62CBE" w:rsidR="000544D9">
        <w:rPr>
          <w:szCs w:val="22"/>
        </w:rPr>
        <w:t xml:space="preserve"> </w:t>
      </w:r>
      <w:r w:rsidRPr="00D62CBE">
        <w:rPr>
          <w:szCs w:val="22"/>
        </w:rPr>
        <w:t xml:space="preserve">has taken or will take to prevent the recurrence of any such noncompliance.  </w:t>
      </w:r>
      <w:bookmarkStart w:id="12" w:name="_Ref379202892"/>
      <w:bookmarkEnd w:id="10"/>
      <w:r w:rsidRPr="00D62CBE" w:rsidR="000544D9">
        <w:rPr>
          <w:szCs w:val="22"/>
        </w:rPr>
        <w:t xml:space="preserve">All reports of noncompliance shall be submitted by U.S. mail and electronically to Jeffrey Gee, Chief, Investigations &amp; Hearings Division, Enforcement Bureau, Federal Communications Commission, 45 L Street, N.E., Washington, D.C. 20554, </w:t>
      </w:r>
      <w:hyperlink r:id="rId10" w:history="1">
        <w:r w:rsidRPr="00D62CBE" w:rsidR="000544D9">
          <w:rPr>
            <w:rStyle w:val="Hyperlink"/>
            <w:szCs w:val="22"/>
          </w:rPr>
          <w:t>Jeffrey.Gee@fcc.gov</w:t>
        </w:r>
      </w:hyperlink>
      <w:r w:rsidRPr="00D62CBE" w:rsidR="000544D9">
        <w:rPr>
          <w:szCs w:val="22"/>
        </w:rPr>
        <w:t xml:space="preserve">, with a copy submitted electronically to </w:t>
      </w:r>
      <w:hyperlink r:id="rId11" w:history="1">
        <w:r w:rsidRPr="00D62CBE" w:rsidR="000544D9">
          <w:rPr>
            <w:rStyle w:val="Hyperlink"/>
            <w:szCs w:val="22"/>
          </w:rPr>
          <w:t>Pam.Slipakoff@fcc.gov</w:t>
        </w:r>
      </w:hyperlink>
      <w:r w:rsidRPr="00D62CBE" w:rsidR="000544D9">
        <w:rPr>
          <w:szCs w:val="22"/>
        </w:rPr>
        <w:t>.</w:t>
      </w:r>
      <w:bookmarkEnd w:id="11"/>
      <w:r w:rsidRPr="00D62CBE" w:rsidR="000544D9">
        <w:rPr>
          <w:szCs w:val="22"/>
        </w:rPr>
        <w:t xml:space="preserve">  </w:t>
      </w:r>
    </w:p>
    <w:p w:rsidR="00E02214" w:rsidRPr="00D62CBE" w:rsidP="00657894" w14:paraId="0A5BCDC9" w14:textId="43ACB161">
      <w:pPr>
        <w:pStyle w:val="ParaNum"/>
        <w:rPr>
          <w:szCs w:val="22"/>
        </w:rPr>
      </w:pPr>
      <w:r w:rsidRPr="00D62CBE">
        <w:rPr>
          <w:b/>
          <w:szCs w:val="22"/>
          <w:u w:val="single"/>
        </w:rPr>
        <w:t>Compliance Reports</w:t>
      </w:r>
      <w:r w:rsidRPr="00D62CBE">
        <w:rPr>
          <w:szCs w:val="22"/>
        </w:rPr>
        <w:t xml:space="preserve">.  </w:t>
      </w:r>
      <w:r w:rsidRPr="00D62CBE" w:rsidR="000544D9">
        <w:rPr>
          <w:szCs w:val="22"/>
        </w:rPr>
        <w:t>Lunex</w:t>
      </w:r>
      <w:r w:rsidRPr="00D62CBE" w:rsidR="000544D9">
        <w:rPr>
          <w:szCs w:val="22"/>
        </w:rPr>
        <w:t xml:space="preserve"> </w:t>
      </w:r>
      <w:r w:rsidRPr="00D62CBE">
        <w:rPr>
          <w:szCs w:val="22"/>
        </w:rPr>
        <w:t xml:space="preserve">shall file </w:t>
      </w:r>
      <w:r w:rsidRPr="00D62CBE" w:rsidR="00014484">
        <w:rPr>
          <w:szCs w:val="22"/>
        </w:rPr>
        <w:t>c</w:t>
      </w:r>
      <w:r w:rsidRPr="00D62CBE">
        <w:rPr>
          <w:szCs w:val="22"/>
        </w:rPr>
        <w:t xml:space="preserve">ompliance </w:t>
      </w:r>
      <w:r w:rsidRPr="00D62CBE" w:rsidR="00014484">
        <w:rPr>
          <w:szCs w:val="22"/>
        </w:rPr>
        <w:t>r</w:t>
      </w:r>
      <w:r w:rsidRPr="00D62CBE">
        <w:rPr>
          <w:szCs w:val="22"/>
        </w:rPr>
        <w:t>eports with the Commission ninety (90) calendar days after the Effective Date, twelve (12) months after the Effective Date, twenty-four (24) months after the Effective Date, thirty-six (36)</w:t>
      </w:r>
      <w:r w:rsidRPr="00D62CBE" w:rsidR="000544D9">
        <w:rPr>
          <w:szCs w:val="22"/>
        </w:rPr>
        <w:t>, forty-eight (48)</w:t>
      </w:r>
      <w:r w:rsidRPr="00D62CBE">
        <w:rPr>
          <w:szCs w:val="22"/>
        </w:rPr>
        <w:t xml:space="preserve"> months</w:t>
      </w:r>
      <w:r w:rsidRPr="00D62CBE" w:rsidR="000544D9">
        <w:rPr>
          <w:szCs w:val="22"/>
        </w:rPr>
        <w:t xml:space="preserve">, and sixty (60) months </w:t>
      </w:r>
      <w:r w:rsidRPr="00D62CBE">
        <w:rPr>
          <w:szCs w:val="22"/>
        </w:rPr>
        <w:t>after the Effective Date.</w:t>
      </w:r>
      <w:bookmarkEnd w:id="12"/>
      <w:r w:rsidRPr="00D62CBE" w:rsidR="003533DC">
        <w:rPr>
          <w:szCs w:val="22"/>
        </w:rPr>
        <w:t xml:space="preserve">  </w:t>
      </w:r>
    </w:p>
    <w:p w:rsidR="00E02214" w:rsidRPr="00D62CBE" w:rsidP="00F60217" w14:paraId="7EF25289" w14:textId="762DC3BA">
      <w:pPr>
        <w:widowControl/>
        <w:numPr>
          <w:ilvl w:val="0"/>
          <w:numId w:val="7"/>
        </w:numPr>
        <w:tabs>
          <w:tab w:val="clear" w:pos="1782"/>
        </w:tabs>
        <w:spacing w:after="120"/>
        <w:ind w:left="1886"/>
        <w:rPr>
          <w:szCs w:val="22"/>
        </w:rPr>
      </w:pPr>
      <w:r w:rsidRPr="00D62CBE">
        <w:rPr>
          <w:szCs w:val="22"/>
        </w:rPr>
        <w:t xml:space="preserve">Each Compliance Report shall include a detailed description of </w:t>
      </w:r>
      <w:r w:rsidRPr="00D62CBE" w:rsidR="000544D9">
        <w:rPr>
          <w:szCs w:val="22"/>
        </w:rPr>
        <w:t>Lunex</w:t>
      </w:r>
      <w:r w:rsidRPr="00D62CBE" w:rsidR="00EA12C6">
        <w:rPr>
          <w:szCs w:val="22"/>
        </w:rPr>
        <w:t>’</w:t>
      </w:r>
      <w:r w:rsidRPr="00D62CBE">
        <w:rPr>
          <w:szCs w:val="22"/>
        </w:rPr>
        <w:t>s</w:t>
      </w:r>
      <w:r w:rsidRPr="00D62CBE">
        <w:rPr>
          <w:szCs w:val="22"/>
        </w:rPr>
        <w:t xml:space="preserve"> efforts during the relevant period to comply with the terms and conditions of this Consent Decree and the </w:t>
      </w:r>
      <w:r w:rsidRPr="00D62CBE" w:rsidR="000544D9">
        <w:rPr>
          <w:szCs w:val="22"/>
        </w:rPr>
        <w:t xml:space="preserve">Filing </w:t>
      </w:r>
      <w:r w:rsidRPr="00D62CBE">
        <w:rPr>
          <w:szCs w:val="22"/>
        </w:rPr>
        <w:t xml:space="preserve">Rules.  In addition, each Compliance Report shall include a certification by the Compliance Officer, as an agent of and on behalf of </w:t>
      </w:r>
      <w:r w:rsidRPr="00D62CBE" w:rsidR="000544D9">
        <w:rPr>
          <w:szCs w:val="22"/>
        </w:rPr>
        <w:t>Lunex</w:t>
      </w:r>
      <w:r w:rsidRPr="00D62CBE" w:rsidR="000544D9">
        <w:rPr>
          <w:szCs w:val="22"/>
        </w:rPr>
        <w:t xml:space="preserve">, </w:t>
      </w:r>
      <w:r w:rsidRPr="00D62CBE">
        <w:rPr>
          <w:szCs w:val="22"/>
        </w:rPr>
        <w:t xml:space="preserve">stating that the Compliance Officer has personal knowledge that </w:t>
      </w:r>
      <w:r w:rsidRPr="00D62CBE" w:rsidR="000544D9">
        <w:rPr>
          <w:szCs w:val="22"/>
        </w:rPr>
        <w:t>Lunex</w:t>
      </w:r>
      <w:r w:rsidRPr="00D62CBE" w:rsidR="003533DC">
        <w:rPr>
          <w:szCs w:val="22"/>
        </w:rPr>
        <w:t>:</w:t>
      </w:r>
      <w:r w:rsidRPr="00D62CBE" w:rsidR="00EA12C6">
        <w:rPr>
          <w:szCs w:val="22"/>
        </w:rPr>
        <w:t xml:space="preserve"> </w:t>
      </w:r>
      <w:r w:rsidRPr="00D62CBE" w:rsidR="003533DC">
        <w:rPr>
          <w:szCs w:val="22"/>
        </w:rPr>
        <w:t xml:space="preserve"> </w:t>
      </w:r>
      <w:r w:rsidRPr="00D62CBE">
        <w:rPr>
          <w:szCs w:val="22"/>
        </w:rPr>
        <w:t>(</w:t>
      </w:r>
      <w:r w:rsidRPr="00D62CBE">
        <w:rPr>
          <w:szCs w:val="22"/>
        </w:rPr>
        <w:t>i</w:t>
      </w:r>
      <w:r w:rsidRPr="00D62CBE">
        <w:rPr>
          <w:szCs w:val="22"/>
        </w:rPr>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D62CBE">
        <w:rPr>
          <w:b/>
          <w:szCs w:val="22"/>
        </w:rPr>
        <w:t xml:space="preserve"> </w:t>
      </w:r>
      <w:r w:rsidRPr="00D62CBE" w:rsidR="00EB7D61">
        <w:rPr>
          <w:bCs/>
          <w:szCs w:val="22"/>
        </w:rPr>
        <w:fldChar w:fldCharType="begin"/>
      </w:r>
      <w:r w:rsidRPr="00D62CBE" w:rsidR="00EB7D61">
        <w:rPr>
          <w:bCs/>
          <w:szCs w:val="22"/>
        </w:rPr>
        <w:instrText xml:space="preserve"> REF _Ref63756022 \r \h  \* MERGEFORMAT </w:instrText>
      </w:r>
      <w:r w:rsidRPr="00D62CBE" w:rsidR="00EB7D61">
        <w:rPr>
          <w:bCs/>
          <w:szCs w:val="22"/>
        </w:rPr>
        <w:fldChar w:fldCharType="separate"/>
      </w:r>
      <w:r w:rsidRPr="00D62CBE" w:rsidR="00EB7D61">
        <w:rPr>
          <w:bCs/>
          <w:szCs w:val="22"/>
        </w:rPr>
        <w:t>16</w:t>
      </w:r>
      <w:r w:rsidRPr="00D62CBE" w:rsidR="00EB7D61">
        <w:rPr>
          <w:bCs/>
          <w:szCs w:val="22"/>
        </w:rPr>
        <w:fldChar w:fldCharType="end"/>
      </w:r>
      <w:r w:rsidRPr="00D62CBE" w:rsidR="00EB7D61">
        <w:rPr>
          <w:b/>
          <w:szCs w:val="22"/>
        </w:rPr>
        <w:t xml:space="preserve"> </w:t>
      </w:r>
      <w:r w:rsidRPr="00D62CBE">
        <w:rPr>
          <w:szCs w:val="22"/>
        </w:rPr>
        <w:t>of this Consent Decree.</w:t>
      </w:r>
    </w:p>
    <w:p w:rsidR="00E02214" w:rsidRPr="00D62CBE" w:rsidP="00F60217" w14:paraId="31554CA7" w14:textId="1AE2D197">
      <w:pPr>
        <w:widowControl/>
        <w:numPr>
          <w:ilvl w:val="0"/>
          <w:numId w:val="7"/>
        </w:numPr>
        <w:tabs>
          <w:tab w:val="clear" w:pos="1782"/>
        </w:tabs>
        <w:spacing w:after="120"/>
        <w:ind w:left="1886"/>
        <w:rPr>
          <w:szCs w:val="22"/>
        </w:rPr>
      </w:pPr>
      <w:r w:rsidRPr="00D62CBE">
        <w:rPr>
          <w:szCs w:val="22"/>
        </w:rPr>
        <w:t xml:space="preserve">The Compliance Officer’s certification shall be accompanied by a statement explaining the basis for such certification and shall comply with </w:t>
      </w:r>
      <w:r w:rsidRPr="00D62CBE" w:rsidR="00562C22">
        <w:rPr>
          <w:szCs w:val="22"/>
        </w:rPr>
        <w:t>Section</w:t>
      </w:r>
      <w:r w:rsidRPr="00D62CBE">
        <w:rPr>
          <w:szCs w:val="22"/>
        </w:rPr>
        <w:t xml:space="preserve"> 1.16 of the Rules and be subscribed to as true under penalty of perjury in substantially the form set forth therein.</w:t>
      </w:r>
      <w:r>
        <w:rPr>
          <w:rStyle w:val="FootnoteReference"/>
          <w:sz w:val="22"/>
          <w:szCs w:val="22"/>
        </w:rPr>
        <w:footnoteReference w:id="40"/>
      </w:r>
    </w:p>
    <w:p w:rsidR="00E02214" w:rsidRPr="00D62CBE" w:rsidP="00F60217" w14:paraId="306A7850" w14:textId="77777777">
      <w:pPr>
        <w:widowControl/>
        <w:numPr>
          <w:ilvl w:val="0"/>
          <w:numId w:val="7"/>
        </w:numPr>
        <w:tabs>
          <w:tab w:val="clear" w:pos="1782"/>
        </w:tabs>
        <w:spacing w:after="120"/>
        <w:ind w:left="1886"/>
        <w:rPr>
          <w:szCs w:val="22"/>
        </w:rPr>
      </w:pPr>
      <w:r w:rsidRPr="00D62CBE">
        <w:rPr>
          <w:szCs w:val="22"/>
        </w:rPr>
        <w:t xml:space="preserve">If the Compliance Officer cannot provide the requisite certification, the Compliance Officer, as an agent of and on behalf of </w:t>
      </w:r>
      <w:r w:rsidRPr="00D62CBE" w:rsidR="000544D9">
        <w:rPr>
          <w:szCs w:val="22"/>
        </w:rPr>
        <w:t>Lunex</w:t>
      </w:r>
      <w:r w:rsidRPr="00D62CBE" w:rsidR="000544D9">
        <w:rPr>
          <w:szCs w:val="22"/>
        </w:rPr>
        <w:t xml:space="preserve">, </w:t>
      </w:r>
      <w:r w:rsidRPr="00D62CBE">
        <w:rPr>
          <w:szCs w:val="22"/>
        </w:rPr>
        <w:t>shall provide the Commission with a detailed explanation of the reason(s) why and describe fully</w:t>
      </w:r>
      <w:r w:rsidRPr="00D62CBE" w:rsidR="003533DC">
        <w:rPr>
          <w:szCs w:val="22"/>
        </w:rPr>
        <w:t>:</w:t>
      </w:r>
      <w:r w:rsidRPr="00D62CBE">
        <w:rPr>
          <w:szCs w:val="22"/>
        </w:rPr>
        <w:t xml:space="preserve"> </w:t>
      </w:r>
      <w:r w:rsidRPr="00D62CBE" w:rsidR="003533DC">
        <w:rPr>
          <w:szCs w:val="22"/>
        </w:rPr>
        <w:t xml:space="preserve"> </w:t>
      </w:r>
      <w:r w:rsidRPr="00D62CBE">
        <w:rPr>
          <w:szCs w:val="22"/>
        </w:rPr>
        <w:t>(</w:t>
      </w:r>
      <w:r w:rsidRPr="00D62CBE">
        <w:rPr>
          <w:szCs w:val="22"/>
        </w:rPr>
        <w:t>i</w:t>
      </w:r>
      <w:r w:rsidRPr="00D62CBE">
        <w:rPr>
          <w:szCs w:val="22"/>
        </w:rPr>
        <w:t xml:space="preserve">) each instance of noncompliance; (ii) the steps that </w:t>
      </w:r>
      <w:r w:rsidRPr="00D62CBE" w:rsidR="000544D9">
        <w:rPr>
          <w:szCs w:val="22"/>
        </w:rPr>
        <w:t>Lunex</w:t>
      </w:r>
      <w:r w:rsidRPr="00D62CBE" w:rsidR="000544D9">
        <w:rPr>
          <w:szCs w:val="22"/>
        </w:rPr>
        <w:t xml:space="preserve"> </w:t>
      </w:r>
      <w:r w:rsidRPr="00D62CBE">
        <w:rPr>
          <w:szCs w:val="22"/>
        </w:rPr>
        <w:t xml:space="preserve">has taken or will take to remedy such noncompliance, including the schedule on which proposed remedial actions will be taken; and (iii) the steps that </w:t>
      </w:r>
      <w:r w:rsidRPr="00D62CBE" w:rsidR="000544D9">
        <w:rPr>
          <w:szCs w:val="22"/>
        </w:rPr>
        <w:t>Lunex</w:t>
      </w:r>
      <w:r w:rsidRPr="00D62CBE">
        <w:rPr>
          <w:szCs w:val="22"/>
        </w:rPr>
        <w:t xml:space="preserve"> has taken or will take to prevent the recurrence </w:t>
      </w:r>
      <w:r w:rsidRPr="00D62CBE">
        <w:rPr>
          <w:szCs w:val="22"/>
        </w:rPr>
        <w:t>of any such noncompliance, including the schedule on which such preventive action will be taken.</w:t>
      </w:r>
    </w:p>
    <w:p w:rsidR="000544D9" w:rsidRPr="00D62CBE" w:rsidP="000544D9" w14:paraId="7F966023" w14:textId="364C4CC6">
      <w:pPr>
        <w:widowControl/>
        <w:numPr>
          <w:ilvl w:val="0"/>
          <w:numId w:val="7"/>
        </w:numPr>
        <w:tabs>
          <w:tab w:val="clear" w:pos="1782"/>
        </w:tabs>
        <w:spacing w:after="120"/>
        <w:ind w:left="1886" w:hanging="450"/>
        <w:rPr>
          <w:szCs w:val="22"/>
        </w:rPr>
      </w:pPr>
      <w:r w:rsidRPr="00D62CBE">
        <w:rPr>
          <w:szCs w:val="22"/>
        </w:rPr>
        <w:t xml:space="preserve">All Compliance Reports shall be submitted by U.S. mail and electronically to Jeffrey Gee, Chief, Investigations &amp; Hearings Division, Enforcement Bureau, Federal Communications Commission, 45 L Street, N.E., Washington, D.C. 20554, </w:t>
      </w:r>
      <w:hyperlink r:id="rId10" w:history="1">
        <w:r w:rsidRPr="00D62CBE">
          <w:rPr>
            <w:rStyle w:val="Hyperlink"/>
            <w:szCs w:val="22"/>
          </w:rPr>
          <w:t>Jeffrey.Gee@fcc.gov</w:t>
        </w:r>
      </w:hyperlink>
      <w:r w:rsidRPr="00D62CBE">
        <w:rPr>
          <w:szCs w:val="22"/>
        </w:rPr>
        <w:t>, with a copy submitted electronically to</w:t>
      </w:r>
      <w:r w:rsidRPr="00D62CBE" w:rsidR="0050179E">
        <w:rPr>
          <w:szCs w:val="22"/>
        </w:rPr>
        <w:t xml:space="preserve"> </w:t>
      </w:r>
      <w:hyperlink r:id="rId11" w:history="1">
        <w:r w:rsidRPr="00D62CBE" w:rsidR="0050179E">
          <w:rPr>
            <w:rStyle w:val="Hyperlink"/>
            <w:szCs w:val="22"/>
          </w:rPr>
          <w:t>Pam.Slipakoff@fcc.gov</w:t>
        </w:r>
      </w:hyperlink>
      <w:r w:rsidRPr="00D62CBE">
        <w:rPr>
          <w:szCs w:val="22"/>
        </w:rPr>
        <w:t>.</w:t>
      </w:r>
    </w:p>
    <w:p w:rsidR="006671C1" w:rsidRPr="00D62CBE" w:rsidP="003533DC" w14:paraId="76620170" w14:textId="3956572D">
      <w:pPr>
        <w:pStyle w:val="ParaNum"/>
        <w:rPr>
          <w:szCs w:val="22"/>
        </w:rPr>
      </w:pPr>
      <w:r w:rsidRPr="00D62CBE">
        <w:rPr>
          <w:b/>
          <w:szCs w:val="22"/>
          <w:u w:val="single"/>
        </w:rPr>
        <w:t>Termination Date</w:t>
      </w:r>
      <w:r w:rsidRPr="00D62CBE">
        <w:rPr>
          <w:szCs w:val="22"/>
        </w:rPr>
        <w:t xml:space="preserve">. </w:t>
      </w:r>
      <w:r w:rsidRPr="00D62CBE">
        <w:rPr>
          <w:b/>
          <w:szCs w:val="22"/>
        </w:rPr>
        <w:t xml:space="preserve"> </w:t>
      </w:r>
      <w:r w:rsidRPr="00D62CBE">
        <w:rPr>
          <w:szCs w:val="22"/>
        </w:rPr>
        <w:t xml:space="preserve">Unless stated otherwise, the </w:t>
      </w:r>
      <w:r w:rsidRPr="00D62CBE" w:rsidR="00C3652C">
        <w:rPr>
          <w:szCs w:val="22"/>
        </w:rPr>
        <w:t>requirement</w:t>
      </w:r>
      <w:r w:rsidRPr="00D62CBE">
        <w:rPr>
          <w:szCs w:val="22"/>
        </w:rPr>
        <w:t xml:space="preserve">s set forth in paragraphs </w:t>
      </w:r>
      <w:r w:rsidRPr="00D62CBE" w:rsidR="00AA5CC3">
        <w:rPr>
          <w:szCs w:val="22"/>
        </w:rPr>
        <w:t>14</w:t>
      </w:r>
      <w:r w:rsidRPr="00D62CBE">
        <w:rPr>
          <w:szCs w:val="22"/>
        </w:rPr>
        <w:t xml:space="preserve"> through </w:t>
      </w:r>
      <w:r w:rsidRPr="00D62CBE" w:rsidR="00AA5CC3">
        <w:rPr>
          <w:szCs w:val="22"/>
        </w:rPr>
        <w:t>17</w:t>
      </w:r>
      <w:r w:rsidRPr="00D62CBE">
        <w:rPr>
          <w:szCs w:val="22"/>
        </w:rPr>
        <w:t xml:space="preserve"> of this Consent Decree shall expire </w:t>
      </w:r>
      <w:r w:rsidRPr="00D62CBE" w:rsidR="000544D9">
        <w:rPr>
          <w:szCs w:val="22"/>
        </w:rPr>
        <w:t>sixty (60</w:t>
      </w:r>
      <w:r w:rsidRPr="00D62CBE">
        <w:rPr>
          <w:szCs w:val="22"/>
        </w:rPr>
        <w:t>) months after the Effective Date.</w:t>
      </w:r>
      <w:r w:rsidRPr="00D62CBE" w:rsidR="0070112A">
        <w:rPr>
          <w:szCs w:val="22"/>
        </w:rPr>
        <w:t xml:space="preserve">  </w:t>
      </w:r>
    </w:p>
    <w:p w:rsidR="006671C1" w:rsidRPr="00D62CBE" w:rsidP="001B74D4" w14:paraId="54E063AF" w14:textId="2C26908A">
      <w:pPr>
        <w:pStyle w:val="ParaNum"/>
        <w:rPr>
          <w:szCs w:val="22"/>
        </w:rPr>
      </w:pPr>
      <w:r w:rsidRPr="00D62CBE">
        <w:rPr>
          <w:b/>
          <w:iCs/>
          <w:szCs w:val="22"/>
          <w:u w:val="single"/>
        </w:rPr>
        <w:t>Section</w:t>
      </w:r>
      <w:r w:rsidRPr="00D62CBE" w:rsidR="00E02214">
        <w:rPr>
          <w:b/>
          <w:iCs/>
          <w:szCs w:val="22"/>
          <w:u w:val="single"/>
        </w:rPr>
        <w:t xml:space="preserve"> 208 Complaints; Subsequent Investigations</w:t>
      </w:r>
      <w:r w:rsidRPr="00D62CBE" w:rsidR="00E02214">
        <w:rPr>
          <w:iCs/>
          <w:szCs w:val="22"/>
        </w:rPr>
        <w:t xml:space="preserve">.  Nothing in this Consent Decree shall prevent the Commission or its delegated authority from adjudicating complaints filed pursuant to </w:t>
      </w:r>
      <w:r w:rsidRPr="00D62CBE">
        <w:rPr>
          <w:iCs/>
          <w:szCs w:val="22"/>
        </w:rPr>
        <w:t>Section</w:t>
      </w:r>
      <w:r w:rsidRPr="00D62CBE" w:rsidR="00E02214">
        <w:rPr>
          <w:iCs/>
          <w:szCs w:val="22"/>
        </w:rPr>
        <w:t xml:space="preserve"> 208 of the Act</w:t>
      </w:r>
      <w:r>
        <w:rPr>
          <w:rStyle w:val="FootnoteReference"/>
          <w:iCs/>
          <w:sz w:val="22"/>
          <w:szCs w:val="22"/>
        </w:rPr>
        <w:footnoteReference w:id="41"/>
      </w:r>
      <w:r w:rsidRPr="00D62CBE" w:rsidR="00E02214">
        <w:rPr>
          <w:iCs/>
          <w:szCs w:val="22"/>
        </w:rPr>
        <w:t xml:space="preserve"> against </w:t>
      </w:r>
      <w:r w:rsidRPr="00D62CBE" w:rsidR="000544D9">
        <w:rPr>
          <w:iCs/>
          <w:szCs w:val="22"/>
        </w:rPr>
        <w:t>Lunex</w:t>
      </w:r>
      <w:r w:rsidRPr="00D62CBE" w:rsidR="000544D9">
        <w:rPr>
          <w:iCs/>
          <w:szCs w:val="22"/>
        </w:rPr>
        <w:t xml:space="preserve"> </w:t>
      </w:r>
      <w:r w:rsidRPr="00D62CBE" w:rsidR="00E02214">
        <w:rPr>
          <w:iCs/>
          <w:szCs w:val="22"/>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Pr="00D62CBE" w:rsidR="000544D9">
        <w:rPr>
          <w:iCs/>
          <w:szCs w:val="22"/>
        </w:rPr>
        <w:t>Lunex</w:t>
      </w:r>
      <w:r w:rsidRPr="00D62CBE" w:rsidR="000544D9">
        <w:rPr>
          <w:iCs/>
          <w:szCs w:val="22"/>
        </w:rPr>
        <w:t xml:space="preserve"> </w:t>
      </w:r>
      <w:r w:rsidRPr="00D62CBE" w:rsidR="00E02214">
        <w:rPr>
          <w:iCs/>
          <w:szCs w:val="22"/>
        </w:rPr>
        <w:t>with the Communications Laws.</w:t>
      </w:r>
      <w:r w:rsidRPr="00D62CBE" w:rsidR="00F8748A">
        <w:rPr>
          <w:i/>
          <w:szCs w:val="22"/>
        </w:rPr>
        <w:t xml:space="preserve">  </w:t>
      </w:r>
      <w:bookmarkStart w:id="13" w:name="_Ref357521957"/>
    </w:p>
    <w:p w:rsidR="0088350A" w:rsidRPr="00D62CBE" w:rsidP="006671C1" w14:paraId="49AF187E" w14:textId="05FEB118">
      <w:pPr>
        <w:pStyle w:val="ParaNum"/>
        <w:rPr>
          <w:iCs/>
          <w:szCs w:val="22"/>
        </w:rPr>
      </w:pPr>
      <w:r w:rsidRPr="00D62CBE">
        <w:rPr>
          <w:b/>
          <w:iCs/>
          <w:szCs w:val="22"/>
          <w:u w:val="single"/>
        </w:rPr>
        <w:t xml:space="preserve">Civil </w:t>
      </w:r>
      <w:r w:rsidRPr="00D62CBE" w:rsidR="006C3459">
        <w:rPr>
          <w:b/>
          <w:iCs/>
          <w:szCs w:val="22"/>
          <w:u w:val="single"/>
        </w:rPr>
        <w:t>Penalt</w:t>
      </w:r>
      <w:r w:rsidRPr="00D62CBE" w:rsidR="008B628C">
        <w:rPr>
          <w:b/>
          <w:iCs/>
          <w:szCs w:val="22"/>
          <w:u w:val="single"/>
        </w:rPr>
        <w:t>y</w:t>
      </w:r>
      <w:r w:rsidRPr="00D62CBE" w:rsidR="00E02214">
        <w:rPr>
          <w:iCs/>
          <w:szCs w:val="22"/>
        </w:rPr>
        <w:t>.</w:t>
      </w:r>
      <w:r w:rsidRPr="00D62CBE" w:rsidR="00E02214">
        <w:rPr>
          <w:szCs w:val="22"/>
        </w:rPr>
        <w:t xml:space="preserve">  </w:t>
      </w:r>
      <w:r w:rsidRPr="00D62CBE" w:rsidR="000544D9">
        <w:rPr>
          <w:iCs/>
          <w:szCs w:val="22"/>
        </w:rPr>
        <w:t>Lunex</w:t>
      </w:r>
      <w:r w:rsidRPr="00D62CBE" w:rsidR="000544D9">
        <w:rPr>
          <w:iCs/>
          <w:szCs w:val="22"/>
        </w:rPr>
        <w:t xml:space="preserve"> </w:t>
      </w:r>
      <w:r w:rsidRPr="00D62CBE" w:rsidR="003533DC">
        <w:rPr>
          <w:szCs w:val="22"/>
        </w:rPr>
        <w:t xml:space="preserve">will </w:t>
      </w:r>
      <w:r w:rsidRPr="00D62CBE" w:rsidR="00276A71">
        <w:rPr>
          <w:szCs w:val="22"/>
        </w:rPr>
        <w:t>pay a civil penalty</w:t>
      </w:r>
      <w:r w:rsidRPr="00D62CBE" w:rsidR="00220A10">
        <w:rPr>
          <w:szCs w:val="22"/>
        </w:rPr>
        <w:t xml:space="preserve"> </w:t>
      </w:r>
      <w:r w:rsidRPr="00D62CBE" w:rsidR="00E02214">
        <w:rPr>
          <w:szCs w:val="22"/>
        </w:rPr>
        <w:t xml:space="preserve">to the United States Treasury in the amount of </w:t>
      </w:r>
      <w:r w:rsidRPr="00D62CBE" w:rsidR="000544D9">
        <w:rPr>
          <w:szCs w:val="22"/>
        </w:rPr>
        <w:t>two hundred sixteen thousand dollars</w:t>
      </w:r>
      <w:r w:rsidRPr="00D62CBE" w:rsidR="00E02214">
        <w:rPr>
          <w:szCs w:val="22"/>
        </w:rPr>
        <w:t xml:space="preserve"> ($</w:t>
      </w:r>
      <w:r w:rsidRPr="00D62CBE" w:rsidR="000544D9">
        <w:rPr>
          <w:szCs w:val="22"/>
        </w:rPr>
        <w:t>216,000)</w:t>
      </w:r>
      <w:r w:rsidRPr="00D62CBE" w:rsidR="000F779D">
        <w:rPr>
          <w:szCs w:val="22"/>
        </w:rPr>
        <w:t>.</w:t>
      </w:r>
      <w:r w:rsidRPr="00D62CBE" w:rsidR="009D7FB5">
        <w:rPr>
          <w:szCs w:val="22"/>
        </w:rPr>
        <w:t xml:space="preserve"> </w:t>
      </w:r>
      <w:r w:rsidRPr="00D62CBE" w:rsidR="006671C1">
        <w:rPr>
          <w:szCs w:val="22"/>
        </w:rPr>
        <w:t xml:space="preserve"> </w:t>
      </w:r>
      <w:r w:rsidRPr="00D62CBE" w:rsidR="00F82AC0">
        <w:rPr>
          <w:iCs/>
          <w:szCs w:val="22"/>
        </w:rPr>
        <w:t xml:space="preserve">Such payment shall be made in </w:t>
      </w:r>
      <w:r w:rsidRPr="00D62CBE" w:rsidR="006671C1">
        <w:rPr>
          <w:iCs/>
          <w:szCs w:val="22"/>
        </w:rPr>
        <w:t>60</w:t>
      </w:r>
      <w:r w:rsidRPr="00D62CBE" w:rsidR="00F82AC0">
        <w:rPr>
          <w:iCs/>
          <w:szCs w:val="22"/>
        </w:rPr>
        <w:t xml:space="preserve"> installments (each </w:t>
      </w:r>
      <w:r w:rsidRPr="009144B7" w:rsidR="00F82AC0">
        <w:rPr>
          <w:iCs/>
          <w:szCs w:val="22"/>
        </w:rPr>
        <w:t xml:space="preserve">an Installment Payment).  The first Installment Payment in the amount of </w:t>
      </w:r>
      <w:r w:rsidRPr="009144B7" w:rsidR="006671C1">
        <w:rPr>
          <w:iCs/>
          <w:szCs w:val="22"/>
        </w:rPr>
        <w:t>three thousand six hundred dollars</w:t>
      </w:r>
      <w:r w:rsidRPr="009144B7" w:rsidR="00F82AC0">
        <w:rPr>
          <w:iCs/>
          <w:szCs w:val="22"/>
        </w:rPr>
        <w:t xml:space="preserve"> </w:t>
      </w:r>
      <w:r w:rsidRPr="009144B7" w:rsidR="006671C1">
        <w:rPr>
          <w:iCs/>
          <w:szCs w:val="22"/>
        </w:rPr>
        <w:t>(</w:t>
      </w:r>
      <w:r w:rsidRPr="009144B7" w:rsidR="00F82AC0">
        <w:rPr>
          <w:iCs/>
          <w:szCs w:val="22"/>
        </w:rPr>
        <w:t>$</w:t>
      </w:r>
      <w:r w:rsidRPr="009144B7" w:rsidR="006671C1">
        <w:rPr>
          <w:iCs/>
          <w:szCs w:val="22"/>
        </w:rPr>
        <w:t>3,600</w:t>
      </w:r>
      <w:r w:rsidRPr="009144B7" w:rsidR="00F82AC0">
        <w:rPr>
          <w:iCs/>
          <w:szCs w:val="22"/>
        </w:rPr>
        <w:t xml:space="preserve">) is due </w:t>
      </w:r>
      <w:r w:rsidRPr="009144B7" w:rsidR="00AA5CC3">
        <w:rPr>
          <w:iCs/>
          <w:szCs w:val="22"/>
        </w:rPr>
        <w:t>within thirty (30) calendar days of the Effective Date</w:t>
      </w:r>
      <w:r w:rsidRPr="009144B7" w:rsidR="00EB7D61">
        <w:rPr>
          <w:iCs/>
          <w:szCs w:val="22"/>
        </w:rPr>
        <w:t xml:space="preserve">. </w:t>
      </w:r>
      <w:r w:rsidRPr="009144B7" w:rsidR="00F82AC0">
        <w:rPr>
          <w:iCs/>
          <w:szCs w:val="22"/>
        </w:rPr>
        <w:t xml:space="preserve">Thereafter, subsequent Installment Payments of </w:t>
      </w:r>
      <w:r w:rsidRPr="009144B7" w:rsidR="006671C1">
        <w:rPr>
          <w:iCs/>
          <w:szCs w:val="22"/>
        </w:rPr>
        <w:t>three thousand six hundred dollars ($3,600)</w:t>
      </w:r>
      <w:r w:rsidRPr="009144B7" w:rsidR="00F82AC0">
        <w:rPr>
          <w:iCs/>
          <w:szCs w:val="22"/>
        </w:rPr>
        <w:t xml:space="preserve"> will be due </w:t>
      </w:r>
      <w:r w:rsidRPr="009144B7" w:rsidR="005E4AB3">
        <w:rPr>
          <w:iCs/>
          <w:szCs w:val="22"/>
        </w:rPr>
        <w:t xml:space="preserve">monthly </w:t>
      </w:r>
      <w:r w:rsidRPr="009144B7" w:rsidR="00F82AC0">
        <w:rPr>
          <w:iCs/>
          <w:szCs w:val="22"/>
        </w:rPr>
        <w:t xml:space="preserve">on </w:t>
      </w:r>
      <w:r w:rsidRPr="009144B7" w:rsidR="005E4AB3">
        <w:rPr>
          <w:iCs/>
          <w:szCs w:val="22"/>
        </w:rPr>
        <w:t>or before the 15</w:t>
      </w:r>
      <w:r w:rsidRPr="009144B7" w:rsidR="005E4AB3">
        <w:rPr>
          <w:iCs/>
          <w:szCs w:val="22"/>
          <w:vertAlign w:val="superscript"/>
        </w:rPr>
        <w:t>th</w:t>
      </w:r>
      <w:r w:rsidRPr="009144B7" w:rsidR="005E4AB3">
        <w:rPr>
          <w:iCs/>
          <w:szCs w:val="22"/>
        </w:rPr>
        <w:t xml:space="preserve"> of each month starting on </w:t>
      </w:r>
      <w:r w:rsidRPr="009144B7" w:rsidR="00FF5BAB">
        <w:rPr>
          <w:iCs/>
          <w:szCs w:val="22"/>
        </w:rPr>
        <w:t>June 15, 2021</w:t>
      </w:r>
      <w:r w:rsidRPr="009144B7" w:rsidR="005E4AB3">
        <w:rPr>
          <w:iCs/>
          <w:szCs w:val="22"/>
        </w:rPr>
        <w:t>.</w:t>
      </w:r>
      <w:r w:rsidRPr="00D62CBE" w:rsidR="006671C1">
        <w:rPr>
          <w:iCs/>
          <w:szCs w:val="22"/>
        </w:rPr>
        <w:t xml:space="preserve">  </w:t>
      </w:r>
      <w:r w:rsidRPr="00D62CBE" w:rsidR="000544D9">
        <w:rPr>
          <w:iCs/>
          <w:szCs w:val="22"/>
        </w:rPr>
        <w:t>Lunex</w:t>
      </w:r>
      <w:r w:rsidRPr="00D62CBE" w:rsidR="000544D9">
        <w:rPr>
          <w:iCs/>
          <w:szCs w:val="22"/>
        </w:rPr>
        <w:t xml:space="preserve"> </w:t>
      </w:r>
      <w:r w:rsidRPr="00D62CBE" w:rsidR="000F779D">
        <w:rPr>
          <w:szCs w:val="22"/>
        </w:rPr>
        <w:t xml:space="preserve">acknowledges and agrees that upon execution of this Consent Decree, the Civil Penalty </w:t>
      </w:r>
      <w:r w:rsidRPr="00D62CBE" w:rsidR="000F779D">
        <w:rPr>
          <w:iCs/>
          <w:szCs w:val="22"/>
        </w:rPr>
        <w:t>and each Installment Payment</w:t>
      </w:r>
      <w:r w:rsidRPr="00D62CBE" w:rsidR="000F779D">
        <w:rPr>
          <w:szCs w:val="22"/>
        </w:rPr>
        <w:t xml:space="preserve"> shall become a “Claim” or “Debt” as defined in 31 U.S.C. § 3701(b)(1).</w:t>
      </w:r>
      <w:r>
        <w:rPr>
          <w:rStyle w:val="FootnoteReference"/>
          <w:sz w:val="22"/>
          <w:szCs w:val="22"/>
        </w:rPr>
        <w:footnoteReference w:id="42"/>
      </w:r>
      <w:r w:rsidRPr="00D62CBE" w:rsidR="000F779D">
        <w:rPr>
          <w:szCs w:val="22"/>
        </w:rPr>
        <w:t xml:space="preserve">  Upon an Event of Default,</w:t>
      </w:r>
      <w:r w:rsidRPr="00D62CBE" w:rsidR="001E0315">
        <w:rPr>
          <w:szCs w:val="22"/>
        </w:rPr>
        <w:t xml:space="preserve"> as defined in paragraph </w:t>
      </w:r>
      <w:r w:rsidRPr="00D62CBE" w:rsidR="005E4AB3">
        <w:rPr>
          <w:szCs w:val="22"/>
        </w:rPr>
        <w:t>21,</w:t>
      </w:r>
      <w:r w:rsidRPr="00D62CBE" w:rsidR="000F779D">
        <w:rPr>
          <w:szCs w:val="22"/>
        </w:rPr>
        <w:t xml:space="preserve"> all procedures for collection as permitted by law may, at the Commission’s discretion, be initiated.</w:t>
      </w:r>
      <w:r w:rsidRPr="00D62CBE" w:rsidR="003E1218">
        <w:rPr>
          <w:szCs w:val="22"/>
        </w:rPr>
        <w:t xml:space="preserve">  </w:t>
      </w:r>
      <w:r w:rsidRPr="00D62CBE" w:rsidR="000544D9">
        <w:rPr>
          <w:iCs/>
          <w:szCs w:val="22"/>
        </w:rPr>
        <w:t>Lunex</w:t>
      </w:r>
      <w:r w:rsidRPr="00D62CBE" w:rsidR="000544D9">
        <w:rPr>
          <w:iCs/>
          <w:szCs w:val="22"/>
        </w:rPr>
        <w:t xml:space="preserve"> </w:t>
      </w:r>
      <w:r w:rsidRPr="00D62CBE" w:rsidR="00F82AC0">
        <w:rPr>
          <w:szCs w:val="22"/>
        </w:rPr>
        <w:t xml:space="preserve">shall send electronic notification of payment to </w:t>
      </w:r>
      <w:hyperlink r:id="rId10" w:history="1">
        <w:r w:rsidRPr="00D62CBE" w:rsidR="000544D9">
          <w:rPr>
            <w:rStyle w:val="Hyperlink"/>
            <w:szCs w:val="22"/>
          </w:rPr>
          <w:t>Jeffrey.Gee@fcc.gov</w:t>
        </w:r>
      </w:hyperlink>
      <w:r w:rsidRPr="00D62CBE" w:rsidR="000544D9">
        <w:rPr>
          <w:szCs w:val="22"/>
        </w:rPr>
        <w:t xml:space="preserve"> and </w:t>
      </w:r>
      <w:hyperlink r:id="rId11" w:history="1">
        <w:r w:rsidRPr="00D62CBE" w:rsidR="005411C2">
          <w:rPr>
            <w:rStyle w:val="Hyperlink"/>
            <w:szCs w:val="22"/>
          </w:rPr>
          <w:t>Pam.Slipakoff@fcc.gov</w:t>
        </w:r>
      </w:hyperlink>
      <w:r w:rsidRPr="00D62CBE" w:rsidR="000544D9">
        <w:rPr>
          <w:szCs w:val="22"/>
        </w:rPr>
        <w:t xml:space="preserve"> on the date said payment is mad</w:t>
      </w:r>
      <w:r w:rsidRPr="00D62CBE" w:rsidR="00F82AC0">
        <w:rPr>
          <w:szCs w:val="22"/>
        </w:rPr>
        <w:t xml:space="preserve">e.  </w:t>
      </w:r>
      <w:r w:rsidRPr="00D62CBE">
        <w:rPr>
          <w:szCs w:val="22"/>
        </w:rPr>
        <w:t>Payment of the Civil Penalty must be made by credit card, ACH (Automated Clearing House) debit from a bank account using the Commission’s Fee Filer (the Commission’s online payment system),</w:t>
      </w:r>
      <w:r>
        <w:rPr>
          <w:rStyle w:val="FootnoteReference"/>
          <w:sz w:val="22"/>
          <w:szCs w:val="22"/>
        </w:rPr>
        <w:footnoteReference w:id="43"/>
      </w:r>
      <w:r w:rsidRPr="00D62CBE">
        <w:rPr>
          <w:szCs w:val="22"/>
        </w:rPr>
        <w:t xml:space="preserve"> or by wire transfer.  The Commission no longer accepts Civil Penalty payments by check or money order.  Below are instructions that payors should follow based on the form of payment selected:</w:t>
      </w:r>
      <w:r>
        <w:rPr>
          <w:szCs w:val="22"/>
          <w:vertAlign w:val="superscript"/>
        </w:rPr>
        <w:footnoteReference w:id="44"/>
      </w:r>
      <w:r w:rsidRPr="00D62CBE">
        <w:rPr>
          <w:szCs w:val="22"/>
        </w:rPr>
        <w:t xml:space="preserve"> </w:t>
      </w:r>
    </w:p>
    <w:p w:rsidR="0088350A" w:rsidRPr="00D62CBE" w:rsidP="0088350A" w14:paraId="5D4B85BE" w14:textId="77777777">
      <w:pPr>
        <w:numPr>
          <w:ilvl w:val="0"/>
          <w:numId w:val="31"/>
        </w:numPr>
        <w:spacing w:after="120"/>
        <w:rPr>
          <w:szCs w:val="22"/>
        </w:rPr>
      </w:pPr>
      <w:r w:rsidRPr="00D62CBE">
        <w:rPr>
          <w:szCs w:val="22"/>
        </w:rPr>
        <w:t xml:space="preserve">Payment by wire transfer must be made to ABA Number 021030004, receiving bank </w:t>
      </w:r>
      <w:r w:rsidRPr="00D62CBE">
        <w:rPr>
          <w:szCs w:val="22"/>
        </w:rPr>
        <w:t>TREAS</w:t>
      </w:r>
      <w:r w:rsidRPr="00D62CBE">
        <w:rPr>
          <w:szCs w:val="22"/>
        </w:rPr>
        <w:t xml:space="preserve">/NYC, and Account Number 27000001.  A completed Form 159 must be faxed to the Federal Communications Commission at 202-418-2843 or e-mailed to </w:t>
      </w:r>
      <w:r w:rsidRPr="00D62CBE">
        <w:rPr>
          <w:rStyle w:val="Hyperlink"/>
          <w:rFonts w:eastAsiaTheme="minorHAnsi"/>
          <w:kern w:val="0"/>
          <w:szCs w:val="22"/>
        </w:rPr>
        <w:t>RROGWireFaxes@fcc.gov</w:t>
      </w:r>
      <w:r w:rsidRPr="00D62CB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D62CBE">
        <w:rPr>
          <w:szCs w:val="22"/>
        </w:rPr>
        <w:t>FORF</w:t>
      </w:r>
      <w:r w:rsidRPr="00D62CBE">
        <w:rPr>
          <w:szCs w:val="22"/>
        </w:rPr>
        <w:t xml:space="preserve">” in block number 24A (payment type code), and enter in block number 11 the </w:t>
      </w:r>
      <w:r w:rsidRPr="00D62CBE">
        <w:rPr>
          <w:szCs w:val="22"/>
        </w:rPr>
        <w:t>FRN</w:t>
      </w:r>
      <w:r w:rsidRPr="00D62CBE">
        <w:rPr>
          <w:szCs w:val="22"/>
        </w:rPr>
        <w:t xml:space="preserve">(s) captioned above (Payor </w:t>
      </w:r>
      <w:r w:rsidRPr="00D62CBE">
        <w:rPr>
          <w:szCs w:val="22"/>
        </w:rPr>
        <w:t>FRN</w:t>
      </w:r>
      <w:r w:rsidRPr="00D62CBE">
        <w:rPr>
          <w:szCs w:val="22"/>
        </w:rPr>
        <w:t>).</w:t>
      </w:r>
      <w:r>
        <w:rPr>
          <w:rStyle w:val="FootnoteReference"/>
          <w:sz w:val="22"/>
          <w:szCs w:val="22"/>
        </w:rPr>
        <w:footnoteReference w:id="45"/>
      </w:r>
      <w:r w:rsidRPr="00D62CBE">
        <w:rPr>
          <w:szCs w:val="22"/>
        </w:rPr>
        <w:t xml:space="preserve">  For additional detail and wire transfer instructions, go to </w:t>
      </w:r>
      <w:hyperlink r:id="rId12" w:history="1">
        <w:r w:rsidRPr="00D62CBE">
          <w:rPr>
            <w:rStyle w:val="Hyperlink"/>
            <w:rFonts w:eastAsiaTheme="minorHAnsi"/>
            <w:kern w:val="0"/>
            <w:szCs w:val="22"/>
          </w:rPr>
          <w:t>https://www.fcc.gov/licensing-databases/fees/wire-transfer</w:t>
        </w:r>
      </w:hyperlink>
      <w:r w:rsidRPr="00D62CBE">
        <w:rPr>
          <w:szCs w:val="22"/>
        </w:rPr>
        <w:t xml:space="preserve">.  </w:t>
      </w:r>
    </w:p>
    <w:p w:rsidR="0088350A" w:rsidRPr="00D62CBE" w:rsidP="0088350A" w14:paraId="3556C069" w14:textId="376EA23D">
      <w:pPr>
        <w:numPr>
          <w:ilvl w:val="0"/>
          <w:numId w:val="31"/>
        </w:numPr>
        <w:spacing w:after="120"/>
        <w:rPr>
          <w:szCs w:val="22"/>
        </w:rPr>
      </w:pPr>
      <w:r w:rsidRPr="00D62CBE">
        <w:rPr>
          <w:szCs w:val="22"/>
        </w:rPr>
        <w:t xml:space="preserve">Payment by credit card must be made by using the Commission’s Fee Filer website at </w:t>
      </w:r>
      <w:hyperlink r:id="rId13" w:history="1">
        <w:r w:rsidRPr="00D62CBE">
          <w:rPr>
            <w:rStyle w:val="Hyperlink"/>
            <w:szCs w:val="22"/>
          </w:rPr>
          <w:t>https://apps.fcc.gov/FeeFiler/login.cfm</w:t>
        </w:r>
      </w:hyperlink>
      <w:r w:rsidRPr="00D62CBE">
        <w:rPr>
          <w:szCs w:val="22"/>
        </w:rPr>
        <w:t xml:space="preserve">.  To pay by credit card, log-in using the </w:t>
      </w:r>
      <w:r w:rsidRPr="00D62CBE">
        <w:rPr>
          <w:szCs w:val="22"/>
        </w:rPr>
        <w:t>FRN</w:t>
      </w:r>
      <w:r w:rsidRPr="00D62CBE">
        <w:rPr>
          <w:szCs w:val="22"/>
        </w:rPr>
        <w:t xml:space="preserve"> captioned above.  If payment must be split across </w:t>
      </w:r>
      <w:r w:rsidRPr="00D62CBE">
        <w:rPr>
          <w:szCs w:val="22"/>
        </w:rPr>
        <w:t>FRNs</w:t>
      </w:r>
      <w:r w:rsidRPr="00D62CBE">
        <w:rPr>
          <w:szCs w:val="22"/>
        </w:rPr>
        <w:t xml:space="preserve">, complete this process for each </w:t>
      </w:r>
      <w:r w:rsidRPr="00D62CBE">
        <w:rPr>
          <w:szCs w:val="22"/>
        </w:rPr>
        <w:t>FRN</w:t>
      </w:r>
      <w:r w:rsidRPr="00D62CBE">
        <w:rPr>
          <w:szCs w:val="22"/>
        </w:rPr>
        <w:t xml:space="preserve">.  Next, select “Pay bills” on the Fee Filer Menu, and select the bill number associated with the </w:t>
      </w:r>
      <w:r w:rsidRPr="00D62CBE" w:rsidR="007E75EC">
        <w:rPr>
          <w:szCs w:val="22"/>
        </w:rPr>
        <w:t xml:space="preserve">CD </w:t>
      </w:r>
      <w:r w:rsidRPr="00D62CBE">
        <w:rPr>
          <w:szCs w:val="22"/>
        </w:rPr>
        <w:t>Acct</w:t>
      </w:r>
      <w:r w:rsidRPr="00D62CBE" w:rsidR="007E75EC">
        <w:rPr>
          <w:szCs w:val="22"/>
        </w:rPr>
        <w:t>. No.</w:t>
      </w:r>
      <w:r w:rsidRPr="00D62CBE">
        <w:rPr>
          <w:szCs w:val="22"/>
        </w:rPr>
        <w:t xml:space="preserve"> – the bill number is the</w:t>
      </w:r>
      <w:r w:rsidRPr="00D62CBE" w:rsidR="00620F5E">
        <w:rPr>
          <w:szCs w:val="22"/>
        </w:rPr>
        <w:t xml:space="preserve"> </w:t>
      </w:r>
      <w:r w:rsidRPr="00D62CBE" w:rsidR="007E75EC">
        <w:rPr>
          <w:szCs w:val="22"/>
        </w:rPr>
        <w:t>CD</w:t>
      </w:r>
      <w:r w:rsidRPr="00D62CBE">
        <w:rPr>
          <w:szCs w:val="22"/>
        </w:rPr>
        <w:t xml:space="preserve"> Acct</w:t>
      </w:r>
      <w:r w:rsidRPr="00D62CBE" w:rsidR="007E75EC">
        <w:rPr>
          <w:szCs w:val="22"/>
        </w:rPr>
        <w:t>. No.</w:t>
      </w:r>
      <w:r w:rsidRPr="00D62CBE">
        <w:rPr>
          <w:szCs w:val="22"/>
        </w:rPr>
        <w:t xml:space="preserve"> with the first two digits excluded – and then choose the “Pay by Credit Card” option.  </w:t>
      </w:r>
      <w:r w:rsidRPr="00D62CBE" w:rsidR="00F1082C">
        <w:rPr>
          <w:szCs w:val="22"/>
        </w:rPr>
        <w:t>IMPORTANT NOTE:</w:t>
      </w:r>
      <w:r w:rsidRPr="00D62CBE">
        <w:rPr>
          <w:szCs w:val="22"/>
        </w:rPr>
        <w:t xml:space="preserve"> there is a $24,999.99 limit on credit card transactions.</w:t>
      </w:r>
    </w:p>
    <w:p w:rsidR="008D216B" w:rsidRPr="00D62CBE" w:rsidP="0088350A" w14:paraId="5C2055AF" w14:textId="4F815E0B">
      <w:pPr>
        <w:numPr>
          <w:ilvl w:val="0"/>
          <w:numId w:val="31"/>
        </w:numPr>
        <w:spacing w:after="120"/>
        <w:rPr>
          <w:szCs w:val="22"/>
        </w:rPr>
      </w:pPr>
      <w:r w:rsidRPr="00D62CBE">
        <w:rPr>
          <w:szCs w:val="22"/>
        </w:rPr>
        <w:t xml:space="preserve">Payment by ACH must be made by using the Commission’s Fee Filer website at </w:t>
      </w:r>
      <w:hyperlink r:id="rId13" w:history="1">
        <w:r w:rsidRPr="00D62CBE">
          <w:rPr>
            <w:rStyle w:val="Hyperlink"/>
            <w:rFonts w:eastAsiaTheme="minorHAnsi"/>
            <w:kern w:val="0"/>
            <w:szCs w:val="22"/>
          </w:rPr>
          <w:t>https://apps.fcc.gov/FeeFiler/login.cfm</w:t>
        </w:r>
      </w:hyperlink>
      <w:r w:rsidRPr="00D62CBE">
        <w:rPr>
          <w:szCs w:val="22"/>
        </w:rPr>
        <w:t xml:space="preserve">.  To pay by ACH, log in using the </w:t>
      </w:r>
      <w:r w:rsidRPr="00D62CBE">
        <w:rPr>
          <w:szCs w:val="22"/>
        </w:rPr>
        <w:t>FRN</w:t>
      </w:r>
      <w:r w:rsidRPr="00D62CBE">
        <w:rPr>
          <w:szCs w:val="22"/>
        </w:rPr>
        <w:t xml:space="preserve"> captioned above.  If payment must be split across </w:t>
      </w:r>
      <w:r w:rsidRPr="00D62CBE">
        <w:rPr>
          <w:szCs w:val="22"/>
        </w:rPr>
        <w:t>FRNs</w:t>
      </w:r>
      <w:r w:rsidRPr="00D62CBE">
        <w:rPr>
          <w:szCs w:val="22"/>
        </w:rPr>
        <w:t xml:space="preserve">, complete this process for each </w:t>
      </w:r>
      <w:r w:rsidRPr="00D62CBE">
        <w:rPr>
          <w:szCs w:val="22"/>
        </w:rPr>
        <w:t>FRN</w:t>
      </w:r>
      <w:r w:rsidRPr="00D62CBE">
        <w:rPr>
          <w:szCs w:val="22"/>
        </w:rPr>
        <w:t xml:space="preserve">.  Next, select “Pay bills” on the Fee Filer Menu and then select the bill number associated </w:t>
      </w:r>
      <w:r w:rsidRPr="00D62CBE" w:rsidR="00F1082C">
        <w:rPr>
          <w:szCs w:val="22"/>
        </w:rPr>
        <w:t>with</w:t>
      </w:r>
      <w:r w:rsidRPr="00D62CBE">
        <w:rPr>
          <w:szCs w:val="22"/>
        </w:rPr>
        <w:t xml:space="preserve"> the </w:t>
      </w:r>
      <w:r w:rsidRPr="00D62CBE" w:rsidR="007E75EC">
        <w:rPr>
          <w:szCs w:val="22"/>
        </w:rPr>
        <w:t>CD</w:t>
      </w:r>
      <w:r w:rsidRPr="00D62CBE">
        <w:rPr>
          <w:szCs w:val="22"/>
        </w:rPr>
        <w:t xml:space="preserve"> Acct</w:t>
      </w:r>
      <w:r w:rsidRPr="00D62CBE" w:rsidR="007E75EC">
        <w:rPr>
          <w:szCs w:val="22"/>
        </w:rPr>
        <w:t>. No.</w:t>
      </w:r>
      <w:r w:rsidRPr="00D62CBE">
        <w:rPr>
          <w:szCs w:val="22"/>
        </w:rPr>
        <w:t xml:space="preserve"> – the bill number is the </w:t>
      </w:r>
      <w:r w:rsidRPr="00D62CBE" w:rsidR="00FC7E4A">
        <w:rPr>
          <w:szCs w:val="22"/>
        </w:rPr>
        <w:t xml:space="preserve">CD </w:t>
      </w:r>
      <w:r w:rsidRPr="00D62CBE">
        <w:rPr>
          <w:szCs w:val="22"/>
        </w:rPr>
        <w:t>Acct</w:t>
      </w:r>
      <w:r w:rsidRPr="00D62CBE" w:rsidR="007E75EC">
        <w:rPr>
          <w:szCs w:val="22"/>
        </w:rPr>
        <w:t>.</w:t>
      </w:r>
      <w:r w:rsidRPr="00D62CBE">
        <w:rPr>
          <w:szCs w:val="22"/>
        </w:rPr>
        <w:t xml:space="preserve"> </w:t>
      </w:r>
      <w:r w:rsidRPr="00D62CBE" w:rsidR="007E75EC">
        <w:rPr>
          <w:szCs w:val="22"/>
        </w:rPr>
        <w:t>No.</w:t>
      </w:r>
      <w:r w:rsidRPr="00D62CBE">
        <w:rPr>
          <w:szCs w:val="22"/>
        </w:rPr>
        <w:t xml:space="preserve"> with the first two digits excluded </w:t>
      </w:r>
      <w:r w:rsidRPr="00D62CBE" w:rsidR="00F1082C">
        <w:rPr>
          <w:szCs w:val="22"/>
        </w:rPr>
        <w:t xml:space="preserve">(e.g., NAL 1912345678 = FCC bill Number 12345678) </w:t>
      </w:r>
      <w:r w:rsidRPr="00D62CBE">
        <w:rPr>
          <w:szCs w:val="22"/>
        </w:rPr>
        <w:t>–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671C1" w:rsidRPr="00D62CBE" w:rsidP="001B74D4" w14:paraId="0B42B1EB" w14:textId="77777777">
      <w:pPr>
        <w:pStyle w:val="ParaNum"/>
        <w:rPr>
          <w:szCs w:val="22"/>
        </w:rPr>
      </w:pPr>
      <w:r w:rsidRPr="00D62CBE">
        <w:rPr>
          <w:b/>
          <w:szCs w:val="22"/>
          <w:u w:val="single"/>
        </w:rPr>
        <w:t>Event of Default</w:t>
      </w:r>
      <w:r w:rsidRPr="00D62CBE">
        <w:rPr>
          <w:szCs w:val="22"/>
        </w:rPr>
        <w:t xml:space="preserve">.  </w:t>
      </w:r>
      <w:r w:rsidRPr="00D62CBE" w:rsidR="005411C2">
        <w:rPr>
          <w:szCs w:val="22"/>
        </w:rPr>
        <w:t>Lunex</w:t>
      </w:r>
      <w:r w:rsidRPr="00D62CBE">
        <w:rPr>
          <w:szCs w:val="22"/>
        </w:rPr>
        <w:t xml:space="preserve"> agrees that an Event of Default shall occur upon the failure by </w:t>
      </w:r>
      <w:r w:rsidRPr="00D62CBE" w:rsidR="005411C2">
        <w:rPr>
          <w:szCs w:val="22"/>
        </w:rPr>
        <w:t>Lunex</w:t>
      </w:r>
      <w:r w:rsidRPr="00D62CBE" w:rsidR="005411C2">
        <w:rPr>
          <w:szCs w:val="22"/>
        </w:rPr>
        <w:t xml:space="preserve"> </w:t>
      </w:r>
      <w:r w:rsidRPr="00D62CBE">
        <w:rPr>
          <w:szCs w:val="22"/>
        </w:rPr>
        <w:t xml:space="preserve">to pay the full amount of the Civil Penalty </w:t>
      </w:r>
      <w:r w:rsidRPr="00D62CBE">
        <w:rPr>
          <w:iCs/>
          <w:szCs w:val="22"/>
        </w:rPr>
        <w:t xml:space="preserve">or any </w:t>
      </w:r>
      <w:r w:rsidRPr="00D62CBE">
        <w:rPr>
          <w:bCs/>
          <w:iCs/>
          <w:szCs w:val="22"/>
        </w:rPr>
        <w:t xml:space="preserve">Installment </w:t>
      </w:r>
      <w:r w:rsidRPr="00D62CBE">
        <w:rPr>
          <w:iCs/>
          <w:szCs w:val="22"/>
        </w:rPr>
        <w:t>Payment</w:t>
      </w:r>
      <w:r w:rsidRPr="00D62CBE">
        <w:rPr>
          <w:szCs w:val="22"/>
        </w:rPr>
        <w:t xml:space="preserve"> on or before the due date specified in this Consent Decree.</w:t>
      </w:r>
    </w:p>
    <w:p w:rsidR="006671C1" w:rsidRPr="00D62CBE" w:rsidP="001B74D4" w14:paraId="07BF63FA" w14:textId="020DBEFA">
      <w:pPr>
        <w:pStyle w:val="ParaNum"/>
        <w:rPr>
          <w:szCs w:val="22"/>
        </w:rPr>
      </w:pPr>
      <w:r w:rsidRPr="00D62CBE">
        <w:rPr>
          <w:b/>
          <w:szCs w:val="22"/>
          <w:u w:val="single"/>
        </w:rPr>
        <w:t>Interest, Charges for Collection, and Acceleration of Maturity Date</w:t>
      </w:r>
      <w:r w:rsidRPr="00D62CBE">
        <w:rPr>
          <w:szCs w:val="22"/>
        </w:rPr>
        <w:t xml:space="preserve">.  After an Event of Default has occurred under this Consent Decree, the then unpaid amount of the Civil Penalty </w:t>
      </w:r>
      <w:r w:rsidRPr="00D62CBE">
        <w:rPr>
          <w:iCs/>
          <w:szCs w:val="22"/>
        </w:rPr>
        <w:t>or any Installment Payment shall</w:t>
      </w:r>
      <w:r w:rsidRPr="00D62CBE">
        <w:rPr>
          <w:szCs w:val="22"/>
        </w:rPr>
        <w:t xml:space="preserve"> accrue interest, computed using the U.S. Prime Rate in effect on the date of the Event of Default plus 4.75%, from the date of the Event of Default until payment in full.  Upon an Event of Default, the then unpaid amount of the Civil Penalty </w:t>
      </w:r>
      <w:r w:rsidRPr="00D62CBE">
        <w:rPr>
          <w:iCs/>
          <w:szCs w:val="22"/>
        </w:rPr>
        <w:t>or any Installment Payment, together with interest, any penalties permitted and/or required by the law, including but not limited</w:t>
      </w:r>
      <w:r w:rsidRPr="00D62CBE">
        <w:rPr>
          <w:szCs w:val="22"/>
        </w:rPr>
        <w:t xml:space="preserve"> to 31 U.S.C. § 3717 and administrative charges, plus the costs of collection, litigation, and attorneys’ fees, shall become immediately due and payable, without notice, presentment, demand, protest, or notice of protest of any kind, all of which are waived by </w:t>
      </w:r>
      <w:r w:rsidRPr="00D62CBE" w:rsidR="005411C2">
        <w:rPr>
          <w:szCs w:val="22"/>
        </w:rPr>
        <w:t>Lunex</w:t>
      </w:r>
      <w:r w:rsidRPr="00D62CBE" w:rsidR="005411C2">
        <w:rPr>
          <w:szCs w:val="22"/>
        </w:rPr>
        <w:t>.</w:t>
      </w:r>
      <w:bookmarkEnd w:id="13"/>
    </w:p>
    <w:p w:rsidR="006671C1" w:rsidRPr="00D62CBE" w:rsidP="001B74D4" w14:paraId="0F68DC45" w14:textId="77777777">
      <w:pPr>
        <w:pStyle w:val="ParaNum"/>
        <w:rPr>
          <w:szCs w:val="22"/>
        </w:rPr>
      </w:pPr>
      <w:r w:rsidRPr="00D62CBE">
        <w:rPr>
          <w:b/>
          <w:szCs w:val="22"/>
          <w:u w:val="single"/>
        </w:rPr>
        <w:t>Waivers</w:t>
      </w:r>
      <w:r w:rsidRPr="00D62CBE">
        <w:rPr>
          <w:szCs w:val="22"/>
        </w:rPr>
        <w:t xml:space="preserve">.  </w:t>
      </w:r>
      <w:r w:rsidRPr="00D62CBE" w:rsidR="00CE68FE">
        <w:rPr>
          <w:szCs w:val="22"/>
        </w:rPr>
        <w:t xml:space="preserve">As of the Effective Date, </w:t>
      </w:r>
      <w:r w:rsidRPr="00D62CBE" w:rsidR="005411C2">
        <w:rPr>
          <w:szCs w:val="22"/>
        </w:rPr>
        <w:t>Lunex</w:t>
      </w:r>
      <w:r w:rsidRPr="00D62CBE" w:rsidR="005411C2">
        <w:rPr>
          <w:szCs w:val="22"/>
        </w:rPr>
        <w:t xml:space="preserve"> </w:t>
      </w:r>
      <w:r w:rsidRPr="00D62CBE">
        <w:rPr>
          <w:szCs w:val="22"/>
        </w:rPr>
        <w:t xml:space="preserve">waives </w:t>
      </w:r>
      <w:r w:rsidRPr="00D62CBE">
        <w:rPr>
          <w:szCs w:val="22"/>
        </w:rPr>
        <w:t>any and all</w:t>
      </w:r>
      <w:r w:rsidRPr="00D62CBE">
        <w:rPr>
          <w:szCs w:val="22"/>
        </w:rPr>
        <w:t xml:space="preserve"> rights it may have to seek administrative or judicial reconsideration, review, appeal or stay, or to otherwise challenge or contest the validity of this Consent Decree and the Adoptin</w:t>
      </w:r>
      <w:r w:rsidRPr="00D62CBE" w:rsidR="00CE68FE">
        <w:rPr>
          <w:szCs w:val="22"/>
        </w:rPr>
        <w:t>g Order</w:t>
      </w:r>
      <w:r w:rsidRPr="00D62CBE">
        <w:rPr>
          <w:szCs w:val="22"/>
        </w:rPr>
        <w:t xml:space="preserve">.  </w:t>
      </w:r>
      <w:r w:rsidRPr="00D62CBE" w:rsidR="005411C2">
        <w:rPr>
          <w:szCs w:val="22"/>
        </w:rPr>
        <w:t>Lunex</w:t>
      </w:r>
      <w:r w:rsidRPr="00D62CBE" w:rsidR="005411C2">
        <w:rPr>
          <w:szCs w:val="22"/>
        </w:rPr>
        <w:t xml:space="preserve"> </w:t>
      </w:r>
      <w:r w:rsidRPr="00D62CBE">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Pr="00D62CBE" w:rsidR="00CE68FE">
        <w:rPr>
          <w:szCs w:val="22"/>
        </w:rPr>
        <w:t xml:space="preserve">Consent Decree or </w:t>
      </w:r>
      <w:r w:rsidRPr="00D62CBE" w:rsidR="00582BA0">
        <w:rPr>
          <w:szCs w:val="22"/>
        </w:rPr>
        <w:t xml:space="preserve">the </w:t>
      </w:r>
      <w:r w:rsidRPr="00D62CBE">
        <w:rPr>
          <w:szCs w:val="22"/>
        </w:rPr>
        <w:t xml:space="preserve">Adopting Order, neither </w:t>
      </w:r>
      <w:r w:rsidRPr="00D62CBE" w:rsidR="005411C2">
        <w:rPr>
          <w:szCs w:val="22"/>
        </w:rPr>
        <w:t>Lunex</w:t>
      </w:r>
      <w:r w:rsidRPr="00D62CBE" w:rsidR="005411C2">
        <w:rPr>
          <w:szCs w:val="22"/>
        </w:rPr>
        <w:t xml:space="preserve"> </w:t>
      </w:r>
      <w:r w:rsidRPr="00D62CBE">
        <w:rPr>
          <w:szCs w:val="22"/>
        </w:rPr>
        <w:t xml:space="preserve">nor the Commission shall contest the validity of the Consent Decree or the Adopting Order, and </w:t>
      </w:r>
      <w:r w:rsidRPr="00D62CBE" w:rsidR="005411C2">
        <w:rPr>
          <w:szCs w:val="22"/>
        </w:rPr>
        <w:t>Lunex</w:t>
      </w:r>
      <w:r w:rsidRPr="00D62CBE" w:rsidR="005411C2">
        <w:rPr>
          <w:szCs w:val="22"/>
        </w:rPr>
        <w:t xml:space="preserve"> </w:t>
      </w:r>
      <w:r w:rsidRPr="00D62CBE">
        <w:rPr>
          <w:szCs w:val="22"/>
        </w:rPr>
        <w:t xml:space="preserve">shall waive any statutory right to a trial </w:t>
      </w:r>
      <w:r w:rsidRPr="00D62CBE">
        <w:rPr>
          <w:i/>
          <w:szCs w:val="22"/>
        </w:rPr>
        <w:t>de novo</w:t>
      </w:r>
      <w:r w:rsidRPr="00D62CBE">
        <w:rPr>
          <w:szCs w:val="22"/>
        </w:rPr>
        <w:t xml:space="preserve">.  </w:t>
      </w:r>
      <w:r w:rsidRPr="00D62CBE" w:rsidR="005411C2">
        <w:rPr>
          <w:szCs w:val="22"/>
        </w:rPr>
        <w:t>Lunex</w:t>
      </w:r>
      <w:r w:rsidRPr="00D62CBE" w:rsidR="005411C2">
        <w:rPr>
          <w:szCs w:val="22"/>
        </w:rPr>
        <w:t xml:space="preserve"> </w:t>
      </w:r>
      <w:r w:rsidRPr="00D62CBE">
        <w:rPr>
          <w:szCs w:val="22"/>
        </w:rPr>
        <w:t>hereby agrees to waive any claims it may otherwise have under the Equal Access to Justice Act</w:t>
      </w:r>
      <w:r>
        <w:rPr>
          <w:rStyle w:val="FootnoteReference"/>
          <w:sz w:val="22"/>
          <w:szCs w:val="22"/>
        </w:rPr>
        <w:footnoteReference w:id="46"/>
      </w:r>
      <w:r w:rsidRPr="00D62CBE">
        <w:rPr>
          <w:szCs w:val="22"/>
        </w:rPr>
        <w:t xml:space="preserve"> relating to the matters addressed in this Consent Decree.</w:t>
      </w:r>
    </w:p>
    <w:p w:rsidR="006671C1" w:rsidRPr="00D62CBE" w:rsidP="00B63FCF" w14:paraId="1175DEE4" w14:textId="77777777">
      <w:pPr>
        <w:pStyle w:val="ParaNum"/>
        <w:widowControl/>
        <w:rPr>
          <w:szCs w:val="22"/>
        </w:rPr>
      </w:pPr>
      <w:r w:rsidRPr="00D62CBE">
        <w:rPr>
          <w:b/>
          <w:szCs w:val="22"/>
          <w:u w:val="single"/>
        </w:rPr>
        <w:t>Severability</w:t>
      </w:r>
      <w:r w:rsidRPr="00D62CBE">
        <w:rPr>
          <w:szCs w:val="22"/>
        </w:rPr>
        <w:t>.  The Parties agree that if any of the provisio</w:t>
      </w:r>
      <w:r w:rsidRPr="00D62CBE" w:rsidR="00E3009C">
        <w:rPr>
          <w:szCs w:val="22"/>
        </w:rPr>
        <w:t xml:space="preserve">ns of the </w:t>
      </w:r>
      <w:r w:rsidRPr="00D62CBE">
        <w:rPr>
          <w:szCs w:val="22"/>
        </w:rPr>
        <w:t xml:space="preserve">Consent Decree shall be </w:t>
      </w:r>
      <w:r w:rsidRPr="00D62CBE" w:rsidR="00926FC4">
        <w:rPr>
          <w:szCs w:val="22"/>
        </w:rPr>
        <w:t xml:space="preserve">held </w:t>
      </w:r>
      <w:r w:rsidRPr="00D62CBE">
        <w:rPr>
          <w:szCs w:val="22"/>
        </w:rPr>
        <w:t>unenforceable</w:t>
      </w:r>
      <w:r w:rsidRPr="00D62CBE" w:rsidR="00926FC4">
        <w:rPr>
          <w:szCs w:val="22"/>
        </w:rPr>
        <w:t xml:space="preserve"> by any court of competent jurisdiction</w:t>
      </w:r>
      <w:r w:rsidRPr="00D62CBE">
        <w:rPr>
          <w:szCs w:val="22"/>
        </w:rPr>
        <w:t>, such unenforceability shall not render unenforceab</w:t>
      </w:r>
      <w:r w:rsidRPr="00D62CBE" w:rsidR="00E3009C">
        <w:rPr>
          <w:szCs w:val="22"/>
        </w:rPr>
        <w:t xml:space="preserve">le the entire </w:t>
      </w:r>
      <w:r w:rsidRPr="00D62CBE">
        <w:rPr>
          <w:szCs w:val="22"/>
        </w:rPr>
        <w:t>Consent Decree, but rath</w:t>
      </w:r>
      <w:r w:rsidRPr="00D62CBE" w:rsidR="00E3009C">
        <w:rPr>
          <w:szCs w:val="22"/>
        </w:rPr>
        <w:t xml:space="preserve">er the entire </w:t>
      </w:r>
      <w:r w:rsidRPr="00D62CBE">
        <w:rPr>
          <w:szCs w:val="22"/>
        </w:rPr>
        <w:t>Consent Decree shall be construed as if not containing the particular unenforceable provision or provisions, and the rights and obligations of the Parties shall be construed and enforced accordingly.</w:t>
      </w:r>
    </w:p>
    <w:p w:rsidR="006671C1" w:rsidRPr="00D62CBE" w:rsidP="001B74D4" w14:paraId="1670E48C" w14:textId="77777777">
      <w:pPr>
        <w:pStyle w:val="ParaNum"/>
        <w:rPr>
          <w:szCs w:val="22"/>
        </w:rPr>
      </w:pPr>
      <w:r w:rsidRPr="00D62CBE">
        <w:rPr>
          <w:b/>
          <w:szCs w:val="22"/>
          <w:u w:val="single"/>
        </w:rPr>
        <w:t>Invalidity</w:t>
      </w:r>
      <w:r w:rsidRPr="00D62CBE">
        <w:rPr>
          <w:szCs w:val="22"/>
        </w:rPr>
        <w:t xml:space="preserve">.  </w:t>
      </w:r>
      <w:r w:rsidRPr="00D62CBE">
        <w:rPr>
          <w:szCs w:val="22"/>
        </w:rPr>
        <w:t>In the event that</w:t>
      </w:r>
      <w:r w:rsidRPr="00D62CBE">
        <w:rPr>
          <w:szCs w:val="22"/>
        </w:rPr>
        <w:t xml:space="preserve"> this Consent Decree in its entirety is rendered invalid by any court of competent jurisdiction, it shall become null and void and may not be used in any manner in any legal proceeding.</w:t>
      </w:r>
    </w:p>
    <w:p w:rsidR="006671C1" w:rsidRPr="00D62CBE" w:rsidP="001B74D4" w14:paraId="6F9909BD" w14:textId="77777777">
      <w:pPr>
        <w:pStyle w:val="ParaNum"/>
        <w:rPr>
          <w:szCs w:val="22"/>
        </w:rPr>
      </w:pPr>
      <w:r w:rsidRPr="00D62CBE">
        <w:rPr>
          <w:b/>
          <w:szCs w:val="22"/>
          <w:u w:val="single"/>
        </w:rPr>
        <w:t>Subsequent Rule or Order</w:t>
      </w:r>
      <w:r w:rsidRPr="00D62CBE">
        <w:rPr>
          <w:szCs w:val="22"/>
        </w:rPr>
        <w:t>.  The Parties agree that if any provision of the Consent Decree</w:t>
      </w:r>
      <w:r w:rsidRPr="00D62CBE" w:rsidR="00F26C20">
        <w:rPr>
          <w:szCs w:val="22"/>
        </w:rPr>
        <w:t xml:space="preserve"> conflicts with any subsequent Rule or </w:t>
      </w:r>
      <w:r w:rsidRPr="00D62CBE" w:rsidR="008D216B">
        <w:rPr>
          <w:szCs w:val="22"/>
        </w:rPr>
        <w:t>o</w:t>
      </w:r>
      <w:r w:rsidRPr="00D62CBE">
        <w:rPr>
          <w:szCs w:val="22"/>
        </w:rPr>
        <w:t>rder adopted by the Commission (e</w:t>
      </w:r>
      <w:r w:rsidRPr="00D62CBE" w:rsidR="00F26C20">
        <w:rPr>
          <w:szCs w:val="22"/>
        </w:rPr>
        <w:t xml:space="preserve">xcept an </w:t>
      </w:r>
      <w:r w:rsidRPr="00D62CBE" w:rsidR="008D216B">
        <w:rPr>
          <w:szCs w:val="22"/>
        </w:rPr>
        <w:t>o</w:t>
      </w:r>
      <w:r w:rsidRPr="00D62CBE">
        <w:rPr>
          <w:szCs w:val="22"/>
        </w:rPr>
        <w:t xml:space="preserve">rder </w:t>
      </w:r>
      <w:r w:rsidRPr="00D62CBE">
        <w:rPr>
          <w:szCs w:val="22"/>
        </w:rPr>
        <w:t xml:space="preserve">specifically intended to revise the terms of this Consent Decree to which </w:t>
      </w:r>
      <w:r w:rsidRPr="00D62CBE" w:rsidR="005411C2">
        <w:rPr>
          <w:szCs w:val="22"/>
        </w:rPr>
        <w:t>Lunex</w:t>
      </w:r>
      <w:r w:rsidRPr="00D62CBE" w:rsidR="005411C2">
        <w:rPr>
          <w:szCs w:val="22"/>
        </w:rPr>
        <w:t xml:space="preserve"> </w:t>
      </w:r>
      <w:r w:rsidRPr="00D62CBE">
        <w:rPr>
          <w:szCs w:val="22"/>
        </w:rPr>
        <w:t xml:space="preserve">does not expressly consent) that provision will be superseded by such </w:t>
      </w:r>
      <w:r w:rsidRPr="00D62CBE" w:rsidR="00F26C20">
        <w:rPr>
          <w:szCs w:val="22"/>
        </w:rPr>
        <w:t>R</w:t>
      </w:r>
      <w:r w:rsidRPr="00D62CBE" w:rsidR="0096758E">
        <w:rPr>
          <w:szCs w:val="22"/>
        </w:rPr>
        <w:t xml:space="preserve">ule or </w:t>
      </w:r>
      <w:r w:rsidRPr="00D62CBE" w:rsidR="008D216B">
        <w:rPr>
          <w:szCs w:val="22"/>
        </w:rPr>
        <w:t>o</w:t>
      </w:r>
      <w:r w:rsidRPr="00D62CBE">
        <w:rPr>
          <w:szCs w:val="22"/>
        </w:rPr>
        <w:t>rder.</w:t>
      </w:r>
    </w:p>
    <w:p w:rsidR="006671C1" w:rsidRPr="00D62CBE" w:rsidP="001B74D4" w14:paraId="2E3A6A77" w14:textId="77777777">
      <w:pPr>
        <w:pStyle w:val="ParaNum"/>
        <w:rPr>
          <w:szCs w:val="22"/>
        </w:rPr>
      </w:pPr>
      <w:r w:rsidRPr="00D62CBE">
        <w:rPr>
          <w:b/>
          <w:szCs w:val="22"/>
          <w:u w:val="single"/>
        </w:rPr>
        <w:t>Successors and Assigns</w:t>
      </w:r>
      <w:r w:rsidRPr="00D62CBE">
        <w:rPr>
          <w:szCs w:val="22"/>
        </w:rPr>
        <w:t xml:space="preserve">.  </w:t>
      </w:r>
      <w:r w:rsidRPr="00D62CBE" w:rsidR="005411C2">
        <w:rPr>
          <w:szCs w:val="22"/>
        </w:rPr>
        <w:t>Lunex</w:t>
      </w:r>
      <w:r w:rsidRPr="00D62CBE" w:rsidR="005411C2">
        <w:rPr>
          <w:szCs w:val="22"/>
        </w:rPr>
        <w:t xml:space="preserve"> </w:t>
      </w:r>
      <w:r w:rsidRPr="00D62CBE">
        <w:rPr>
          <w:szCs w:val="22"/>
        </w:rPr>
        <w:t>agrees that the provisions of this Consent Decree shall be binding on its successors, assigns, and transferees.</w:t>
      </w:r>
    </w:p>
    <w:p w:rsidR="006671C1" w:rsidRPr="00D62CBE" w:rsidP="006671C1" w14:paraId="58E67593" w14:textId="77777777">
      <w:pPr>
        <w:pStyle w:val="ParaNum"/>
        <w:rPr>
          <w:szCs w:val="22"/>
        </w:rPr>
      </w:pPr>
      <w:r w:rsidRPr="00D62CBE">
        <w:rPr>
          <w:b/>
          <w:szCs w:val="22"/>
          <w:u w:val="single"/>
        </w:rPr>
        <w:t>Final Settlement</w:t>
      </w:r>
      <w:r w:rsidRPr="00D62CBE">
        <w:rPr>
          <w:szCs w:val="22"/>
        </w:rPr>
        <w:t xml:space="preserve">.  The Parties agree and acknowledge that this Consent Decree shall constitute a final settlement between the Parties with respect to the Investigation.  </w:t>
      </w:r>
    </w:p>
    <w:p w:rsidR="006671C1" w:rsidRPr="00D62CBE" w:rsidP="006671C1" w14:paraId="35A37464" w14:textId="77777777">
      <w:pPr>
        <w:pStyle w:val="ParaNum"/>
        <w:rPr>
          <w:szCs w:val="22"/>
        </w:rPr>
      </w:pPr>
      <w:r w:rsidRPr="00D62CBE">
        <w:rPr>
          <w:b/>
          <w:szCs w:val="22"/>
          <w:u w:val="single"/>
        </w:rPr>
        <w:t>Modifications</w:t>
      </w:r>
      <w:r w:rsidRPr="00D62CBE">
        <w:rPr>
          <w:szCs w:val="22"/>
        </w:rPr>
        <w:t>.  This Consent Decree cannot be modified without the advance written consent of both Parties.</w:t>
      </w:r>
    </w:p>
    <w:p w:rsidR="00E02214" w:rsidRPr="00D62CBE" w:rsidP="006671C1" w14:paraId="6E109B51" w14:textId="099F0C31">
      <w:pPr>
        <w:pStyle w:val="ParaNum"/>
        <w:rPr>
          <w:szCs w:val="22"/>
        </w:rPr>
      </w:pPr>
      <w:r w:rsidRPr="00D62CBE">
        <w:rPr>
          <w:b/>
          <w:szCs w:val="22"/>
          <w:u w:val="single"/>
        </w:rPr>
        <w:t>Paragraph Headings</w:t>
      </w:r>
      <w:r w:rsidRPr="00D62CBE">
        <w:rPr>
          <w:szCs w:val="22"/>
        </w:rPr>
        <w:t>.  The headings of the paragraphs in this Consent Decree are inserted for convenience only and are not intended to affect the meaning or interpretation of this Consent Decree.</w:t>
      </w:r>
    </w:p>
    <w:p w:rsidR="006671C1" w:rsidRPr="00D62CBE" w:rsidP="006671C1" w14:paraId="3FBD8B79" w14:textId="77777777">
      <w:pPr>
        <w:pStyle w:val="ParaNum"/>
        <w:widowControl/>
        <w:rPr>
          <w:szCs w:val="22"/>
        </w:rPr>
      </w:pPr>
      <w:r w:rsidRPr="00D62CBE">
        <w:rPr>
          <w:b/>
          <w:szCs w:val="22"/>
          <w:u w:val="single"/>
        </w:rPr>
        <w:t>Authorized Representative</w:t>
      </w:r>
      <w:r w:rsidRPr="00D62CBE">
        <w:rPr>
          <w:szCs w:val="22"/>
        </w:rPr>
        <w:t xml:space="preserve">. </w:t>
      </w:r>
      <w:r w:rsidRPr="00D62CBE" w:rsidR="00B73A30">
        <w:rPr>
          <w:szCs w:val="22"/>
        </w:rPr>
        <w:t xml:space="preserve"> </w:t>
      </w:r>
      <w:r w:rsidRPr="00D62CBE" w:rsidR="005D5341">
        <w:rPr>
          <w:szCs w:val="22"/>
        </w:rPr>
        <w:t xml:space="preserve">Each Party represents and warrants to the other that it has full power and authority to </w:t>
      </w:r>
      <w:r w:rsidRPr="00D62CBE" w:rsidR="005D5341">
        <w:rPr>
          <w:szCs w:val="22"/>
        </w:rPr>
        <w:t>enter into</w:t>
      </w:r>
      <w:r w:rsidRPr="00D62CBE" w:rsidR="005D5341">
        <w:rPr>
          <w:szCs w:val="22"/>
        </w:rPr>
        <w:t xml:space="preserve"> this Consent Decree.  Each person signing this Consent Decree on behalf of a Party hereby represents that he or she is fully authorized by the Party to execute this Consent Decree and to bind the Party to its terms and conditions.</w:t>
      </w:r>
    </w:p>
    <w:p w:rsidR="00E02214" w:rsidRPr="00D62CBE" w:rsidP="006671C1" w14:paraId="003514AC" w14:textId="697B717C">
      <w:pPr>
        <w:pStyle w:val="ParaNum"/>
        <w:widowControl/>
        <w:rPr>
          <w:szCs w:val="22"/>
        </w:rPr>
      </w:pPr>
      <w:r w:rsidRPr="00D62CBE">
        <w:rPr>
          <w:b/>
          <w:szCs w:val="22"/>
          <w:u w:val="single"/>
        </w:rPr>
        <w:t>Counterparts</w:t>
      </w:r>
      <w:r w:rsidRPr="00D62CBE">
        <w:rPr>
          <w:szCs w:val="22"/>
        </w:rPr>
        <w:t xml:space="preserve">.  </w:t>
      </w:r>
      <w:r w:rsidRPr="00D62CBE" w:rsidR="00BB440F">
        <w:rPr>
          <w:szCs w:val="22"/>
        </w:rPr>
        <w:t xml:space="preserve">This Consent Decree may be signed in counterpart (including </w:t>
      </w:r>
      <w:r w:rsidRPr="00D62CBE" w:rsidR="008A2AD9">
        <w:rPr>
          <w:szCs w:val="22"/>
        </w:rPr>
        <w:t xml:space="preserve">electronically or </w:t>
      </w:r>
      <w:r w:rsidRPr="00D62CBE" w:rsidR="00BB440F">
        <w:rPr>
          <w:szCs w:val="22"/>
        </w:rPr>
        <w:t xml:space="preserve">by facsimile).  Each counterpart, when executed and delivered, shall be an original, and </w:t>
      </w:r>
      <w:r w:rsidRPr="00D62CBE" w:rsidR="00BB440F">
        <w:rPr>
          <w:szCs w:val="22"/>
        </w:rPr>
        <w:t>all of</w:t>
      </w:r>
      <w:r w:rsidRPr="00D62CBE" w:rsidR="00BB440F">
        <w:rPr>
          <w:szCs w:val="22"/>
        </w:rPr>
        <w:t xml:space="preserve"> the counterparts together shall constitute one and the same fully executed instrument.</w:t>
      </w:r>
    </w:p>
    <w:p w:rsidR="00E24E9F" w:rsidRPr="00D62CBE" w:rsidP="009A17A5" w14:paraId="0F66C262" w14:textId="77777777">
      <w:pPr>
        <w:keepNext/>
        <w:keepLines/>
        <w:rPr>
          <w:szCs w:val="22"/>
        </w:rPr>
      </w:pPr>
    </w:p>
    <w:p w:rsidR="00E24E9F" w:rsidRPr="00D62CBE" w:rsidP="009A17A5" w14:paraId="743BF068" w14:textId="77777777">
      <w:pPr>
        <w:keepNext/>
        <w:keepLines/>
        <w:rPr>
          <w:szCs w:val="22"/>
        </w:rPr>
      </w:pPr>
    </w:p>
    <w:p w:rsidR="00E24E9F" w:rsidRPr="00D62CBE" w:rsidP="009A17A5" w14:paraId="3A82C6F1" w14:textId="77777777">
      <w:pPr>
        <w:keepNext/>
        <w:keepLines/>
        <w:rPr>
          <w:szCs w:val="22"/>
        </w:rPr>
      </w:pPr>
      <w:r w:rsidRPr="00D62CBE">
        <w:rPr>
          <w:szCs w:val="22"/>
        </w:rPr>
        <w:t>________________________________</w:t>
      </w:r>
    </w:p>
    <w:p w:rsidR="001D5380" w:rsidRPr="00D62CBE" w:rsidP="001D5380" w14:paraId="33F0A099" w14:textId="77777777">
      <w:pPr>
        <w:keepNext/>
        <w:keepLines/>
        <w:rPr>
          <w:szCs w:val="22"/>
        </w:rPr>
      </w:pPr>
      <w:r w:rsidRPr="00D62CBE">
        <w:rPr>
          <w:szCs w:val="22"/>
        </w:rPr>
        <w:t>Rosemary C. Harold</w:t>
      </w:r>
    </w:p>
    <w:p w:rsidR="001D5380" w:rsidRPr="00D62CBE" w:rsidP="001D5380" w14:paraId="314DE4E0" w14:textId="77777777">
      <w:pPr>
        <w:keepNext/>
        <w:keepLines/>
        <w:rPr>
          <w:szCs w:val="22"/>
        </w:rPr>
      </w:pPr>
      <w:r w:rsidRPr="00D62CBE">
        <w:rPr>
          <w:szCs w:val="22"/>
        </w:rPr>
        <w:t>Chief</w:t>
      </w:r>
    </w:p>
    <w:p w:rsidR="001D5380" w:rsidRPr="00D62CBE" w:rsidP="001D5380" w14:paraId="1452304E" w14:textId="77777777">
      <w:pPr>
        <w:keepNext/>
        <w:keepLines/>
        <w:rPr>
          <w:szCs w:val="22"/>
        </w:rPr>
      </w:pPr>
      <w:r w:rsidRPr="00D62CBE">
        <w:rPr>
          <w:szCs w:val="22"/>
        </w:rPr>
        <w:t>Enforcement Bureau</w:t>
      </w:r>
    </w:p>
    <w:p w:rsidR="00E24E9F" w:rsidRPr="00D62CBE" w:rsidP="009A17A5" w14:paraId="18E273B8" w14:textId="77777777">
      <w:pPr>
        <w:keepNext/>
        <w:keepLines/>
        <w:rPr>
          <w:szCs w:val="22"/>
        </w:rPr>
      </w:pPr>
    </w:p>
    <w:p w:rsidR="00E24E9F" w:rsidRPr="00D62CBE" w:rsidP="009A17A5" w14:paraId="427E1171" w14:textId="77777777">
      <w:pPr>
        <w:keepNext/>
        <w:keepLines/>
        <w:rPr>
          <w:szCs w:val="22"/>
        </w:rPr>
      </w:pPr>
    </w:p>
    <w:p w:rsidR="00E24E9F" w:rsidRPr="00D62CBE" w:rsidP="009A17A5" w14:paraId="796FED58" w14:textId="77777777">
      <w:pPr>
        <w:keepNext/>
        <w:keepLines/>
        <w:rPr>
          <w:szCs w:val="22"/>
        </w:rPr>
      </w:pPr>
      <w:r w:rsidRPr="00D62CBE">
        <w:rPr>
          <w:szCs w:val="22"/>
        </w:rPr>
        <w:t>________________________________</w:t>
      </w:r>
    </w:p>
    <w:p w:rsidR="00E24E9F" w:rsidRPr="00D62CBE" w:rsidP="009A17A5" w14:paraId="55F14C3E" w14:textId="77777777">
      <w:pPr>
        <w:keepNext/>
        <w:keepLines/>
        <w:rPr>
          <w:szCs w:val="22"/>
        </w:rPr>
      </w:pPr>
      <w:r w:rsidRPr="00D62CBE">
        <w:rPr>
          <w:szCs w:val="22"/>
        </w:rPr>
        <w:t>Date</w:t>
      </w:r>
    </w:p>
    <w:p w:rsidR="00E24E9F" w:rsidRPr="00D62CBE" w:rsidP="009A17A5" w14:paraId="2506C95B" w14:textId="77777777">
      <w:pPr>
        <w:keepNext/>
        <w:keepLines/>
        <w:rPr>
          <w:szCs w:val="22"/>
        </w:rPr>
      </w:pPr>
    </w:p>
    <w:p w:rsidR="00E24E9F" w:rsidRPr="00D62CBE" w:rsidP="00710CC1" w14:paraId="106771F1" w14:textId="77777777">
      <w:pPr>
        <w:keepLines/>
        <w:rPr>
          <w:szCs w:val="22"/>
        </w:rPr>
      </w:pPr>
    </w:p>
    <w:p w:rsidR="00E24E9F" w:rsidRPr="00D62CBE" w:rsidP="00710CC1" w14:paraId="6B8AE1C5" w14:textId="77777777">
      <w:pPr>
        <w:keepLines/>
        <w:rPr>
          <w:szCs w:val="22"/>
        </w:rPr>
      </w:pPr>
    </w:p>
    <w:p w:rsidR="00E24E9F" w:rsidRPr="00D62CBE" w:rsidP="00710CC1" w14:paraId="4A043DC0" w14:textId="77777777">
      <w:pPr>
        <w:keepLines/>
        <w:rPr>
          <w:szCs w:val="22"/>
        </w:rPr>
      </w:pPr>
      <w:r w:rsidRPr="00D62CBE">
        <w:rPr>
          <w:szCs w:val="22"/>
        </w:rPr>
        <w:t>________________________________</w:t>
      </w:r>
    </w:p>
    <w:p w:rsidR="00EE1291" w:rsidRPr="00D62CBE" w:rsidP="00710CC1" w14:paraId="1FC1B9E8" w14:textId="749AE62F">
      <w:pPr>
        <w:keepLines/>
        <w:rPr>
          <w:szCs w:val="22"/>
        </w:rPr>
      </w:pPr>
      <w:r w:rsidRPr="00D62CBE">
        <w:rPr>
          <w:szCs w:val="22"/>
        </w:rPr>
        <w:t xml:space="preserve">Darren </w:t>
      </w:r>
      <w:r w:rsidRPr="00D62CBE">
        <w:rPr>
          <w:szCs w:val="22"/>
        </w:rPr>
        <w:t>Dat</w:t>
      </w:r>
      <w:r w:rsidRPr="00D62CBE">
        <w:rPr>
          <w:szCs w:val="22"/>
        </w:rPr>
        <w:t xml:space="preserve"> Lu</w:t>
      </w:r>
    </w:p>
    <w:p w:rsidR="00EE1291" w:rsidRPr="00D62CBE" w:rsidP="00710CC1" w14:paraId="6605B3E0" w14:textId="759F6185">
      <w:pPr>
        <w:keepLines/>
        <w:rPr>
          <w:szCs w:val="22"/>
        </w:rPr>
      </w:pPr>
      <w:r w:rsidRPr="00D62CBE">
        <w:rPr>
          <w:szCs w:val="22"/>
        </w:rPr>
        <w:t>Chief Executive Officer</w:t>
      </w:r>
    </w:p>
    <w:p w:rsidR="00E24E9F" w:rsidRPr="00D62CBE" w:rsidP="00710CC1" w14:paraId="03D273DE" w14:textId="5E278AB8">
      <w:pPr>
        <w:keepLines/>
        <w:rPr>
          <w:szCs w:val="22"/>
        </w:rPr>
      </w:pPr>
      <w:r w:rsidRPr="00D62CBE">
        <w:rPr>
          <w:szCs w:val="22"/>
        </w:rPr>
        <w:t>Lunex</w:t>
      </w:r>
      <w:r w:rsidRPr="00D62CBE">
        <w:rPr>
          <w:szCs w:val="22"/>
        </w:rPr>
        <w:t xml:space="preserve"> Teleco</w:t>
      </w:r>
      <w:r w:rsidRPr="00D62CBE" w:rsidR="00080A2A">
        <w:rPr>
          <w:szCs w:val="22"/>
        </w:rPr>
        <w:t>m</w:t>
      </w:r>
      <w:r w:rsidRPr="00D62CBE">
        <w:rPr>
          <w:szCs w:val="22"/>
        </w:rPr>
        <w:t>, Inc.</w:t>
      </w:r>
    </w:p>
    <w:p w:rsidR="00E24E9F" w:rsidRPr="00D62CBE" w:rsidP="00710CC1" w14:paraId="3BB3B6CF" w14:textId="5EC67D1C">
      <w:pPr>
        <w:keepLines/>
        <w:rPr>
          <w:szCs w:val="22"/>
        </w:rPr>
      </w:pPr>
    </w:p>
    <w:p w:rsidR="004C591C" w:rsidRPr="00D62CBE" w:rsidP="00710CC1" w14:paraId="7FBA7DB3" w14:textId="77777777">
      <w:pPr>
        <w:keepLines/>
        <w:rPr>
          <w:szCs w:val="22"/>
        </w:rPr>
      </w:pPr>
    </w:p>
    <w:p w:rsidR="00E24E9F" w:rsidRPr="00D62CBE" w:rsidP="00710CC1" w14:paraId="7878EEA6" w14:textId="77777777">
      <w:pPr>
        <w:keepLines/>
        <w:rPr>
          <w:szCs w:val="22"/>
        </w:rPr>
      </w:pPr>
      <w:r w:rsidRPr="00D62CBE">
        <w:rPr>
          <w:szCs w:val="22"/>
        </w:rPr>
        <w:t>________________________________</w:t>
      </w:r>
    </w:p>
    <w:p w:rsidR="00E24E9F" w:rsidRPr="00D62CBE" w:rsidP="002755D1" w14:paraId="52685322" w14:textId="77777777">
      <w:pPr>
        <w:keepLines/>
        <w:rPr>
          <w:szCs w:val="22"/>
        </w:rPr>
      </w:pPr>
      <w:r w:rsidRPr="00D62CBE">
        <w:rPr>
          <w:szCs w:val="22"/>
        </w:rPr>
        <w:t>Date</w:t>
      </w:r>
    </w:p>
    <w:sectPr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00814E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507B" w14:paraId="44EBBB50" w14:textId="77777777">
      <w:r>
        <w:separator/>
      </w:r>
    </w:p>
  </w:footnote>
  <w:footnote w:type="continuationSeparator" w:id="1">
    <w:p w:rsidR="0011507B" w:rsidP="00C721AC" w14:paraId="4C26F739" w14:textId="77777777">
      <w:pPr>
        <w:spacing w:before="120"/>
        <w:rPr>
          <w:sz w:val="20"/>
        </w:rPr>
      </w:pPr>
      <w:r>
        <w:rPr>
          <w:sz w:val="20"/>
        </w:rPr>
        <w:t xml:space="preserve">(Continued from previous page)  </w:t>
      </w:r>
      <w:r>
        <w:rPr>
          <w:sz w:val="20"/>
        </w:rPr>
        <w:separator/>
      </w:r>
    </w:p>
  </w:footnote>
  <w:footnote w:type="continuationNotice" w:id="2">
    <w:p w:rsidR="0011507B" w:rsidP="00C721AC" w14:paraId="7578BDA0" w14:textId="77777777">
      <w:pPr>
        <w:jc w:val="right"/>
        <w:rPr>
          <w:sz w:val="20"/>
        </w:rPr>
      </w:pPr>
      <w:r>
        <w:rPr>
          <w:sz w:val="20"/>
        </w:rPr>
        <w:t>(continued….)</w:t>
      </w:r>
    </w:p>
  </w:footnote>
  <w:footnote w:id="3">
    <w:p w:rsidR="00D36867" w:rsidP="00D36867" w14:paraId="21887595" w14:textId="77777777">
      <w:pPr>
        <w:pStyle w:val="FootnoteText"/>
      </w:pPr>
      <w:r>
        <w:rPr>
          <w:rStyle w:val="FootnoteReference"/>
        </w:rPr>
        <w:footnoteRef/>
      </w:r>
      <w:r>
        <w:t xml:space="preserve"> 47 U.S.C. § 254(d).</w:t>
      </w:r>
    </w:p>
  </w:footnote>
  <w:footnote w:id="4">
    <w:p w:rsidR="00D36867" w:rsidP="00D36867" w14:paraId="0B139306" w14:textId="77777777">
      <w:pPr>
        <w:pStyle w:val="FootnoteText"/>
        <w:rPr>
          <w:lang w:val="es-ES_tradnl"/>
        </w:rPr>
      </w:pPr>
      <w:r>
        <w:rPr>
          <w:rStyle w:val="FootnoteReference"/>
        </w:rPr>
        <w:footnoteRef/>
      </w:r>
      <w:r>
        <w:rPr>
          <w:lang w:val="es-ES_tradnl"/>
        </w:rPr>
        <w:t xml:space="preserve"> 47 </w:t>
      </w:r>
      <w:r>
        <w:rPr>
          <w:lang w:val="es-ES_tradnl"/>
        </w:rPr>
        <w:t>U.S.C</w:t>
      </w:r>
      <w:r>
        <w:rPr>
          <w:lang w:val="es-ES_tradnl"/>
        </w:rPr>
        <w:t xml:space="preserve">. §§ 159(a), </w:t>
      </w:r>
      <w:r>
        <w:t>222, 251(e)(2), 254(d)</w:t>
      </w:r>
      <w:r>
        <w:rPr>
          <w:lang w:val="es-ES_tradnl"/>
        </w:rPr>
        <w:t>.</w:t>
      </w:r>
    </w:p>
  </w:footnote>
  <w:footnote w:id="5">
    <w:p w:rsidR="00D36867" w:rsidP="00D36867" w14:paraId="08FC0202" w14:textId="77777777">
      <w:pPr>
        <w:pStyle w:val="FootnoteText"/>
        <w:rPr>
          <w:lang w:val="es-ES_tradnl"/>
        </w:rPr>
      </w:pPr>
      <w:r>
        <w:rPr>
          <w:rStyle w:val="FootnoteReference"/>
        </w:rPr>
        <w:footnoteRef/>
      </w:r>
      <w:r>
        <w:rPr>
          <w:lang w:val="es-ES_tradnl"/>
        </w:rPr>
        <w:t xml:space="preserve"> 47 </w:t>
      </w:r>
      <w:r>
        <w:rPr>
          <w:lang w:val="es-ES_tradnl"/>
        </w:rPr>
        <w:t>CFR</w:t>
      </w:r>
      <w:r>
        <w:rPr>
          <w:lang w:val="es-ES_tradnl"/>
        </w:rPr>
        <w:t xml:space="preserve"> §§ </w:t>
      </w:r>
      <w:r>
        <w:t xml:space="preserve">1.1154, 1.7001, </w:t>
      </w:r>
      <w:r>
        <w:rPr>
          <w:lang w:val="es-ES_tradnl"/>
        </w:rPr>
        <w:t>1.1157, 52.17, 52.32, 54.706, 54.707, 54.711, 54.712, 64.604, 64.1195, 64.2009(e).</w:t>
      </w:r>
    </w:p>
  </w:footnote>
  <w:footnote w:id="6">
    <w:p w:rsidR="00D36867" w:rsidP="00D36867" w14:paraId="46E5BC60" w14:textId="77777777">
      <w:pPr>
        <w:pStyle w:val="FootnoteText"/>
      </w:pPr>
      <w:r>
        <w:rPr>
          <w:rStyle w:val="FootnoteReference"/>
        </w:rPr>
        <w:footnoteRef/>
      </w:r>
      <w:r>
        <w:t xml:space="preserve"> </w:t>
      </w:r>
      <w:r>
        <w:rPr>
          <w:i/>
        </w:rPr>
        <w:t xml:space="preserve">See </w:t>
      </w:r>
      <w:r>
        <w:t>47 CFR § 1.93(b).</w:t>
      </w:r>
    </w:p>
  </w:footnote>
  <w:footnote w:id="7">
    <w:p w:rsidR="00D36867" w:rsidP="00D36867" w14:paraId="76788ACF" w14:textId="77777777">
      <w:pPr>
        <w:pStyle w:val="FootnoteText"/>
      </w:pPr>
      <w:r>
        <w:rPr>
          <w:rStyle w:val="FootnoteReference"/>
        </w:rPr>
        <w:footnoteRef/>
      </w:r>
      <w:r>
        <w:t xml:space="preserve"> </w:t>
      </w:r>
      <w:r>
        <w:rPr>
          <w:szCs w:val="22"/>
        </w:rPr>
        <w:t>47 U.S.C. § 154(</w:t>
      </w:r>
      <w:r>
        <w:rPr>
          <w:szCs w:val="22"/>
        </w:rPr>
        <w:t>i</w:t>
      </w:r>
      <w:r>
        <w:rPr>
          <w:szCs w:val="22"/>
        </w:rPr>
        <w:t>).</w:t>
      </w:r>
    </w:p>
  </w:footnote>
  <w:footnote w:id="8">
    <w:p w:rsidR="00D36867" w:rsidP="00D36867" w14:paraId="09722289" w14:textId="77777777">
      <w:pPr>
        <w:pStyle w:val="FootnoteText"/>
      </w:pPr>
      <w:r>
        <w:rPr>
          <w:rStyle w:val="FootnoteReference"/>
        </w:rPr>
        <w:footnoteRef/>
      </w:r>
      <w:r>
        <w:t xml:space="preserve"> </w:t>
      </w:r>
      <w:r>
        <w:rPr>
          <w:szCs w:val="22"/>
        </w:rPr>
        <w:t>47 CFR §§ 0.111, 0.311.</w:t>
      </w:r>
    </w:p>
  </w:footnote>
  <w:footnote w:id="9">
    <w:p w:rsidR="003C190E" w:rsidRPr="00077594" w:rsidP="003C190E" w14:paraId="1683C256" w14:textId="77777777">
      <w:pPr>
        <w:pStyle w:val="FootnoteText"/>
        <w:rPr>
          <w:lang w:val="es-ES_tradnl"/>
        </w:rPr>
      </w:pPr>
      <w:r w:rsidRPr="00077594">
        <w:rPr>
          <w:rStyle w:val="FootnoteReference"/>
        </w:rPr>
        <w:footnoteRef/>
      </w:r>
      <w:r w:rsidRPr="00077594">
        <w:rPr>
          <w:lang w:val="es-ES_tradnl"/>
        </w:rPr>
        <w:t xml:space="preserve"> 47 </w:t>
      </w:r>
      <w:r w:rsidRPr="00077594">
        <w:rPr>
          <w:lang w:val="es-ES_tradnl"/>
        </w:rPr>
        <w:t>U.S.C</w:t>
      </w:r>
      <w:r w:rsidRPr="00077594">
        <w:rPr>
          <w:lang w:val="es-ES_tradnl"/>
        </w:rPr>
        <w:t xml:space="preserve">. §§ </w:t>
      </w:r>
      <w:r>
        <w:rPr>
          <w:lang w:val="es-ES_tradnl"/>
        </w:rPr>
        <w:t xml:space="preserve">159(a), </w:t>
      </w:r>
      <w:r w:rsidRPr="00077594">
        <w:t>222, 251(e)(2), 254(d)</w:t>
      </w:r>
      <w:r w:rsidRPr="00077594">
        <w:rPr>
          <w:lang w:val="es-ES_tradnl"/>
        </w:rPr>
        <w:t>.</w:t>
      </w:r>
    </w:p>
  </w:footnote>
  <w:footnote w:id="10">
    <w:p w:rsidR="003C190E" w:rsidRPr="00077594" w:rsidP="003C190E" w14:paraId="57C307CD" w14:textId="59A55DBB">
      <w:pPr>
        <w:pStyle w:val="FootnoteText"/>
        <w:rPr>
          <w:lang w:val="es-ES_tradnl"/>
        </w:rPr>
      </w:pPr>
      <w:r w:rsidRPr="00077594">
        <w:rPr>
          <w:rStyle w:val="FootnoteReference"/>
        </w:rPr>
        <w:footnoteRef/>
      </w:r>
      <w:r w:rsidRPr="00077594">
        <w:rPr>
          <w:lang w:val="es-ES_tradnl"/>
        </w:rPr>
        <w:t xml:space="preserve"> 47 </w:t>
      </w:r>
      <w:r>
        <w:rPr>
          <w:lang w:val="es-ES_tradnl"/>
        </w:rPr>
        <w:t>CFR</w:t>
      </w:r>
      <w:r w:rsidRPr="00077594">
        <w:rPr>
          <w:lang w:val="es-ES_tradnl"/>
        </w:rPr>
        <w:t xml:space="preserve"> §§ </w:t>
      </w:r>
      <w:r w:rsidRPr="00077594">
        <w:t xml:space="preserve">1.1154, </w:t>
      </w:r>
      <w:r w:rsidR="00B10CD2">
        <w:t xml:space="preserve">1.7001, </w:t>
      </w:r>
      <w:r w:rsidRPr="00077594">
        <w:rPr>
          <w:lang w:val="es-ES_tradnl"/>
        </w:rPr>
        <w:t xml:space="preserve">1.1157, 52.17, 52.32, 54.706, </w:t>
      </w:r>
      <w:r>
        <w:rPr>
          <w:lang w:val="es-ES_tradnl"/>
        </w:rPr>
        <w:t xml:space="preserve">54.707, </w:t>
      </w:r>
      <w:r w:rsidRPr="00077594">
        <w:rPr>
          <w:lang w:val="es-ES_tradnl"/>
        </w:rPr>
        <w:t xml:space="preserve">54.711, </w:t>
      </w:r>
      <w:r>
        <w:rPr>
          <w:lang w:val="es-ES_tradnl"/>
        </w:rPr>
        <w:t xml:space="preserve">54.712, </w:t>
      </w:r>
      <w:r w:rsidRPr="00077594">
        <w:rPr>
          <w:lang w:val="es-ES_tradnl"/>
        </w:rPr>
        <w:t>64.604, 64.1195, 64.2009(e).</w:t>
      </w:r>
    </w:p>
  </w:footnote>
  <w:footnote w:id="11">
    <w:p w:rsidR="00843A5F" w14:paraId="0FA52EAB"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rsidR="00D4526F" w:rsidRPr="00C90BA5" w:rsidP="00D4526F" w14:paraId="4EFC0F84" w14:textId="77777777">
      <w:pPr>
        <w:pStyle w:val="FootnoteText"/>
        <w:rPr>
          <w:lang w:val="es-ES_tradnl"/>
        </w:rPr>
      </w:pPr>
      <w:r w:rsidRPr="00C90BA5">
        <w:rPr>
          <w:rStyle w:val="FootnoteReference"/>
        </w:rPr>
        <w:footnoteRef/>
      </w:r>
      <w:r w:rsidRPr="00C90BA5">
        <w:rPr>
          <w:lang w:val="es-ES_tradnl"/>
        </w:rPr>
        <w:t xml:space="preserve"> 47 </w:t>
      </w:r>
      <w:r w:rsidRPr="00C90BA5">
        <w:rPr>
          <w:lang w:val="es-ES_tradnl"/>
        </w:rPr>
        <w:t>U.S.C</w:t>
      </w:r>
      <w:r w:rsidRPr="00C90BA5">
        <w:rPr>
          <w:lang w:val="es-ES_tradnl"/>
        </w:rPr>
        <w:t xml:space="preserve">. §§ </w:t>
      </w:r>
      <w:r w:rsidRPr="00C90BA5">
        <w:t>222, 251(e)(2), 254(d)</w:t>
      </w:r>
      <w:r w:rsidRPr="00C90BA5">
        <w:rPr>
          <w:lang w:val="es-ES_tradnl"/>
        </w:rPr>
        <w:t>.</w:t>
      </w:r>
    </w:p>
  </w:footnote>
  <w:footnote w:id="13">
    <w:p w:rsidR="00D4526F" w:rsidRPr="00C90BA5" w:rsidP="00D4526F" w14:paraId="36EC1A0A" w14:textId="3B9338A5">
      <w:pPr>
        <w:pStyle w:val="FootnoteText"/>
        <w:rPr>
          <w:lang w:val="es-ES_tradnl"/>
        </w:rPr>
      </w:pPr>
      <w:r w:rsidRPr="00C90BA5">
        <w:rPr>
          <w:rStyle w:val="FootnoteReference"/>
        </w:rPr>
        <w:footnoteRef/>
      </w:r>
      <w:r w:rsidRPr="00C90BA5">
        <w:rPr>
          <w:lang w:val="es-ES_tradnl"/>
        </w:rPr>
        <w:t xml:space="preserve"> 47 </w:t>
      </w:r>
      <w:r w:rsidRPr="00C90BA5">
        <w:rPr>
          <w:lang w:val="es-ES_tradnl"/>
        </w:rPr>
        <w:t>CFR</w:t>
      </w:r>
      <w:r w:rsidRPr="00C90BA5">
        <w:rPr>
          <w:lang w:val="es-ES_tradnl"/>
        </w:rPr>
        <w:t xml:space="preserve"> §§ 52.17, 52.32, 54.711, 64.604, 64.2009(e).</w:t>
      </w:r>
    </w:p>
  </w:footnote>
  <w:footnote w:id="14">
    <w:p w:rsidR="00D4526F" w:rsidRPr="00C90BA5" w:rsidP="00D4526F" w14:paraId="1AAFB85E" w14:textId="77777777">
      <w:pPr>
        <w:pStyle w:val="FootnoteText"/>
        <w:rPr>
          <w:lang w:val="es-ES_tradnl"/>
        </w:rPr>
      </w:pPr>
      <w:r w:rsidRPr="00C90BA5">
        <w:rPr>
          <w:rStyle w:val="FootnoteReference"/>
        </w:rPr>
        <w:footnoteRef/>
      </w:r>
      <w:r w:rsidRPr="00C90BA5">
        <w:rPr>
          <w:lang w:val="es-ES_tradnl"/>
        </w:rPr>
        <w:t xml:space="preserve"> 47 </w:t>
      </w:r>
      <w:r w:rsidRPr="00C90BA5">
        <w:rPr>
          <w:lang w:val="es-ES_tradnl"/>
        </w:rPr>
        <w:t>U.S.C</w:t>
      </w:r>
      <w:r w:rsidRPr="00C90BA5">
        <w:rPr>
          <w:lang w:val="es-ES_tradnl"/>
        </w:rPr>
        <w:t xml:space="preserve">. §§ 159(a), </w:t>
      </w:r>
      <w:r w:rsidRPr="00C90BA5">
        <w:t>222, 251(e)(2), 254(d)</w:t>
      </w:r>
      <w:r w:rsidRPr="00C90BA5">
        <w:rPr>
          <w:lang w:val="es-ES_tradnl"/>
        </w:rPr>
        <w:t>.</w:t>
      </w:r>
    </w:p>
  </w:footnote>
  <w:footnote w:id="15">
    <w:p w:rsidR="00D4526F" w:rsidRPr="00C90BA5" w:rsidP="00D4526F" w14:paraId="6240B39B" w14:textId="77777777">
      <w:pPr>
        <w:pStyle w:val="FootnoteText"/>
        <w:rPr>
          <w:lang w:val="es-ES_tradnl"/>
        </w:rPr>
      </w:pPr>
      <w:r w:rsidRPr="00C90BA5">
        <w:rPr>
          <w:rStyle w:val="FootnoteReference"/>
        </w:rPr>
        <w:footnoteRef/>
      </w:r>
      <w:r w:rsidRPr="00C90BA5">
        <w:rPr>
          <w:lang w:val="es-ES_tradnl"/>
        </w:rPr>
        <w:t xml:space="preserve"> 47 </w:t>
      </w:r>
      <w:r w:rsidRPr="00C90BA5">
        <w:rPr>
          <w:lang w:val="es-ES_tradnl"/>
        </w:rPr>
        <w:t>CFR</w:t>
      </w:r>
      <w:r w:rsidRPr="00C90BA5">
        <w:rPr>
          <w:lang w:val="es-ES_tradnl"/>
        </w:rPr>
        <w:t xml:space="preserve"> §§ </w:t>
      </w:r>
      <w:r w:rsidRPr="00C90BA5">
        <w:t xml:space="preserve">1.1154, </w:t>
      </w:r>
      <w:r w:rsidRPr="00C90BA5">
        <w:rPr>
          <w:lang w:val="es-ES_tradnl"/>
        </w:rPr>
        <w:t>1.1157, 1.7001, 52.17, 52.32, 54.706, 54.707, 54.711, 54.712, 64.604, 64.1195, 64.2009(e).</w:t>
      </w:r>
    </w:p>
  </w:footnote>
  <w:footnote w:id="16">
    <w:p w:rsidR="00853F7A" w:rsidRPr="00C90BA5" w:rsidP="00853F7A" w14:paraId="4A2EDF66" w14:textId="77777777">
      <w:pPr>
        <w:pStyle w:val="FootnoteText"/>
      </w:pPr>
      <w:r w:rsidRPr="00C90BA5">
        <w:rPr>
          <w:rStyle w:val="FootnoteReference"/>
        </w:rPr>
        <w:footnoteRef/>
      </w:r>
      <w:r w:rsidRPr="00C90BA5">
        <w:t xml:space="preserve"> 47 U.S.C. § 254(d).  </w:t>
      </w:r>
    </w:p>
  </w:footnote>
  <w:footnote w:id="17">
    <w:p w:rsidR="00853F7A" w:rsidRPr="00C90BA5" w:rsidP="00853F7A" w14:paraId="033D2932" w14:textId="77777777">
      <w:pPr>
        <w:pStyle w:val="FootnoteText"/>
        <w:rPr>
          <w:b/>
        </w:rPr>
      </w:pPr>
      <w:r w:rsidRPr="00C90BA5">
        <w:rPr>
          <w:rStyle w:val="FootnoteReference"/>
        </w:rPr>
        <w:footnoteRef/>
      </w:r>
      <w:r w:rsidRPr="00C90BA5">
        <w:t xml:space="preserve"> </w:t>
      </w:r>
      <w:r w:rsidRPr="00C90BA5">
        <w:rPr>
          <w:i/>
        </w:rPr>
        <w:t>See</w:t>
      </w:r>
      <w:r w:rsidRPr="00C90BA5">
        <w:t xml:space="preserve"> 47 U.S.C. § 254(d) (“Any other provider of interstate telecommunications may be required to contribute to the preservation and advancement of universal service if the public interest so requires.”); </w:t>
      </w:r>
      <w:r w:rsidRPr="00C90BA5">
        <w:rPr>
          <w:i/>
        </w:rPr>
        <w:t>Universal Service Contribution Methodology</w:t>
      </w:r>
      <w:r w:rsidRPr="00C90BA5">
        <w:t xml:space="preserve">, Report and Order and Notice of Proposed Rulemaking, 21 FCC </w:t>
      </w:r>
      <w:r w:rsidRPr="00C90BA5">
        <w:t>Rcd</w:t>
      </w:r>
      <w:r w:rsidRPr="00C90BA5">
        <w:t xml:space="preserve"> 7518 (2006) (extending section 254(d) permissive authority to require interconnected VoIP providers to contribute to the USF), </w:t>
      </w:r>
      <w:r w:rsidRPr="00C90BA5">
        <w:rPr>
          <w:i/>
        </w:rPr>
        <w:t>petition for review denied, and vacated in part on other grounds</w:t>
      </w:r>
      <w:r w:rsidRPr="00C90BA5">
        <w:t xml:space="preserve">, </w:t>
      </w:r>
      <w:r w:rsidRPr="00C90BA5">
        <w:rPr>
          <w:i/>
        </w:rPr>
        <w:t>Vonage Holding Corp. v. FCC</w:t>
      </w:r>
      <w:r w:rsidRPr="00C90BA5">
        <w:t xml:space="preserve">, 489 F.3d 1232 (D.C. Cir. 2007).  </w:t>
      </w:r>
    </w:p>
  </w:footnote>
  <w:footnote w:id="18">
    <w:p w:rsidR="00853F7A" w:rsidRPr="00C90BA5" w:rsidP="00853F7A" w14:paraId="5C620E2C" w14:textId="77777777">
      <w:pPr>
        <w:pStyle w:val="FootnoteText"/>
      </w:pPr>
      <w:r w:rsidRPr="00C90BA5">
        <w:rPr>
          <w:rStyle w:val="FootnoteReference"/>
        </w:rPr>
        <w:footnoteRef/>
      </w:r>
      <w:r w:rsidRPr="00C90BA5">
        <w:t xml:space="preserve"> 47 CFR § 54.706(b).  </w:t>
      </w:r>
    </w:p>
  </w:footnote>
  <w:footnote w:id="19">
    <w:p w:rsidR="00853F7A" w:rsidRPr="00C90BA5" w:rsidP="00853F7A" w14:paraId="38C691DE" w14:textId="77777777">
      <w:pPr>
        <w:pStyle w:val="FootnoteText"/>
      </w:pPr>
      <w:r w:rsidRPr="00C90BA5">
        <w:rPr>
          <w:rStyle w:val="FootnoteReference"/>
        </w:rPr>
        <w:footnoteRef/>
      </w:r>
      <w:r w:rsidRPr="00C90BA5">
        <w:t xml:space="preserve"> </w:t>
      </w:r>
      <w:r w:rsidRPr="00C90BA5">
        <w:rPr>
          <w:i/>
          <w:iCs/>
        </w:rPr>
        <w:t xml:space="preserve">See </w:t>
      </w:r>
      <w:r w:rsidRPr="00C90BA5">
        <w:rPr>
          <w:i/>
          <w:iCs/>
        </w:rPr>
        <w:t>Telseven</w:t>
      </w:r>
      <w:r w:rsidRPr="00C90BA5">
        <w:rPr>
          <w:i/>
          <w:iCs/>
        </w:rPr>
        <w:t>, LLC</w:t>
      </w:r>
      <w:r w:rsidRPr="00C90BA5">
        <w:t xml:space="preserve">, Notice of Apparent Liability for Forfeiture, 27 FCC </w:t>
      </w:r>
      <w:r w:rsidRPr="00C90BA5">
        <w:t>Rcd</w:t>
      </w:r>
      <w:r w:rsidRPr="00C90BA5">
        <w:t xml:space="preserve"> 6636, 6637, para. 2 (2012) (</w:t>
      </w:r>
      <w:r w:rsidRPr="00C90BA5">
        <w:rPr>
          <w:i/>
          <w:iCs/>
        </w:rPr>
        <w:t>Telseven</w:t>
      </w:r>
      <w:r w:rsidRPr="00C90BA5">
        <w:rPr>
          <w:i/>
          <w:iCs/>
        </w:rPr>
        <w:t xml:space="preserve"> NAL</w:t>
      </w:r>
      <w:r w:rsidRPr="00C90BA5">
        <w:t xml:space="preserve">), </w:t>
      </w:r>
      <w:r w:rsidRPr="00C90BA5">
        <w:rPr>
          <w:i/>
          <w:iCs/>
        </w:rPr>
        <w:t>forfeiture issued</w:t>
      </w:r>
      <w:r w:rsidRPr="00C90BA5">
        <w:t xml:space="preserve">, Forfeiture Order, 31 FCC </w:t>
      </w:r>
      <w:r w:rsidRPr="00C90BA5">
        <w:t>Rcd</w:t>
      </w:r>
      <w:r w:rsidRPr="00C90BA5">
        <w:t xml:space="preserve"> 1629 (2016).</w:t>
      </w:r>
    </w:p>
  </w:footnote>
  <w:footnote w:id="20">
    <w:p w:rsidR="00853F7A" w:rsidRPr="00C90BA5" w:rsidP="00853F7A" w14:paraId="34D6C100" w14:textId="77777777">
      <w:pPr>
        <w:pStyle w:val="FootnoteText"/>
        <w:rPr>
          <w:i/>
          <w:iCs/>
        </w:rPr>
      </w:pPr>
      <w:r w:rsidRPr="00C90BA5">
        <w:rPr>
          <w:rStyle w:val="FootnoteReference"/>
        </w:rPr>
        <w:footnoteRef/>
      </w:r>
      <w:r w:rsidRPr="00C90BA5">
        <w:t xml:space="preserve"> </w:t>
      </w:r>
      <w:bookmarkStart w:id="0" w:name="_Hlk41464369"/>
      <w:r w:rsidRPr="00C90BA5">
        <w:rPr>
          <w:i/>
          <w:iCs/>
        </w:rPr>
        <w:t>See id</w:t>
      </w:r>
      <w:bookmarkEnd w:id="0"/>
      <w:r w:rsidRPr="00C90BA5">
        <w:rPr>
          <w:i/>
          <w:iCs/>
        </w:rPr>
        <w:t>.</w:t>
      </w:r>
    </w:p>
  </w:footnote>
  <w:footnote w:id="21">
    <w:p w:rsidR="00853F7A" w:rsidRPr="00C90BA5" w:rsidP="00853F7A" w14:paraId="2DB6DE30" w14:textId="77777777">
      <w:pPr>
        <w:pStyle w:val="FootnoteText"/>
        <w:rPr>
          <w:i/>
          <w:iCs/>
        </w:rPr>
      </w:pPr>
      <w:r w:rsidRPr="00C90BA5">
        <w:rPr>
          <w:rStyle w:val="FootnoteReference"/>
        </w:rPr>
        <w:footnoteRef/>
      </w:r>
      <w:r w:rsidRPr="00C90BA5">
        <w:t xml:space="preserve"> </w:t>
      </w:r>
      <w:r w:rsidRPr="00C90BA5">
        <w:rPr>
          <w:i/>
          <w:iCs/>
        </w:rPr>
        <w:t xml:space="preserve">See </w:t>
      </w:r>
      <w:r w:rsidRPr="00C90BA5">
        <w:t xml:space="preserve">47 CFR </w:t>
      </w:r>
      <w:r w:rsidRPr="00C90BA5">
        <w:rPr>
          <w:color w:val="000000"/>
          <w:lang w:val="es-ES"/>
        </w:rPr>
        <w:t xml:space="preserve">§ </w:t>
      </w:r>
      <w:r w:rsidRPr="00C90BA5">
        <w:t xml:space="preserve">54.711; </w:t>
      </w:r>
      <w:r w:rsidRPr="00C90BA5">
        <w:rPr>
          <w:i/>
          <w:iCs/>
        </w:rPr>
        <w:t>Wireline Competition Bureau Releases the 2020 Telecommunications Reporting Worksheets and Accompanying Instructions</w:t>
      </w:r>
      <w:r w:rsidRPr="00C90BA5">
        <w:t xml:space="preserve">, Public Notice, 35 FCC </w:t>
      </w:r>
      <w:r w:rsidRPr="00C90BA5">
        <w:t>Rcd</w:t>
      </w:r>
      <w:r w:rsidRPr="00C90BA5">
        <w:t xml:space="preserve"> 1350, 1373 (</w:t>
      </w:r>
      <w:r w:rsidRPr="00C90BA5">
        <w:t>WCB</w:t>
      </w:r>
      <w:r w:rsidRPr="00C90BA5">
        <w:t xml:space="preserve"> 2020) (</w:t>
      </w:r>
      <w:r w:rsidRPr="00C90BA5">
        <w:rPr>
          <w:i/>
          <w:iCs/>
        </w:rPr>
        <w:t>2020 Form 499 Public Notice</w:t>
      </w:r>
      <w:r w:rsidRPr="00C90BA5">
        <w:t xml:space="preserve">); </w:t>
      </w:r>
      <w:r w:rsidRPr="00C90BA5">
        <w:rPr>
          <w:i/>
          <w:iCs/>
        </w:rPr>
        <w:t>Telseven</w:t>
      </w:r>
      <w:r w:rsidRPr="00C90BA5">
        <w:rPr>
          <w:i/>
          <w:iCs/>
        </w:rPr>
        <w:t xml:space="preserve"> NAL</w:t>
      </w:r>
      <w:r w:rsidRPr="00C90BA5">
        <w:t xml:space="preserve">, 27 FCC </w:t>
      </w:r>
      <w:r w:rsidRPr="00C90BA5">
        <w:t>Rcd</w:t>
      </w:r>
      <w:r w:rsidRPr="00C90BA5">
        <w:t xml:space="preserve"> at 6637, para. 2.</w:t>
      </w:r>
    </w:p>
  </w:footnote>
  <w:footnote w:id="22">
    <w:p w:rsidR="00853F7A" w:rsidRPr="00C90BA5" w:rsidP="00853F7A" w14:paraId="5B76B253" w14:textId="77777777">
      <w:pPr>
        <w:pStyle w:val="FootnoteText"/>
      </w:pPr>
      <w:r w:rsidRPr="00C90BA5">
        <w:rPr>
          <w:rStyle w:val="FootnoteReference"/>
        </w:rPr>
        <w:footnoteRef/>
      </w:r>
      <w:r w:rsidRPr="00C90BA5">
        <w:t xml:space="preserve"> </w:t>
      </w:r>
      <w:bookmarkStart w:id="1" w:name="_Hlk41464496"/>
      <w:r w:rsidRPr="00C90BA5">
        <w:rPr>
          <w:i/>
          <w:iCs/>
        </w:rPr>
        <w:t xml:space="preserve">See </w:t>
      </w:r>
      <w:r w:rsidRPr="00C90BA5">
        <w:t xml:space="preserve">47 CFR </w:t>
      </w:r>
      <w:r w:rsidRPr="00C90BA5">
        <w:rPr>
          <w:color w:val="000000"/>
          <w:lang w:val="es-ES"/>
        </w:rPr>
        <w:t xml:space="preserve">§ </w:t>
      </w:r>
      <w:r w:rsidRPr="00C90BA5">
        <w:t xml:space="preserve">54.711; </w:t>
      </w:r>
      <w:bookmarkStart w:id="2" w:name="_Hlk43390264"/>
      <w:r w:rsidRPr="00C90BA5">
        <w:rPr>
          <w:i/>
          <w:iCs/>
        </w:rPr>
        <w:t>2020 Form 499 Public Notice</w:t>
      </w:r>
      <w:r w:rsidRPr="00C90BA5">
        <w:t>,</w:t>
      </w:r>
      <w:bookmarkEnd w:id="2"/>
      <w:r w:rsidRPr="00C90BA5">
        <w:t xml:space="preserve"> 35 FCC </w:t>
      </w:r>
      <w:r w:rsidRPr="00C90BA5">
        <w:t>Rcd</w:t>
      </w:r>
      <w:r w:rsidRPr="00C90BA5">
        <w:t xml:space="preserve"> at 1373</w:t>
      </w:r>
      <w:r w:rsidRPr="00C90BA5">
        <w:rPr>
          <w:color w:val="212121"/>
        </w:rPr>
        <w:t xml:space="preserve">; </w:t>
      </w:r>
      <w:r w:rsidRPr="00C90BA5">
        <w:rPr>
          <w:i/>
          <w:iCs/>
        </w:rPr>
        <w:t>Telseven</w:t>
      </w:r>
      <w:r w:rsidRPr="00C90BA5">
        <w:rPr>
          <w:i/>
          <w:iCs/>
        </w:rPr>
        <w:t xml:space="preserve"> NAL</w:t>
      </w:r>
      <w:r w:rsidRPr="00C90BA5">
        <w:t xml:space="preserve">, 27 FCC </w:t>
      </w:r>
      <w:r w:rsidRPr="00C90BA5">
        <w:t>Rcd</w:t>
      </w:r>
      <w:r w:rsidRPr="00C90BA5">
        <w:t xml:space="preserve"> at 6637, para. 2</w:t>
      </w:r>
      <w:bookmarkEnd w:id="1"/>
      <w:r w:rsidRPr="00C90BA5">
        <w:t xml:space="preserve">.      </w:t>
      </w:r>
    </w:p>
  </w:footnote>
  <w:footnote w:id="23">
    <w:p w:rsidR="00853F7A" w:rsidRPr="00C90BA5" w:rsidP="00853F7A" w14:paraId="73A400A7" w14:textId="77777777">
      <w:pPr>
        <w:pStyle w:val="FootnoteText"/>
      </w:pPr>
      <w:r w:rsidRPr="00C90BA5">
        <w:rPr>
          <w:rStyle w:val="FootnoteReference"/>
        </w:rPr>
        <w:footnoteRef/>
      </w:r>
      <w:r w:rsidRPr="00C90BA5">
        <w:t xml:space="preserve"> Individual universal service contribution amounts that are based upon quarterly filings are subject to an annual true-up based on the Annual Worksheets.  </w:t>
      </w:r>
      <w:r w:rsidRPr="00C90BA5">
        <w:rPr>
          <w:i/>
        </w:rPr>
        <w:t xml:space="preserve">See </w:t>
      </w:r>
      <w:r w:rsidRPr="00C90BA5">
        <w:t xml:space="preserve">47 CFR § 54.711; </w:t>
      </w:r>
      <w:r w:rsidRPr="00C90BA5">
        <w:rPr>
          <w:i/>
        </w:rPr>
        <w:t>Federal-State Joint Board on Universal Service</w:t>
      </w:r>
      <w:r w:rsidRPr="00C90BA5">
        <w:rPr>
          <w:iCs/>
        </w:rPr>
        <w:t xml:space="preserve">, </w:t>
      </w:r>
      <w:r w:rsidRPr="00C90BA5">
        <w:t xml:space="preserve">Report and Order and Order on Reconsideration, 16 FCC </w:t>
      </w:r>
      <w:r w:rsidRPr="00C90BA5">
        <w:t>Rcd</w:t>
      </w:r>
      <w:r w:rsidRPr="00C90BA5">
        <w:t xml:space="preserve"> 5748, 5752-53, para. 12 (2001).  </w:t>
      </w:r>
    </w:p>
  </w:footnote>
  <w:footnote w:id="24">
    <w:p w:rsidR="00853F7A" w:rsidRPr="00C90BA5" w:rsidP="00853F7A" w14:paraId="75B9F316" w14:textId="77777777">
      <w:pPr>
        <w:pStyle w:val="FootnoteText"/>
      </w:pPr>
      <w:r w:rsidRPr="00C90BA5">
        <w:rPr>
          <w:rStyle w:val="FootnoteReference"/>
        </w:rPr>
        <w:footnoteRef/>
      </w:r>
      <w:r w:rsidRPr="00C90BA5">
        <w:t xml:space="preserve"> </w:t>
      </w:r>
      <w:r w:rsidRPr="00C90BA5">
        <w:rPr>
          <w:i/>
          <w:iCs/>
        </w:rPr>
        <w:t>E.g</w:t>
      </w:r>
      <w:r w:rsidRPr="00C90BA5">
        <w:t xml:space="preserve">., </w:t>
      </w:r>
      <w:r w:rsidRPr="00C90BA5">
        <w:rPr>
          <w:i/>
          <w:iCs/>
        </w:rPr>
        <w:t>2020 Form 499 Public Notice</w:t>
      </w:r>
      <w:r w:rsidRPr="00C90BA5">
        <w:t xml:space="preserve">, 35 FCC </w:t>
      </w:r>
      <w:r w:rsidRPr="00C90BA5">
        <w:t>Rcd</w:t>
      </w:r>
      <w:r w:rsidRPr="00C90BA5">
        <w:t xml:space="preserve"> at 1373</w:t>
      </w:r>
      <w:r w:rsidRPr="00C90BA5">
        <w:rPr>
          <w:color w:val="212121"/>
        </w:rPr>
        <w:t>.</w:t>
      </w:r>
    </w:p>
  </w:footnote>
  <w:footnote w:id="25">
    <w:p w:rsidR="00853F7A" w:rsidRPr="00C90BA5" w:rsidP="00853F7A" w14:paraId="79AF8CE6" w14:textId="77777777">
      <w:pPr>
        <w:pStyle w:val="FootnoteText"/>
      </w:pPr>
      <w:r w:rsidRPr="00C90BA5">
        <w:rPr>
          <w:rStyle w:val="FootnoteReference"/>
        </w:rPr>
        <w:footnoteRef/>
      </w:r>
      <w:r w:rsidRPr="00C90BA5">
        <w:t xml:space="preserve"> 47 CFR § 54.713.  </w:t>
      </w:r>
    </w:p>
  </w:footnote>
  <w:footnote w:id="26">
    <w:p w:rsidR="00853F7A" w:rsidRPr="00C90BA5" w:rsidP="00853F7A" w14:paraId="5EBD41C6" w14:textId="77777777">
      <w:pPr>
        <w:pStyle w:val="FootnoteText"/>
      </w:pPr>
      <w:r w:rsidRPr="00C90BA5">
        <w:rPr>
          <w:rStyle w:val="FootnoteReference"/>
        </w:rPr>
        <w:footnoteRef/>
      </w:r>
      <w:r w:rsidRPr="00C90BA5">
        <w:t xml:space="preserve"> The effective administration of Telecommunications Relay Service, </w:t>
      </w:r>
      <w:r w:rsidRPr="00C90BA5">
        <w:rPr>
          <w:i/>
          <w:iCs/>
        </w:rPr>
        <w:t xml:space="preserve">see </w:t>
      </w:r>
      <w:r w:rsidRPr="00C90BA5">
        <w:t xml:space="preserve">47 CFR § 64.604; Local Number Portability, </w:t>
      </w:r>
      <w:r w:rsidRPr="00C90BA5">
        <w:rPr>
          <w:i/>
          <w:iCs/>
        </w:rPr>
        <w:t xml:space="preserve">see </w:t>
      </w:r>
      <w:r w:rsidRPr="00C90BA5">
        <w:t xml:space="preserve">47 CFR § 52.32; the North American Numbering Plan, </w:t>
      </w:r>
      <w:r w:rsidRPr="00C90BA5">
        <w:rPr>
          <w:i/>
          <w:iCs/>
        </w:rPr>
        <w:t xml:space="preserve">see </w:t>
      </w:r>
      <w:r w:rsidRPr="00C90BA5">
        <w:t xml:space="preserve">47 CFR § 52.17; and federal regulatory fees, </w:t>
      </w:r>
      <w:r w:rsidRPr="00C90BA5">
        <w:rPr>
          <w:i/>
          <w:iCs/>
        </w:rPr>
        <w:t xml:space="preserve">see </w:t>
      </w:r>
      <w:r w:rsidRPr="00C90BA5">
        <w:t xml:space="preserve">47 CFR </w:t>
      </w:r>
      <w:r w:rsidRPr="00C90BA5">
        <w:rPr>
          <w:lang w:val="es-ES_tradnl"/>
        </w:rPr>
        <w:t xml:space="preserve">§§ </w:t>
      </w:r>
      <w:r w:rsidRPr="00C90BA5">
        <w:t xml:space="preserve">1.1154, </w:t>
      </w:r>
      <w:r w:rsidRPr="00C90BA5">
        <w:rPr>
          <w:lang w:val="es-ES_tradnl"/>
        </w:rPr>
        <w:t xml:space="preserve">1.1157, </w:t>
      </w:r>
      <w:r w:rsidRPr="00C90BA5">
        <w:rPr>
          <w:lang w:val="es-ES_tradnl"/>
        </w:rPr>
        <w:t>requires</w:t>
      </w:r>
      <w:r w:rsidRPr="00C90BA5">
        <w:t xml:space="preserve"> the timely filing of accurate Worksheets by </w:t>
      </w:r>
      <w:r>
        <w:t>S</w:t>
      </w:r>
      <w:r w:rsidRPr="00C90BA5">
        <w:t xml:space="preserve">ervice </w:t>
      </w:r>
      <w:r>
        <w:t>P</w:t>
      </w:r>
      <w:r w:rsidRPr="00C90BA5">
        <w:t>roviders.</w:t>
      </w:r>
    </w:p>
  </w:footnote>
  <w:footnote w:id="27">
    <w:p w:rsidR="00853F7A" w:rsidRPr="00C90BA5" w:rsidP="00853F7A" w14:paraId="1D912A44" w14:textId="5C039CAE">
      <w:pPr>
        <w:pStyle w:val="FootnoteText"/>
      </w:pPr>
      <w:r w:rsidRPr="00C90BA5">
        <w:rPr>
          <w:rStyle w:val="FootnoteReference"/>
        </w:rPr>
        <w:footnoteRef/>
      </w:r>
      <w:r w:rsidRPr="00C90BA5">
        <w:t xml:space="preserve"> </w:t>
      </w:r>
      <w:r w:rsidRPr="00C90BA5">
        <w:rPr>
          <w:i/>
          <w:iCs/>
        </w:rPr>
        <w:t>See, e.g</w:t>
      </w:r>
      <w:r w:rsidRPr="00C90BA5">
        <w:t>.,</w:t>
      </w:r>
      <w:r w:rsidRPr="00C90BA5">
        <w:rPr>
          <w:i/>
          <w:iCs/>
        </w:rPr>
        <w:t xml:space="preserve"> Unipoint Tech., Inc.</w:t>
      </w:r>
      <w:r w:rsidRPr="00C90BA5">
        <w:t xml:space="preserve">, Notice of Apparent Liability for Forfeiture, 27 FCC </w:t>
      </w:r>
      <w:r w:rsidRPr="00C90BA5">
        <w:t>Rcd</w:t>
      </w:r>
      <w:r w:rsidRPr="00C90BA5">
        <w:t xml:space="preserve"> 12751, 12753, para. 5 (2012), </w:t>
      </w:r>
      <w:r w:rsidRPr="00C90BA5">
        <w:rPr>
          <w:i/>
          <w:iCs/>
        </w:rPr>
        <w:t>forfeiture issued</w:t>
      </w:r>
      <w:r w:rsidRPr="00C90BA5">
        <w:t xml:space="preserve">, Forfeiture Order, 29 FCC </w:t>
      </w:r>
      <w:r w:rsidRPr="00C90BA5">
        <w:t>Rcd</w:t>
      </w:r>
      <w:r w:rsidRPr="00C90BA5">
        <w:t xml:space="preserve"> 1633 (2014) (</w:t>
      </w:r>
      <w:r w:rsidRPr="00C90BA5">
        <w:rPr>
          <w:i/>
          <w:iCs/>
        </w:rPr>
        <w:t>Unipoint Forfeiture Order</w:t>
      </w:r>
      <w:r w:rsidRPr="00C90BA5">
        <w:t xml:space="preserve">); </w:t>
      </w:r>
      <w:r w:rsidRPr="00C90BA5">
        <w:rPr>
          <w:i/>
          <w:iCs/>
        </w:rPr>
        <w:t>ADMA</w:t>
      </w:r>
      <w:r w:rsidRPr="00C90BA5">
        <w:rPr>
          <w:i/>
          <w:iCs/>
        </w:rPr>
        <w:t xml:space="preserve"> Telecom, Inc</w:t>
      </w:r>
      <w:r w:rsidRPr="00C90BA5">
        <w:t xml:space="preserve">., Notice of Apparent Liability for Forfeiture, 24 FCC </w:t>
      </w:r>
      <w:r w:rsidRPr="00C90BA5">
        <w:t>Rcd</w:t>
      </w:r>
      <w:r w:rsidRPr="00C90BA5">
        <w:t xml:space="preserve"> 838, 846-47, para. 17 (2009), </w:t>
      </w:r>
      <w:r w:rsidRPr="00C90BA5">
        <w:rPr>
          <w:i/>
          <w:iCs/>
        </w:rPr>
        <w:t>forfeiture issued</w:t>
      </w:r>
      <w:r w:rsidRPr="00C90BA5">
        <w:t xml:space="preserve">, Forfeiture Order, 26 FCC </w:t>
      </w:r>
      <w:r w:rsidRPr="00C90BA5">
        <w:t>Rcd</w:t>
      </w:r>
      <w:r w:rsidRPr="00C90BA5">
        <w:t xml:space="preserve"> 4152 (2011) (</w:t>
      </w:r>
      <w:r w:rsidRPr="00C90BA5">
        <w:rPr>
          <w:i/>
          <w:iCs/>
        </w:rPr>
        <w:t>ADMA</w:t>
      </w:r>
      <w:r w:rsidRPr="00C90BA5">
        <w:rPr>
          <w:i/>
          <w:iCs/>
        </w:rPr>
        <w:t xml:space="preserve"> Forfeiture Order</w:t>
      </w:r>
      <w:r w:rsidRPr="00C90BA5">
        <w:t xml:space="preserve">); </w:t>
      </w:r>
      <w:r w:rsidRPr="00C90BA5">
        <w:rPr>
          <w:i/>
          <w:iCs/>
          <w:color w:val="000000"/>
        </w:rPr>
        <w:t>Local Phone Services, Inc</w:t>
      </w:r>
      <w:r w:rsidRPr="00C90BA5">
        <w:t xml:space="preserve">., Notice of Apparent Liability for Forfeiture, 21 FCC </w:t>
      </w:r>
      <w:r w:rsidRPr="00C90BA5">
        <w:t>Rcd</w:t>
      </w:r>
      <w:r w:rsidRPr="00C90BA5">
        <w:t xml:space="preserve"> 9974, 9977-78, para. 9 (2006), </w:t>
      </w:r>
      <w:r w:rsidRPr="00C90BA5">
        <w:rPr>
          <w:i/>
          <w:iCs/>
        </w:rPr>
        <w:t>forfeiture issued</w:t>
      </w:r>
      <w:r w:rsidRPr="00C90BA5">
        <w:t xml:space="preserve">, Order of Forfeiture, 23 FCC </w:t>
      </w:r>
      <w:r w:rsidRPr="00C90BA5">
        <w:t>Rcd</w:t>
      </w:r>
      <w:r w:rsidRPr="00C90BA5">
        <w:t xml:space="preserve"> 8952 (2008) (proposed forfeiture reduced from $529,000 to </w:t>
      </w:r>
      <w:r w:rsidRPr="00C90BA5">
        <w:rPr>
          <w:color w:val="000000"/>
        </w:rPr>
        <w:t xml:space="preserve">$436,765 to account for updated revenue information provided to </w:t>
      </w:r>
      <w:r w:rsidRPr="00C90BA5">
        <w:rPr>
          <w:color w:val="000000"/>
        </w:rPr>
        <w:t>USAC</w:t>
      </w:r>
      <w:r w:rsidRPr="00C90BA5">
        <w:rPr>
          <w:color w:val="000000"/>
        </w:rPr>
        <w:t xml:space="preserve"> by the </w:t>
      </w:r>
      <w:r w:rsidR="00F10394">
        <w:rPr>
          <w:color w:val="000000"/>
        </w:rPr>
        <w:t>S</w:t>
      </w:r>
      <w:r w:rsidRPr="00C90BA5">
        <w:rPr>
          <w:color w:val="000000"/>
        </w:rPr>
        <w:t xml:space="preserve">ervice </w:t>
      </w:r>
      <w:r w:rsidR="00F10394">
        <w:rPr>
          <w:color w:val="000000"/>
        </w:rPr>
        <w:t>P</w:t>
      </w:r>
      <w:r w:rsidRPr="00C90BA5">
        <w:rPr>
          <w:color w:val="000000"/>
        </w:rPr>
        <w:t>rovider).</w:t>
      </w:r>
    </w:p>
  </w:footnote>
  <w:footnote w:id="28">
    <w:p w:rsidR="00853F7A" w:rsidRPr="00C90BA5" w:rsidP="00853F7A" w14:paraId="650F244E" w14:textId="5919C62C">
      <w:pPr>
        <w:pStyle w:val="FootnoteText"/>
        <w:rPr>
          <w:i/>
          <w:iCs/>
        </w:rPr>
      </w:pPr>
      <w:r w:rsidRPr="00C90BA5">
        <w:rPr>
          <w:rStyle w:val="FootnoteReference"/>
        </w:rPr>
        <w:footnoteRef/>
      </w:r>
      <w:r w:rsidRPr="00C90BA5">
        <w:t xml:space="preserve"> </w:t>
      </w:r>
      <w:r w:rsidRPr="00C90BA5">
        <w:rPr>
          <w:i/>
          <w:iCs/>
        </w:rPr>
        <w:t>See id.</w:t>
      </w:r>
    </w:p>
  </w:footnote>
  <w:footnote w:id="29">
    <w:p w:rsidR="00C47F6C" w:rsidP="00C47F6C" w14:paraId="1DB42FFA" w14:textId="77777777">
      <w:pPr>
        <w:pStyle w:val="FootnoteText"/>
      </w:pPr>
      <w:r>
        <w:rPr>
          <w:rStyle w:val="FootnoteReference"/>
        </w:rPr>
        <w:footnoteRef/>
      </w:r>
      <w:r>
        <w:t xml:space="preserve"> </w:t>
      </w:r>
      <w:r w:rsidRPr="00C90BA5">
        <w:rPr>
          <w:i/>
          <w:iCs/>
        </w:rPr>
        <w:t>See, e.g</w:t>
      </w:r>
      <w:r w:rsidRPr="00C90BA5">
        <w:t>.,</w:t>
      </w:r>
      <w:r w:rsidRPr="00C90BA5">
        <w:rPr>
          <w:i/>
          <w:iCs/>
        </w:rPr>
        <w:t xml:space="preserve"> </w:t>
      </w:r>
      <w:r w:rsidRPr="00C90BA5">
        <w:t>47 CFR §</w:t>
      </w:r>
      <w:r>
        <w:t>§</w:t>
      </w:r>
      <w:r w:rsidRPr="00C90BA5">
        <w:t xml:space="preserve"> </w:t>
      </w:r>
      <w:r>
        <w:t xml:space="preserve">64.2001-11; </w:t>
      </w:r>
      <w:r>
        <w:rPr>
          <w:i/>
          <w:iCs/>
        </w:rPr>
        <w:t>FCC Enforcement Advisory: Telecommunications Carriers and Interconnected VoIP Providers Must File Annual Reports Certifying Compliance with Commission Rules Protecting Customer Proprietary Network Information</w:t>
      </w:r>
      <w:r>
        <w:t xml:space="preserve">, Public Notice, 35 FCC </w:t>
      </w:r>
      <w:r>
        <w:t>Rcd</w:t>
      </w:r>
      <w:r>
        <w:t xml:space="preserve"> 1201, 1201 (EB 2020) (</w:t>
      </w:r>
      <w:r w:rsidRPr="000D5C12">
        <w:rPr>
          <w:i/>
          <w:iCs/>
        </w:rPr>
        <w:t xml:space="preserve">2020 </w:t>
      </w:r>
      <w:r w:rsidRPr="000D5C12">
        <w:rPr>
          <w:i/>
          <w:iCs/>
        </w:rPr>
        <w:t>CPNI</w:t>
      </w:r>
      <w:r w:rsidRPr="000D5C12">
        <w:rPr>
          <w:i/>
          <w:iCs/>
        </w:rPr>
        <w:t xml:space="preserve"> Enforcement Advisory</w:t>
      </w:r>
      <w:r>
        <w:t>).</w:t>
      </w:r>
    </w:p>
  </w:footnote>
  <w:footnote w:id="30">
    <w:p w:rsidR="00C47F6C" w:rsidP="00C47F6C" w14:paraId="24A1435E" w14:textId="77777777">
      <w:pPr>
        <w:pStyle w:val="FootnoteText"/>
      </w:pPr>
      <w:r>
        <w:rPr>
          <w:rStyle w:val="FootnoteReference"/>
        </w:rPr>
        <w:footnoteRef/>
      </w:r>
      <w:r>
        <w:t xml:space="preserve"> </w:t>
      </w:r>
      <w:r>
        <w:rPr>
          <w:i/>
          <w:iCs/>
        </w:rPr>
        <w:t xml:space="preserve">See </w:t>
      </w:r>
      <w:r w:rsidRPr="00C90BA5">
        <w:t>47 CFR §</w:t>
      </w:r>
      <w:r>
        <w:t xml:space="preserve"> 64.2009(e).</w:t>
      </w:r>
    </w:p>
  </w:footnote>
  <w:footnote w:id="31">
    <w:p w:rsidR="00C47F6C" w:rsidRPr="000D5C12" w:rsidP="00C47F6C" w14:paraId="59A233CE" w14:textId="77777777">
      <w:pPr>
        <w:pStyle w:val="FootnoteText"/>
      </w:pPr>
      <w:r>
        <w:rPr>
          <w:rStyle w:val="FootnoteReference"/>
        </w:rPr>
        <w:footnoteRef/>
      </w:r>
      <w:r>
        <w:t xml:space="preserve"> </w:t>
      </w:r>
      <w:r>
        <w:rPr>
          <w:i/>
          <w:iCs/>
        </w:rPr>
        <w:t xml:space="preserve">2020 </w:t>
      </w:r>
      <w:r>
        <w:rPr>
          <w:i/>
          <w:iCs/>
        </w:rPr>
        <w:t>CPNI</w:t>
      </w:r>
      <w:r>
        <w:rPr>
          <w:i/>
          <w:iCs/>
        </w:rPr>
        <w:t xml:space="preserve"> Enforcement Advisory</w:t>
      </w:r>
      <w:r>
        <w:t xml:space="preserve">, 35 FCC </w:t>
      </w:r>
      <w:r>
        <w:t>Rcd</w:t>
      </w:r>
      <w:r>
        <w:t xml:space="preserve"> at 1201.</w:t>
      </w:r>
    </w:p>
  </w:footnote>
  <w:footnote w:id="32">
    <w:p w:rsidR="00C47F6C" w:rsidRPr="009137E8" w:rsidP="00C47F6C" w14:paraId="3EAA4AB1" w14:textId="77777777">
      <w:pPr>
        <w:pStyle w:val="FootnoteText"/>
      </w:pPr>
      <w:r>
        <w:rPr>
          <w:rStyle w:val="FootnoteReference"/>
        </w:rPr>
        <w:footnoteRef/>
      </w:r>
      <w:r>
        <w:t xml:space="preserve"> </w:t>
      </w:r>
      <w:r>
        <w:rPr>
          <w:i/>
          <w:iCs/>
        </w:rPr>
        <w:t>See, e.g., id.</w:t>
      </w:r>
      <w:r w:rsidRPr="00B63FCF">
        <w:t xml:space="preserve"> at </w:t>
      </w:r>
      <w:r>
        <w:t>1201-02.</w:t>
      </w:r>
    </w:p>
  </w:footnote>
  <w:footnote w:id="33">
    <w:p w:rsidR="000C2A41" w:rsidRPr="00A23F03" w:rsidP="000C2A41" w14:paraId="0F790E7E" w14:textId="0D0E32D5">
      <w:pPr>
        <w:pStyle w:val="FootnoteText"/>
        <w:rPr>
          <w:b/>
          <w:bCs/>
          <w:i/>
          <w:iCs/>
        </w:rPr>
      </w:pPr>
      <w:r w:rsidRPr="00C90BA5">
        <w:rPr>
          <w:rStyle w:val="FootnoteReference"/>
        </w:rPr>
        <w:footnoteRef/>
      </w:r>
      <w:r w:rsidRPr="00C90BA5">
        <w:t xml:space="preserve"> </w:t>
      </w:r>
      <w:bookmarkStart w:id="5" w:name="_Hlk61597820"/>
      <w:r w:rsidRPr="008A4B6D">
        <w:t>Specifically</w:t>
      </w:r>
      <w:r w:rsidRPr="00A23F03">
        <w:t xml:space="preserve">, between </w:t>
      </w:r>
      <w:r w:rsidRPr="00A23F03" w:rsidR="009078BA">
        <w:t xml:space="preserve">April </w:t>
      </w:r>
      <w:r w:rsidRPr="00A23F03">
        <w:t xml:space="preserve">1, 2011 and </w:t>
      </w:r>
      <w:r w:rsidRPr="00A23F03" w:rsidR="009078BA">
        <w:t>November</w:t>
      </w:r>
      <w:r w:rsidRPr="00A23F03">
        <w:t xml:space="preserve">, 2020, </w:t>
      </w:r>
      <w:r w:rsidRPr="00A23F03" w:rsidR="009078BA">
        <w:t>Lunex</w:t>
      </w:r>
      <w:r w:rsidRPr="00A23F03">
        <w:t xml:space="preserve"> </w:t>
      </w:r>
      <w:r w:rsidRPr="00A23F03" w:rsidR="009078BA">
        <w:t>failed to</w:t>
      </w:r>
      <w:r w:rsidRPr="00A23F03">
        <w:t xml:space="preserve"> timely file (a) </w:t>
      </w:r>
      <w:r w:rsidRPr="00A23F03" w:rsidR="009078BA">
        <w:t xml:space="preserve">three </w:t>
      </w:r>
      <w:r w:rsidRPr="00A23F03">
        <w:t xml:space="preserve">Quarterly Worksheets due on </w:t>
      </w:r>
      <w:r w:rsidRPr="00A23F03" w:rsidR="009078BA">
        <w:t xml:space="preserve">May1, </w:t>
      </w:r>
      <w:r w:rsidRPr="00A23F03">
        <w:t>August 1 and November 1, 2011;</w:t>
      </w:r>
      <w:r w:rsidRPr="00A23F03" w:rsidR="009078BA">
        <w:t xml:space="preserve"> and</w:t>
      </w:r>
      <w:r w:rsidRPr="00A23F03">
        <w:t xml:space="preserve"> (b) four Quarterly Worksheets due on February 1, May 1, August 1 and November 1,</w:t>
      </w:r>
      <w:r w:rsidRPr="00A23F03" w:rsidR="009078BA">
        <w:t xml:space="preserve"> </w:t>
      </w:r>
      <w:r w:rsidRPr="00A23F03">
        <w:t xml:space="preserve">each year from </w:t>
      </w:r>
      <w:r w:rsidRPr="00A23F03" w:rsidR="00E53599">
        <w:t>201</w:t>
      </w:r>
      <w:r w:rsidR="00E53599">
        <w:t>2</w:t>
      </w:r>
      <w:r w:rsidRPr="00A23F03" w:rsidR="00E53599">
        <w:t xml:space="preserve"> </w:t>
      </w:r>
      <w:r w:rsidRPr="00A23F03">
        <w:t>through 20</w:t>
      </w:r>
      <w:r w:rsidRPr="00A23F03" w:rsidR="009078BA">
        <w:t>20</w:t>
      </w:r>
      <w:r w:rsidRPr="00A23F03">
        <w:t xml:space="preserve">; and (c) </w:t>
      </w:r>
      <w:r w:rsidRPr="00A23F03" w:rsidR="009078BA">
        <w:t xml:space="preserve">ten Annual Worksheet due on April 1, each year from </w:t>
      </w:r>
      <w:r w:rsidRPr="00A23F03" w:rsidR="00E53599">
        <w:t>201</w:t>
      </w:r>
      <w:r w:rsidR="00E53599">
        <w:t>1</w:t>
      </w:r>
      <w:r w:rsidRPr="00A23F03" w:rsidR="00E53599">
        <w:t xml:space="preserve"> </w:t>
      </w:r>
      <w:r w:rsidRPr="00A23F03" w:rsidR="009078BA">
        <w:t>through 2020</w:t>
      </w:r>
      <w:r w:rsidR="00A23F03">
        <w:t xml:space="preserve">. </w:t>
      </w:r>
      <w:bookmarkEnd w:id="5"/>
    </w:p>
  </w:footnote>
  <w:footnote w:id="34">
    <w:p w:rsidR="00636B40" w:rsidRPr="00CB2687" w14:paraId="541C50C9" w14:textId="4CD467B1">
      <w:pPr>
        <w:pStyle w:val="FootnoteText"/>
      </w:pPr>
      <w:r>
        <w:rPr>
          <w:rStyle w:val="FootnoteReference"/>
        </w:rPr>
        <w:footnoteRef/>
      </w:r>
      <w:r>
        <w:t xml:space="preserve"> On November 19, 2010, the Bureau released an Order and Consent Decree regarding </w:t>
      </w:r>
      <w:r>
        <w:t>Lunex’s</w:t>
      </w:r>
      <w:r>
        <w:t xml:space="preserve"> apparent failure to timely file a compliance </w:t>
      </w:r>
      <w:r>
        <w:t>CPNI</w:t>
      </w:r>
      <w:r>
        <w:t xml:space="preserve"> certification pursuant to section 64.2009(e) of the Rules for failure to files its </w:t>
      </w:r>
      <w:r>
        <w:t>CPNI</w:t>
      </w:r>
      <w:r>
        <w:t xml:space="preserve"> compliance certificate for 2007.  </w:t>
      </w:r>
      <w:r>
        <w:rPr>
          <w:i/>
          <w:iCs/>
        </w:rPr>
        <w:t>See</w:t>
      </w:r>
      <w:r w:rsidR="00CB2687">
        <w:t xml:space="preserve"> </w:t>
      </w:r>
      <w:r w:rsidRPr="00CB2687" w:rsidR="00CB2687">
        <w:rPr>
          <w:i/>
          <w:iCs/>
        </w:rPr>
        <w:t>Lunex</w:t>
      </w:r>
      <w:r w:rsidRPr="00CB2687" w:rsidR="00CB2687">
        <w:rPr>
          <w:i/>
          <w:iCs/>
        </w:rPr>
        <w:t xml:space="preserve"> Telecom, Inc.</w:t>
      </w:r>
      <w:r w:rsidR="00CB2687">
        <w:t xml:space="preserve">, Order and Consent Decree, 25 FCC </w:t>
      </w:r>
      <w:r w:rsidR="00CB2687">
        <w:t>Rcd</w:t>
      </w:r>
      <w:r w:rsidR="00CB2687">
        <w:t xml:space="preserve"> 11570 (EB 2010)</w:t>
      </w:r>
    </w:p>
  </w:footnote>
  <w:footnote w:id="35">
    <w:p w:rsidR="00FA6953" w:rsidRPr="00FA6953" w14:paraId="1B59141C" w14:textId="0B27F6E1">
      <w:pPr>
        <w:pStyle w:val="FootnoteText"/>
      </w:pPr>
      <w:r>
        <w:rPr>
          <w:rStyle w:val="FootnoteReference"/>
        </w:rPr>
        <w:footnoteRef/>
      </w:r>
      <w:r>
        <w:t xml:space="preserve"> </w:t>
      </w:r>
      <w:r>
        <w:rPr>
          <w:i/>
          <w:iCs/>
        </w:rPr>
        <w:t>See</w:t>
      </w:r>
      <w:r>
        <w:t xml:space="preserve"> Notice of Counsel Representing Licensee in This Matter (filed Aug. 6, 2020) </w:t>
      </w:r>
      <w:r w:rsidRPr="00DB1095">
        <w:t>(on file in EB-IHD-</w:t>
      </w:r>
      <w:r>
        <w:t>20</w:t>
      </w:r>
      <w:r w:rsidRPr="00DB1095">
        <w:t>-000</w:t>
      </w:r>
      <w:r>
        <w:t>30636</w:t>
      </w:r>
      <w:r w:rsidRPr="00DB1095">
        <w:t>)</w:t>
      </w:r>
      <w:r>
        <w:t>.</w:t>
      </w:r>
    </w:p>
  </w:footnote>
  <w:footnote w:id="36">
    <w:p w:rsidR="00FA6953" w14:paraId="36EE0453" w14:textId="1E7B8893">
      <w:pPr>
        <w:pStyle w:val="FootnoteText"/>
      </w:pPr>
      <w:r>
        <w:rPr>
          <w:rStyle w:val="FootnoteReference"/>
        </w:rPr>
        <w:footnoteRef/>
      </w:r>
      <w:r>
        <w:t xml:space="preserve"> </w:t>
      </w:r>
      <w:r>
        <w:rPr>
          <w:i/>
          <w:iCs/>
        </w:rPr>
        <w:t>See</w:t>
      </w:r>
      <w:r>
        <w:t xml:space="preserve"> Request for Consent Decree Negotiations (filed Aug. 6, 2020) </w:t>
      </w:r>
      <w:r w:rsidRPr="00DB1095">
        <w:t>(on file in EB-IHD-</w:t>
      </w:r>
      <w:r>
        <w:t>20</w:t>
      </w:r>
      <w:r w:rsidRPr="00DB1095">
        <w:t>-000</w:t>
      </w:r>
      <w:r>
        <w:t>30636</w:t>
      </w:r>
      <w:r w:rsidRPr="00DB1095">
        <w:t>)</w:t>
      </w:r>
      <w:r>
        <w:t>.</w:t>
      </w:r>
    </w:p>
  </w:footnote>
  <w:footnote w:id="37">
    <w:p w:rsidR="006B3C40" w14:paraId="673729C2" w14:textId="77777777">
      <w:pPr>
        <w:pStyle w:val="FootnoteText"/>
      </w:pPr>
      <w:r>
        <w:rPr>
          <w:rStyle w:val="FootnoteReference"/>
        </w:rPr>
        <w:footnoteRef/>
      </w:r>
      <w:r>
        <w:t xml:space="preserve"> </w:t>
      </w:r>
      <w:r w:rsidRPr="00C566EC">
        <w:rPr>
          <w:i/>
        </w:rPr>
        <w:t>See</w:t>
      </w:r>
      <w:r>
        <w:t xml:space="preserve"> 47 CFR </w:t>
      </w:r>
      <w:r w:rsidRPr="001B63BB" w:rsidR="006A1D7C">
        <w:rPr>
          <w:szCs w:val="22"/>
        </w:rPr>
        <w:t>§</w:t>
      </w:r>
      <w:r w:rsidR="006A1D7C">
        <w:rPr>
          <w:szCs w:val="22"/>
        </w:rPr>
        <w:t xml:space="preserve"> </w:t>
      </w:r>
      <w:r>
        <w:t>1.93(b).</w:t>
      </w:r>
    </w:p>
  </w:footnote>
  <w:footnote w:id="38">
    <w:p w:rsidR="003D1BD8" w:rsidRPr="00C90BA5" w:rsidP="003D1BD8" w14:paraId="4E2AD19F" w14:textId="77777777">
      <w:pPr>
        <w:pStyle w:val="FootnoteText"/>
        <w:rPr>
          <w:lang w:val="es-ES_tradnl"/>
        </w:rPr>
      </w:pPr>
      <w:r w:rsidRPr="00C90BA5">
        <w:rPr>
          <w:rStyle w:val="FootnoteReference"/>
        </w:rPr>
        <w:footnoteRef/>
      </w:r>
      <w:r w:rsidRPr="00C90BA5">
        <w:rPr>
          <w:lang w:val="es-ES_tradnl"/>
        </w:rPr>
        <w:t xml:space="preserve"> 47 </w:t>
      </w:r>
      <w:r w:rsidRPr="00C90BA5">
        <w:rPr>
          <w:lang w:val="es-ES_tradnl"/>
        </w:rPr>
        <w:t>U.S.C</w:t>
      </w:r>
      <w:r w:rsidRPr="00C90BA5">
        <w:rPr>
          <w:lang w:val="es-ES_tradnl"/>
        </w:rPr>
        <w:t xml:space="preserve">. §§ </w:t>
      </w:r>
      <w:r w:rsidRPr="00C90BA5">
        <w:t>222, 251(e)(2), 254(d)</w:t>
      </w:r>
      <w:r w:rsidRPr="00C90BA5">
        <w:rPr>
          <w:lang w:val="es-ES_tradnl"/>
        </w:rPr>
        <w:t>.</w:t>
      </w:r>
    </w:p>
  </w:footnote>
  <w:footnote w:id="39">
    <w:p w:rsidR="003D1BD8" w:rsidRPr="00C90BA5" w:rsidP="003D1BD8" w14:paraId="5BB89EF2" w14:textId="613D99B9">
      <w:pPr>
        <w:pStyle w:val="FootnoteText"/>
        <w:rPr>
          <w:lang w:val="es-ES_tradnl"/>
        </w:rPr>
      </w:pPr>
      <w:r w:rsidRPr="00C90BA5">
        <w:rPr>
          <w:rStyle w:val="FootnoteReference"/>
        </w:rPr>
        <w:footnoteRef/>
      </w:r>
      <w:r w:rsidRPr="00C90BA5">
        <w:rPr>
          <w:lang w:val="es-ES_tradnl"/>
        </w:rPr>
        <w:t xml:space="preserve"> 47 </w:t>
      </w:r>
      <w:r w:rsidRPr="00C90BA5">
        <w:rPr>
          <w:lang w:val="es-ES_tradnl"/>
        </w:rPr>
        <w:t>CFR</w:t>
      </w:r>
      <w:r w:rsidRPr="00C90BA5">
        <w:rPr>
          <w:lang w:val="es-ES_tradnl"/>
        </w:rPr>
        <w:t xml:space="preserve"> §§ 52.17, 52.32, 54.711, 64.604, 64.2009(e).</w:t>
      </w:r>
    </w:p>
  </w:footnote>
  <w:footnote w:id="40">
    <w:p w:rsidR="00E02214" w:rsidP="00E02214" w14:paraId="4A49D942" w14:textId="77777777">
      <w:pPr>
        <w:pStyle w:val="FootnoteText"/>
      </w:pPr>
      <w:r w:rsidRPr="00A07FCB">
        <w:rPr>
          <w:rStyle w:val="FootnoteReference"/>
        </w:rPr>
        <w:footnoteRef/>
      </w:r>
      <w:r w:rsidRPr="00A07FCB">
        <w:t xml:space="preserve"> 47 CFR § 1.16.</w:t>
      </w:r>
    </w:p>
  </w:footnote>
  <w:footnote w:id="41">
    <w:p w:rsidR="00E02214" w:rsidP="00E02214" w14:paraId="0E209464" w14:textId="77777777">
      <w:pPr>
        <w:pStyle w:val="FootnoteText"/>
        <w:tabs>
          <w:tab w:val="left" w:pos="810"/>
        </w:tabs>
      </w:pPr>
      <w:r w:rsidRPr="00A07FCB">
        <w:rPr>
          <w:rStyle w:val="FootnoteReference"/>
        </w:rPr>
        <w:footnoteRef/>
      </w:r>
      <w:r w:rsidRPr="003F6349">
        <w:t xml:space="preserve"> </w:t>
      </w:r>
      <w:r w:rsidRPr="00A07FCB">
        <w:t>47 U.S.C. § 208.</w:t>
      </w:r>
    </w:p>
  </w:footnote>
  <w:footnote w:id="42">
    <w:p w:rsidR="000F779D" w:rsidP="000F779D" w14:paraId="12E98AE3" w14:textId="77777777">
      <w:pPr>
        <w:pStyle w:val="FootnoteText"/>
      </w:pPr>
      <w:r>
        <w:rPr>
          <w:rStyle w:val="FootnoteReference"/>
        </w:rPr>
        <w:footnoteRef/>
      </w:r>
      <w:r>
        <w:t xml:space="preserve"> Debt Collection Improvement Act of 1996, Pub. L. No. 104-134, 110 Stat. 1321, 1358 (Apr. 26, 1996).</w:t>
      </w:r>
    </w:p>
  </w:footnote>
  <w:footnote w:id="43">
    <w:p w:rsidR="0088350A" w:rsidRPr="005476AB" w:rsidP="0088350A" w14:paraId="2481CFAD"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4">
    <w:p w:rsidR="0088350A" w:rsidRPr="005476AB" w:rsidP="0088350A" w14:paraId="2308F5F1"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45">
    <w:p w:rsidR="0088350A" w:rsidP="0088350A" w14:paraId="29CFED14"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46">
    <w:p w:rsidR="00E02214" w:rsidP="00E02214" w14:paraId="28C6D988" w14:textId="77777777">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18B4F26F" w14:textId="0229CD4C">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225B97">
      <w:rPr>
        <w:spacing w:val="-2"/>
      </w:rPr>
      <w:t>21</w:t>
    </w:r>
    <w:r w:rsidRPr="002755D1" w:rsidR="00D66953">
      <w:rPr>
        <w:spacing w:val="-2"/>
      </w:rPr>
      <w:t>-</w:t>
    </w:r>
    <w:r w:rsidR="00FF5BAB">
      <w:rPr>
        <w:spacing w:val="-2"/>
      </w:rPr>
      <w:t>140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8E15FA" w14:paraId="5F171E45" w14:textId="3527F61F">
    <w:pPr>
      <w:pStyle w:val="Header"/>
      <w:spacing w:after="120"/>
      <w:rPr>
        <w:b w:val="0"/>
      </w:rPr>
    </w:pPr>
    <w:r w:rsidRPr="00843A5F">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sidR="00D66953">
      <w:rPr>
        <w:spacing w:val="-2"/>
      </w:rPr>
      <w:t xml:space="preserve">DA </w:t>
    </w:r>
    <w:r w:rsidR="00225B97">
      <w:rPr>
        <w:spacing w:val="-2"/>
      </w:rPr>
      <w:t>21</w:t>
    </w:r>
    <w:r w:rsidRPr="002755D1" w:rsidR="00D66953">
      <w:rPr>
        <w:spacing w:val="-2"/>
      </w:rPr>
      <w:t>-</w:t>
    </w:r>
    <w:r w:rsidR="00C12149">
      <w:rPr>
        <w:spacing w:val="-2"/>
      </w:rPr>
      <w:t>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2"/>
  </w:num>
  <w:num w:numId="2">
    <w:abstractNumId w:val="8"/>
  </w:num>
  <w:num w:numId="3">
    <w:abstractNumId w:val="14"/>
  </w:num>
  <w:num w:numId="4">
    <w:abstractNumId w:val="13"/>
  </w:num>
  <w:num w:numId="5">
    <w:abstractNumId w:val="3"/>
  </w:num>
  <w:num w:numId="6">
    <w:abstractNumId w:val="15"/>
  </w:num>
  <w:num w:numId="7">
    <w:abstractNumId w:val="2"/>
  </w:num>
  <w:num w:numId="8">
    <w:abstractNumId w:val="12"/>
    <w:lvlOverride w:ilvl="0">
      <w:startOverride w:val="1"/>
    </w:lvlOverride>
  </w:num>
  <w:num w:numId="9">
    <w:abstractNumId w:val="9"/>
  </w:num>
  <w:num w:numId="10">
    <w:abstractNumId w:val="6"/>
  </w:num>
  <w:num w:numId="11">
    <w:abstractNumId w:val="11"/>
  </w:num>
  <w:num w:numId="12">
    <w:abstractNumId w:val="7"/>
  </w:num>
  <w:num w:numId="13">
    <w:abstractNumId w:val="1"/>
  </w:num>
  <w:num w:numId="14">
    <w:abstractNumId w:val="4"/>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5"/>
  </w:num>
  <w:num w:numId="32">
    <w:abstractNumId w:val="0"/>
  </w:num>
  <w:num w:numId="33">
    <w:abstractNumId w:val="12"/>
  </w:num>
  <w:num w:numId="34">
    <w:abstractNumId w:val="12"/>
  </w:num>
  <w:num w:numId="35">
    <w:abstractNumId w:val="1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0"/>
    <w:rsid w:val="00001CB4"/>
    <w:rsid w:val="00007A85"/>
    <w:rsid w:val="00014484"/>
    <w:rsid w:val="000216AD"/>
    <w:rsid w:val="00024902"/>
    <w:rsid w:val="000251D3"/>
    <w:rsid w:val="000262C0"/>
    <w:rsid w:val="00026D97"/>
    <w:rsid w:val="00036039"/>
    <w:rsid w:val="00036B37"/>
    <w:rsid w:val="00037F90"/>
    <w:rsid w:val="00040BB5"/>
    <w:rsid w:val="0004154A"/>
    <w:rsid w:val="0004267E"/>
    <w:rsid w:val="00043FEF"/>
    <w:rsid w:val="000514F1"/>
    <w:rsid w:val="00051558"/>
    <w:rsid w:val="000544D9"/>
    <w:rsid w:val="00061A57"/>
    <w:rsid w:val="00064ADC"/>
    <w:rsid w:val="000668DA"/>
    <w:rsid w:val="0007059D"/>
    <w:rsid w:val="000728FF"/>
    <w:rsid w:val="00073450"/>
    <w:rsid w:val="00073561"/>
    <w:rsid w:val="00075906"/>
    <w:rsid w:val="00076C13"/>
    <w:rsid w:val="00077594"/>
    <w:rsid w:val="00080A2A"/>
    <w:rsid w:val="0008718F"/>
    <w:rsid w:val="000875BF"/>
    <w:rsid w:val="00090E63"/>
    <w:rsid w:val="00096D8C"/>
    <w:rsid w:val="000971AC"/>
    <w:rsid w:val="000A053B"/>
    <w:rsid w:val="000A5F07"/>
    <w:rsid w:val="000B00E8"/>
    <w:rsid w:val="000B17A6"/>
    <w:rsid w:val="000B622D"/>
    <w:rsid w:val="000C0B65"/>
    <w:rsid w:val="000C2A41"/>
    <w:rsid w:val="000D5798"/>
    <w:rsid w:val="000D5C12"/>
    <w:rsid w:val="000E05FE"/>
    <w:rsid w:val="000E3D42"/>
    <w:rsid w:val="000E655A"/>
    <w:rsid w:val="000E6874"/>
    <w:rsid w:val="000F779D"/>
    <w:rsid w:val="000F7C6D"/>
    <w:rsid w:val="0011427B"/>
    <w:rsid w:val="0011507B"/>
    <w:rsid w:val="0011560D"/>
    <w:rsid w:val="00122296"/>
    <w:rsid w:val="0012234C"/>
    <w:rsid w:val="00122BD5"/>
    <w:rsid w:val="00125C69"/>
    <w:rsid w:val="00126311"/>
    <w:rsid w:val="00126CA2"/>
    <w:rsid w:val="001278CC"/>
    <w:rsid w:val="001314FC"/>
    <w:rsid w:val="0013249B"/>
    <w:rsid w:val="00133F79"/>
    <w:rsid w:val="0013509F"/>
    <w:rsid w:val="00141E45"/>
    <w:rsid w:val="001438DA"/>
    <w:rsid w:val="0015122B"/>
    <w:rsid w:val="0015224A"/>
    <w:rsid w:val="00153AAA"/>
    <w:rsid w:val="00154477"/>
    <w:rsid w:val="00154E3C"/>
    <w:rsid w:val="00155C0B"/>
    <w:rsid w:val="00161D89"/>
    <w:rsid w:val="00176594"/>
    <w:rsid w:val="00182304"/>
    <w:rsid w:val="001839A1"/>
    <w:rsid w:val="00186182"/>
    <w:rsid w:val="00190C82"/>
    <w:rsid w:val="0019214A"/>
    <w:rsid w:val="001933D7"/>
    <w:rsid w:val="00194A66"/>
    <w:rsid w:val="001A5288"/>
    <w:rsid w:val="001B2424"/>
    <w:rsid w:val="001B63BB"/>
    <w:rsid w:val="001B74D4"/>
    <w:rsid w:val="001C1346"/>
    <w:rsid w:val="001C4926"/>
    <w:rsid w:val="001C71E0"/>
    <w:rsid w:val="001D37A4"/>
    <w:rsid w:val="001D41E6"/>
    <w:rsid w:val="001D4CD4"/>
    <w:rsid w:val="001D5380"/>
    <w:rsid w:val="001D64E2"/>
    <w:rsid w:val="001D6BCF"/>
    <w:rsid w:val="001E01CA"/>
    <w:rsid w:val="001E0315"/>
    <w:rsid w:val="00207E47"/>
    <w:rsid w:val="00215593"/>
    <w:rsid w:val="00220A10"/>
    <w:rsid w:val="00225B97"/>
    <w:rsid w:val="002436B5"/>
    <w:rsid w:val="00246786"/>
    <w:rsid w:val="0026205A"/>
    <w:rsid w:val="00262C95"/>
    <w:rsid w:val="00263706"/>
    <w:rsid w:val="00273A6B"/>
    <w:rsid w:val="002755D1"/>
    <w:rsid w:val="00275CF5"/>
    <w:rsid w:val="00276774"/>
    <w:rsid w:val="00276A71"/>
    <w:rsid w:val="0028301F"/>
    <w:rsid w:val="00285017"/>
    <w:rsid w:val="00286347"/>
    <w:rsid w:val="00291D68"/>
    <w:rsid w:val="002A2D2E"/>
    <w:rsid w:val="002B1765"/>
    <w:rsid w:val="002B39CF"/>
    <w:rsid w:val="002B5AA5"/>
    <w:rsid w:val="002C00E8"/>
    <w:rsid w:val="002C14B4"/>
    <w:rsid w:val="002C1AC5"/>
    <w:rsid w:val="002C1DDB"/>
    <w:rsid w:val="002D05D1"/>
    <w:rsid w:val="002E46B8"/>
    <w:rsid w:val="002E4E09"/>
    <w:rsid w:val="002F0A22"/>
    <w:rsid w:val="002F52BD"/>
    <w:rsid w:val="002F7012"/>
    <w:rsid w:val="003010FA"/>
    <w:rsid w:val="003027C5"/>
    <w:rsid w:val="00302835"/>
    <w:rsid w:val="00302AC4"/>
    <w:rsid w:val="00302C38"/>
    <w:rsid w:val="00322CA5"/>
    <w:rsid w:val="00327FAD"/>
    <w:rsid w:val="003329C5"/>
    <w:rsid w:val="00333566"/>
    <w:rsid w:val="00340066"/>
    <w:rsid w:val="00343749"/>
    <w:rsid w:val="00344C16"/>
    <w:rsid w:val="003533DC"/>
    <w:rsid w:val="003660ED"/>
    <w:rsid w:val="00375E8E"/>
    <w:rsid w:val="00387564"/>
    <w:rsid w:val="003909A2"/>
    <w:rsid w:val="00394828"/>
    <w:rsid w:val="003B0550"/>
    <w:rsid w:val="003B4047"/>
    <w:rsid w:val="003B59AC"/>
    <w:rsid w:val="003B694F"/>
    <w:rsid w:val="003C190E"/>
    <w:rsid w:val="003C4A20"/>
    <w:rsid w:val="003C4BCC"/>
    <w:rsid w:val="003D01C2"/>
    <w:rsid w:val="003D0AE8"/>
    <w:rsid w:val="003D1BD8"/>
    <w:rsid w:val="003D7A7D"/>
    <w:rsid w:val="003E1218"/>
    <w:rsid w:val="003F171C"/>
    <w:rsid w:val="003F23DA"/>
    <w:rsid w:val="003F5CF7"/>
    <w:rsid w:val="003F6349"/>
    <w:rsid w:val="00412FC5"/>
    <w:rsid w:val="0041648A"/>
    <w:rsid w:val="00422276"/>
    <w:rsid w:val="004242F1"/>
    <w:rsid w:val="00426D94"/>
    <w:rsid w:val="004305E9"/>
    <w:rsid w:val="00430999"/>
    <w:rsid w:val="0043291E"/>
    <w:rsid w:val="004377BA"/>
    <w:rsid w:val="00440A39"/>
    <w:rsid w:val="0044203A"/>
    <w:rsid w:val="00445A00"/>
    <w:rsid w:val="00451B0F"/>
    <w:rsid w:val="00453A9E"/>
    <w:rsid w:val="004620CB"/>
    <w:rsid w:val="00465C2A"/>
    <w:rsid w:val="004676BE"/>
    <w:rsid w:val="00474905"/>
    <w:rsid w:val="00485C9F"/>
    <w:rsid w:val="00486AAF"/>
    <w:rsid w:val="00487DA4"/>
    <w:rsid w:val="004A5FBA"/>
    <w:rsid w:val="004A7F18"/>
    <w:rsid w:val="004C10C0"/>
    <w:rsid w:val="004C22A0"/>
    <w:rsid w:val="004C2EE3"/>
    <w:rsid w:val="004C303F"/>
    <w:rsid w:val="004C591C"/>
    <w:rsid w:val="004E4A22"/>
    <w:rsid w:val="004E4F32"/>
    <w:rsid w:val="004E5ED4"/>
    <w:rsid w:val="004E67E4"/>
    <w:rsid w:val="004F1406"/>
    <w:rsid w:val="004F38B3"/>
    <w:rsid w:val="0050179E"/>
    <w:rsid w:val="0051168C"/>
    <w:rsid w:val="00511968"/>
    <w:rsid w:val="00512526"/>
    <w:rsid w:val="0051761D"/>
    <w:rsid w:val="0052112B"/>
    <w:rsid w:val="005219BC"/>
    <w:rsid w:val="005404FA"/>
    <w:rsid w:val="005411C2"/>
    <w:rsid w:val="005476AB"/>
    <w:rsid w:val="0055035F"/>
    <w:rsid w:val="00552E46"/>
    <w:rsid w:val="00554498"/>
    <w:rsid w:val="00555C8A"/>
    <w:rsid w:val="0055614C"/>
    <w:rsid w:val="00560DA5"/>
    <w:rsid w:val="00561031"/>
    <w:rsid w:val="00562C22"/>
    <w:rsid w:val="00562DFF"/>
    <w:rsid w:val="00565042"/>
    <w:rsid w:val="00566E9B"/>
    <w:rsid w:val="005675C2"/>
    <w:rsid w:val="00572F28"/>
    <w:rsid w:val="00582BA0"/>
    <w:rsid w:val="0058717D"/>
    <w:rsid w:val="005902EF"/>
    <w:rsid w:val="00593EAD"/>
    <w:rsid w:val="005A5FC7"/>
    <w:rsid w:val="005B4F0E"/>
    <w:rsid w:val="005D2C62"/>
    <w:rsid w:val="005D5341"/>
    <w:rsid w:val="005D5E9A"/>
    <w:rsid w:val="005E10F1"/>
    <w:rsid w:val="005E14C2"/>
    <w:rsid w:val="005E4AB3"/>
    <w:rsid w:val="005E6193"/>
    <w:rsid w:val="00605853"/>
    <w:rsid w:val="00605F22"/>
    <w:rsid w:val="0060622A"/>
    <w:rsid w:val="00607BA5"/>
    <w:rsid w:val="00610208"/>
    <w:rsid w:val="0061180A"/>
    <w:rsid w:val="00620F5E"/>
    <w:rsid w:val="00623967"/>
    <w:rsid w:val="00626EB6"/>
    <w:rsid w:val="00636B40"/>
    <w:rsid w:val="006459B1"/>
    <w:rsid w:val="00646C36"/>
    <w:rsid w:val="00652649"/>
    <w:rsid w:val="0065270B"/>
    <w:rsid w:val="006534CA"/>
    <w:rsid w:val="00655D03"/>
    <w:rsid w:val="00657894"/>
    <w:rsid w:val="00665547"/>
    <w:rsid w:val="006671C1"/>
    <w:rsid w:val="00683388"/>
    <w:rsid w:val="00683B2D"/>
    <w:rsid w:val="00683F1F"/>
    <w:rsid w:val="00683F84"/>
    <w:rsid w:val="006918C5"/>
    <w:rsid w:val="0069341E"/>
    <w:rsid w:val="00697F40"/>
    <w:rsid w:val="006A0CCD"/>
    <w:rsid w:val="006A16B3"/>
    <w:rsid w:val="006A1D7C"/>
    <w:rsid w:val="006A551D"/>
    <w:rsid w:val="006A5BB3"/>
    <w:rsid w:val="006A6A81"/>
    <w:rsid w:val="006B3C40"/>
    <w:rsid w:val="006C3459"/>
    <w:rsid w:val="006C42E3"/>
    <w:rsid w:val="006C5C0B"/>
    <w:rsid w:val="006D10CB"/>
    <w:rsid w:val="006D133D"/>
    <w:rsid w:val="006E207C"/>
    <w:rsid w:val="006E4E12"/>
    <w:rsid w:val="006F0DB8"/>
    <w:rsid w:val="006F7147"/>
    <w:rsid w:val="006F7393"/>
    <w:rsid w:val="0070112A"/>
    <w:rsid w:val="0070224F"/>
    <w:rsid w:val="00703BD1"/>
    <w:rsid w:val="00710CC1"/>
    <w:rsid w:val="007115F7"/>
    <w:rsid w:val="00712B39"/>
    <w:rsid w:val="00712FE9"/>
    <w:rsid w:val="00740827"/>
    <w:rsid w:val="007563C6"/>
    <w:rsid w:val="00770B53"/>
    <w:rsid w:val="0077779F"/>
    <w:rsid w:val="0078084A"/>
    <w:rsid w:val="00782F47"/>
    <w:rsid w:val="007833AB"/>
    <w:rsid w:val="00785689"/>
    <w:rsid w:val="0078789C"/>
    <w:rsid w:val="007951D6"/>
    <w:rsid w:val="0079754B"/>
    <w:rsid w:val="007A1E6D"/>
    <w:rsid w:val="007A3F3B"/>
    <w:rsid w:val="007A541A"/>
    <w:rsid w:val="007B0D37"/>
    <w:rsid w:val="007B0E95"/>
    <w:rsid w:val="007B0EB2"/>
    <w:rsid w:val="007B5620"/>
    <w:rsid w:val="007C0012"/>
    <w:rsid w:val="007C0B2B"/>
    <w:rsid w:val="007C0B39"/>
    <w:rsid w:val="007C4242"/>
    <w:rsid w:val="007C473D"/>
    <w:rsid w:val="007D19A5"/>
    <w:rsid w:val="007D2615"/>
    <w:rsid w:val="007D7BED"/>
    <w:rsid w:val="007E2EBD"/>
    <w:rsid w:val="007E64E1"/>
    <w:rsid w:val="007E75EC"/>
    <w:rsid w:val="007F2132"/>
    <w:rsid w:val="007F766D"/>
    <w:rsid w:val="008048A6"/>
    <w:rsid w:val="00804A95"/>
    <w:rsid w:val="00805BF5"/>
    <w:rsid w:val="00806024"/>
    <w:rsid w:val="008062B4"/>
    <w:rsid w:val="00806FFC"/>
    <w:rsid w:val="0080718C"/>
    <w:rsid w:val="00810B6F"/>
    <w:rsid w:val="008155A1"/>
    <w:rsid w:val="00822CE0"/>
    <w:rsid w:val="008257A7"/>
    <w:rsid w:val="00830A41"/>
    <w:rsid w:val="00832DE8"/>
    <w:rsid w:val="008335CC"/>
    <w:rsid w:val="0083587E"/>
    <w:rsid w:val="008413C3"/>
    <w:rsid w:val="00841AB1"/>
    <w:rsid w:val="00842EF2"/>
    <w:rsid w:val="00843A5F"/>
    <w:rsid w:val="00852593"/>
    <w:rsid w:val="00853F7A"/>
    <w:rsid w:val="00865CDC"/>
    <w:rsid w:val="00877A9F"/>
    <w:rsid w:val="0088350A"/>
    <w:rsid w:val="00883524"/>
    <w:rsid w:val="00887F97"/>
    <w:rsid w:val="00894D59"/>
    <w:rsid w:val="00897EDF"/>
    <w:rsid w:val="008A1C76"/>
    <w:rsid w:val="008A2184"/>
    <w:rsid w:val="008A2AD9"/>
    <w:rsid w:val="008A3BFE"/>
    <w:rsid w:val="008A4B6D"/>
    <w:rsid w:val="008A7975"/>
    <w:rsid w:val="008A7AD7"/>
    <w:rsid w:val="008B50BC"/>
    <w:rsid w:val="008B628C"/>
    <w:rsid w:val="008C68F1"/>
    <w:rsid w:val="008D216B"/>
    <w:rsid w:val="008D3C3F"/>
    <w:rsid w:val="008D6611"/>
    <w:rsid w:val="008D79FA"/>
    <w:rsid w:val="008E15FA"/>
    <w:rsid w:val="008E3790"/>
    <w:rsid w:val="008E5A04"/>
    <w:rsid w:val="008F2DBF"/>
    <w:rsid w:val="00901E3F"/>
    <w:rsid w:val="00905E1A"/>
    <w:rsid w:val="009068C2"/>
    <w:rsid w:val="009078BA"/>
    <w:rsid w:val="00913231"/>
    <w:rsid w:val="009137E8"/>
    <w:rsid w:val="009144B7"/>
    <w:rsid w:val="009150AB"/>
    <w:rsid w:val="00921803"/>
    <w:rsid w:val="00923DB4"/>
    <w:rsid w:val="00926503"/>
    <w:rsid w:val="00926FC4"/>
    <w:rsid w:val="009279FD"/>
    <w:rsid w:val="00927B1B"/>
    <w:rsid w:val="00927DDF"/>
    <w:rsid w:val="0093006C"/>
    <w:rsid w:val="009341CC"/>
    <w:rsid w:val="00936B23"/>
    <w:rsid w:val="009476B1"/>
    <w:rsid w:val="009570D2"/>
    <w:rsid w:val="0096758E"/>
    <w:rsid w:val="00971564"/>
    <w:rsid w:val="00971733"/>
    <w:rsid w:val="009726D8"/>
    <w:rsid w:val="00980648"/>
    <w:rsid w:val="00982541"/>
    <w:rsid w:val="00982E50"/>
    <w:rsid w:val="009850EA"/>
    <w:rsid w:val="00993743"/>
    <w:rsid w:val="009A17A5"/>
    <w:rsid w:val="009B31C8"/>
    <w:rsid w:val="009C4501"/>
    <w:rsid w:val="009C46DE"/>
    <w:rsid w:val="009C6343"/>
    <w:rsid w:val="009D7FB5"/>
    <w:rsid w:val="009E1DE8"/>
    <w:rsid w:val="009E2673"/>
    <w:rsid w:val="009E3D31"/>
    <w:rsid w:val="009E51C5"/>
    <w:rsid w:val="009F76DB"/>
    <w:rsid w:val="00A016DD"/>
    <w:rsid w:val="00A07764"/>
    <w:rsid w:val="00A07FCB"/>
    <w:rsid w:val="00A13790"/>
    <w:rsid w:val="00A13EEC"/>
    <w:rsid w:val="00A17DF1"/>
    <w:rsid w:val="00A23F03"/>
    <w:rsid w:val="00A32C3B"/>
    <w:rsid w:val="00A3406B"/>
    <w:rsid w:val="00A34BAD"/>
    <w:rsid w:val="00A36585"/>
    <w:rsid w:val="00A45B71"/>
    <w:rsid w:val="00A45F4F"/>
    <w:rsid w:val="00A475EF"/>
    <w:rsid w:val="00A50603"/>
    <w:rsid w:val="00A51F7B"/>
    <w:rsid w:val="00A547F8"/>
    <w:rsid w:val="00A5613E"/>
    <w:rsid w:val="00A600A9"/>
    <w:rsid w:val="00A66B78"/>
    <w:rsid w:val="00A8149F"/>
    <w:rsid w:val="00A90A66"/>
    <w:rsid w:val="00AA1A67"/>
    <w:rsid w:val="00AA55B7"/>
    <w:rsid w:val="00AA5B9E"/>
    <w:rsid w:val="00AA5CC3"/>
    <w:rsid w:val="00AB2407"/>
    <w:rsid w:val="00AB43B3"/>
    <w:rsid w:val="00AB53DF"/>
    <w:rsid w:val="00AB6ADC"/>
    <w:rsid w:val="00AC67DE"/>
    <w:rsid w:val="00AC7DEE"/>
    <w:rsid w:val="00AD0401"/>
    <w:rsid w:val="00AD552D"/>
    <w:rsid w:val="00AD6D76"/>
    <w:rsid w:val="00AE01C2"/>
    <w:rsid w:val="00AE24D5"/>
    <w:rsid w:val="00AE2846"/>
    <w:rsid w:val="00AE2B6E"/>
    <w:rsid w:val="00B0044E"/>
    <w:rsid w:val="00B023FF"/>
    <w:rsid w:val="00B04EC4"/>
    <w:rsid w:val="00B067FE"/>
    <w:rsid w:val="00B07974"/>
    <w:rsid w:val="00B07E5C"/>
    <w:rsid w:val="00B10CD2"/>
    <w:rsid w:val="00B110FB"/>
    <w:rsid w:val="00B1444F"/>
    <w:rsid w:val="00B213CA"/>
    <w:rsid w:val="00B2646D"/>
    <w:rsid w:val="00B26748"/>
    <w:rsid w:val="00B362DA"/>
    <w:rsid w:val="00B43FC1"/>
    <w:rsid w:val="00B4634E"/>
    <w:rsid w:val="00B51B28"/>
    <w:rsid w:val="00B63FCF"/>
    <w:rsid w:val="00B709FD"/>
    <w:rsid w:val="00B7146B"/>
    <w:rsid w:val="00B73A30"/>
    <w:rsid w:val="00B76F47"/>
    <w:rsid w:val="00B810D1"/>
    <w:rsid w:val="00B811F7"/>
    <w:rsid w:val="00B8387C"/>
    <w:rsid w:val="00B905A7"/>
    <w:rsid w:val="00B94251"/>
    <w:rsid w:val="00BA5DC6"/>
    <w:rsid w:val="00BA6196"/>
    <w:rsid w:val="00BB0272"/>
    <w:rsid w:val="00BB440F"/>
    <w:rsid w:val="00BB5F2D"/>
    <w:rsid w:val="00BB7380"/>
    <w:rsid w:val="00BC67CB"/>
    <w:rsid w:val="00BC6D8C"/>
    <w:rsid w:val="00BC7821"/>
    <w:rsid w:val="00BD08D2"/>
    <w:rsid w:val="00BD4228"/>
    <w:rsid w:val="00BD4EBC"/>
    <w:rsid w:val="00BD5BEC"/>
    <w:rsid w:val="00BD779B"/>
    <w:rsid w:val="00BE103C"/>
    <w:rsid w:val="00BE7E75"/>
    <w:rsid w:val="00BF5002"/>
    <w:rsid w:val="00BF678D"/>
    <w:rsid w:val="00BF684A"/>
    <w:rsid w:val="00C014DA"/>
    <w:rsid w:val="00C01E1F"/>
    <w:rsid w:val="00C04651"/>
    <w:rsid w:val="00C12149"/>
    <w:rsid w:val="00C1490C"/>
    <w:rsid w:val="00C236AC"/>
    <w:rsid w:val="00C277CC"/>
    <w:rsid w:val="00C27BF9"/>
    <w:rsid w:val="00C34006"/>
    <w:rsid w:val="00C353B8"/>
    <w:rsid w:val="00C3652C"/>
    <w:rsid w:val="00C426B1"/>
    <w:rsid w:val="00C43E4A"/>
    <w:rsid w:val="00C448A6"/>
    <w:rsid w:val="00C475E5"/>
    <w:rsid w:val="00C47F6C"/>
    <w:rsid w:val="00C51324"/>
    <w:rsid w:val="00C55C19"/>
    <w:rsid w:val="00C566EC"/>
    <w:rsid w:val="00C575BD"/>
    <w:rsid w:val="00C6383F"/>
    <w:rsid w:val="00C66160"/>
    <w:rsid w:val="00C7131E"/>
    <w:rsid w:val="00C7140C"/>
    <w:rsid w:val="00C721AC"/>
    <w:rsid w:val="00C841D5"/>
    <w:rsid w:val="00C907ED"/>
    <w:rsid w:val="00C90BA5"/>
    <w:rsid w:val="00C90D6A"/>
    <w:rsid w:val="00CA247E"/>
    <w:rsid w:val="00CA3B05"/>
    <w:rsid w:val="00CB2687"/>
    <w:rsid w:val="00CB428E"/>
    <w:rsid w:val="00CC72B6"/>
    <w:rsid w:val="00CD3870"/>
    <w:rsid w:val="00CD771E"/>
    <w:rsid w:val="00CE68FE"/>
    <w:rsid w:val="00CE79A0"/>
    <w:rsid w:val="00CE7D37"/>
    <w:rsid w:val="00CF1B2D"/>
    <w:rsid w:val="00D0218D"/>
    <w:rsid w:val="00D24CB0"/>
    <w:rsid w:val="00D25FB5"/>
    <w:rsid w:val="00D326FE"/>
    <w:rsid w:val="00D341FE"/>
    <w:rsid w:val="00D36867"/>
    <w:rsid w:val="00D44223"/>
    <w:rsid w:val="00D4452F"/>
    <w:rsid w:val="00D4526F"/>
    <w:rsid w:val="00D45A54"/>
    <w:rsid w:val="00D503BA"/>
    <w:rsid w:val="00D503D9"/>
    <w:rsid w:val="00D560CD"/>
    <w:rsid w:val="00D56A4B"/>
    <w:rsid w:val="00D612FE"/>
    <w:rsid w:val="00D627A6"/>
    <w:rsid w:val="00D62CBE"/>
    <w:rsid w:val="00D65117"/>
    <w:rsid w:val="00D66953"/>
    <w:rsid w:val="00D74056"/>
    <w:rsid w:val="00D80103"/>
    <w:rsid w:val="00D83696"/>
    <w:rsid w:val="00D84F78"/>
    <w:rsid w:val="00D9021A"/>
    <w:rsid w:val="00D929CD"/>
    <w:rsid w:val="00DA1426"/>
    <w:rsid w:val="00DA176A"/>
    <w:rsid w:val="00DA2529"/>
    <w:rsid w:val="00DB0955"/>
    <w:rsid w:val="00DB0C03"/>
    <w:rsid w:val="00DB1095"/>
    <w:rsid w:val="00DB130A"/>
    <w:rsid w:val="00DB178E"/>
    <w:rsid w:val="00DB2EBB"/>
    <w:rsid w:val="00DC10A1"/>
    <w:rsid w:val="00DC2111"/>
    <w:rsid w:val="00DC655F"/>
    <w:rsid w:val="00DD0B59"/>
    <w:rsid w:val="00DD1F61"/>
    <w:rsid w:val="00DD4456"/>
    <w:rsid w:val="00DD6651"/>
    <w:rsid w:val="00DD7EBD"/>
    <w:rsid w:val="00DF2595"/>
    <w:rsid w:val="00DF62B6"/>
    <w:rsid w:val="00DF747E"/>
    <w:rsid w:val="00E0195B"/>
    <w:rsid w:val="00E01E06"/>
    <w:rsid w:val="00E02214"/>
    <w:rsid w:val="00E02D1D"/>
    <w:rsid w:val="00E03587"/>
    <w:rsid w:val="00E067E9"/>
    <w:rsid w:val="00E07225"/>
    <w:rsid w:val="00E1090A"/>
    <w:rsid w:val="00E1401A"/>
    <w:rsid w:val="00E22653"/>
    <w:rsid w:val="00E238E6"/>
    <w:rsid w:val="00E24E9F"/>
    <w:rsid w:val="00E3009C"/>
    <w:rsid w:val="00E32B72"/>
    <w:rsid w:val="00E40F40"/>
    <w:rsid w:val="00E43C74"/>
    <w:rsid w:val="00E4501C"/>
    <w:rsid w:val="00E53599"/>
    <w:rsid w:val="00E5409F"/>
    <w:rsid w:val="00E55D00"/>
    <w:rsid w:val="00E5745E"/>
    <w:rsid w:val="00E66F37"/>
    <w:rsid w:val="00E8027E"/>
    <w:rsid w:val="00E83AD2"/>
    <w:rsid w:val="00E861B3"/>
    <w:rsid w:val="00E8630A"/>
    <w:rsid w:val="00E95C3C"/>
    <w:rsid w:val="00EA12C6"/>
    <w:rsid w:val="00EB20A8"/>
    <w:rsid w:val="00EB39B0"/>
    <w:rsid w:val="00EB5E55"/>
    <w:rsid w:val="00EB7D61"/>
    <w:rsid w:val="00EB7EA5"/>
    <w:rsid w:val="00ED3C07"/>
    <w:rsid w:val="00ED419F"/>
    <w:rsid w:val="00EE1291"/>
    <w:rsid w:val="00EE6488"/>
    <w:rsid w:val="00EF1B1B"/>
    <w:rsid w:val="00EF30D3"/>
    <w:rsid w:val="00EF5FE2"/>
    <w:rsid w:val="00F021FA"/>
    <w:rsid w:val="00F02B8E"/>
    <w:rsid w:val="00F0546D"/>
    <w:rsid w:val="00F0617A"/>
    <w:rsid w:val="00F071DB"/>
    <w:rsid w:val="00F10394"/>
    <w:rsid w:val="00F1082C"/>
    <w:rsid w:val="00F14CA6"/>
    <w:rsid w:val="00F16CFE"/>
    <w:rsid w:val="00F21F87"/>
    <w:rsid w:val="00F22FBF"/>
    <w:rsid w:val="00F23B6A"/>
    <w:rsid w:val="00F24170"/>
    <w:rsid w:val="00F26C20"/>
    <w:rsid w:val="00F32845"/>
    <w:rsid w:val="00F56A65"/>
    <w:rsid w:val="00F60217"/>
    <w:rsid w:val="00F629DB"/>
    <w:rsid w:val="00F62E97"/>
    <w:rsid w:val="00F64209"/>
    <w:rsid w:val="00F660CB"/>
    <w:rsid w:val="00F7063C"/>
    <w:rsid w:val="00F73F83"/>
    <w:rsid w:val="00F764C3"/>
    <w:rsid w:val="00F8143D"/>
    <w:rsid w:val="00F82AC0"/>
    <w:rsid w:val="00F8503B"/>
    <w:rsid w:val="00F8748A"/>
    <w:rsid w:val="00F93BF5"/>
    <w:rsid w:val="00FA5B59"/>
    <w:rsid w:val="00FA6953"/>
    <w:rsid w:val="00FB3458"/>
    <w:rsid w:val="00FB39CB"/>
    <w:rsid w:val="00FB4615"/>
    <w:rsid w:val="00FC7E4A"/>
    <w:rsid w:val="00FD0E89"/>
    <w:rsid w:val="00FD0F9C"/>
    <w:rsid w:val="00FE482A"/>
    <w:rsid w:val="00FE5B2B"/>
    <w:rsid w:val="00FF3C37"/>
    <w:rsid w:val="00FF5B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B0E09C"/>
  <w15:docId w15:val="{1BFB023A-3468-42D6-B87C-D7B61C8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6D"/>
    <w:pPr>
      <w:widowControl w:val="0"/>
    </w:pPr>
    <w:rPr>
      <w:snapToGrid w:val="0"/>
      <w:kern w:val="28"/>
      <w:sz w:val="22"/>
    </w:rPr>
  </w:style>
  <w:style w:type="paragraph" w:styleId="Heading1">
    <w:name w:val="heading 1"/>
    <w:basedOn w:val="Normal"/>
    <w:next w:val="ParaNum"/>
    <w:link w:val="Heading1Char"/>
    <w:qFormat/>
    <w:rsid w:val="00F0546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546D"/>
    <w:pPr>
      <w:keepNext/>
      <w:numPr>
        <w:ilvl w:val="1"/>
        <w:numId w:val="2"/>
      </w:numPr>
      <w:spacing w:after="120"/>
      <w:outlineLvl w:val="1"/>
    </w:pPr>
    <w:rPr>
      <w:b/>
    </w:rPr>
  </w:style>
  <w:style w:type="paragraph" w:styleId="Heading3">
    <w:name w:val="heading 3"/>
    <w:basedOn w:val="Normal"/>
    <w:next w:val="ParaNum"/>
    <w:qFormat/>
    <w:rsid w:val="00F0546D"/>
    <w:pPr>
      <w:keepNext/>
      <w:numPr>
        <w:ilvl w:val="2"/>
        <w:numId w:val="2"/>
      </w:numPr>
      <w:tabs>
        <w:tab w:val="left" w:pos="2160"/>
      </w:tabs>
      <w:spacing w:after="120"/>
      <w:outlineLvl w:val="2"/>
    </w:pPr>
    <w:rPr>
      <w:b/>
    </w:rPr>
  </w:style>
  <w:style w:type="paragraph" w:styleId="Heading4">
    <w:name w:val="heading 4"/>
    <w:basedOn w:val="Normal"/>
    <w:next w:val="ParaNum"/>
    <w:qFormat/>
    <w:rsid w:val="00F0546D"/>
    <w:pPr>
      <w:keepNext/>
      <w:numPr>
        <w:ilvl w:val="3"/>
        <w:numId w:val="2"/>
      </w:numPr>
      <w:tabs>
        <w:tab w:val="left" w:pos="2880"/>
      </w:tabs>
      <w:spacing w:after="120"/>
      <w:outlineLvl w:val="3"/>
    </w:pPr>
    <w:rPr>
      <w:b/>
    </w:rPr>
  </w:style>
  <w:style w:type="paragraph" w:styleId="Heading5">
    <w:name w:val="heading 5"/>
    <w:basedOn w:val="Normal"/>
    <w:next w:val="ParaNum"/>
    <w:qFormat/>
    <w:rsid w:val="00F0546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0546D"/>
    <w:pPr>
      <w:numPr>
        <w:ilvl w:val="5"/>
        <w:numId w:val="2"/>
      </w:numPr>
      <w:tabs>
        <w:tab w:val="left" w:pos="4320"/>
      </w:tabs>
      <w:spacing w:after="120"/>
      <w:outlineLvl w:val="5"/>
    </w:pPr>
    <w:rPr>
      <w:b/>
    </w:rPr>
  </w:style>
  <w:style w:type="paragraph" w:styleId="Heading7">
    <w:name w:val="heading 7"/>
    <w:basedOn w:val="Normal"/>
    <w:next w:val="ParaNum"/>
    <w:qFormat/>
    <w:rsid w:val="00F0546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0546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0546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054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46D"/>
  </w:style>
  <w:style w:type="paragraph" w:customStyle="1" w:styleId="ParaNum">
    <w:name w:val="ParaNum"/>
    <w:basedOn w:val="Normal"/>
    <w:link w:val="ParaNumChar0"/>
    <w:rsid w:val="00F0546D"/>
    <w:pPr>
      <w:numPr>
        <w:numId w:val="1"/>
      </w:numPr>
      <w:tabs>
        <w:tab w:val="clear" w:pos="1080"/>
        <w:tab w:val="num" w:pos="1440"/>
      </w:tabs>
      <w:spacing w:after="120"/>
    </w:pPr>
  </w:style>
  <w:style w:type="paragraph" w:styleId="EndnoteText">
    <w:name w:val="endnote text"/>
    <w:basedOn w:val="Normal"/>
    <w:semiHidden/>
    <w:rsid w:val="00F0546D"/>
    <w:rPr>
      <w:sz w:val="20"/>
    </w:rPr>
  </w:style>
  <w:style w:type="character" w:styleId="EndnoteReference">
    <w:name w:val="endnote reference"/>
    <w:semiHidden/>
    <w:rsid w:val="00F0546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F0546D"/>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0546D"/>
    <w:rPr>
      <w:rFonts w:ascii="Times New Roman" w:hAnsi="Times New Roman"/>
      <w:dstrike w:val="0"/>
      <w:color w:val="auto"/>
      <w:sz w:val="20"/>
      <w:vertAlign w:val="superscript"/>
    </w:rPr>
  </w:style>
  <w:style w:type="paragraph" w:styleId="TOC1">
    <w:name w:val="toc 1"/>
    <w:basedOn w:val="Normal"/>
    <w:next w:val="Normal"/>
    <w:semiHidden/>
    <w:rsid w:val="00F054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546D"/>
    <w:pPr>
      <w:tabs>
        <w:tab w:val="left" w:pos="720"/>
        <w:tab w:val="right" w:leader="dot" w:pos="9360"/>
      </w:tabs>
      <w:suppressAutoHyphens/>
      <w:ind w:left="720" w:right="720" w:hanging="360"/>
    </w:pPr>
    <w:rPr>
      <w:noProof/>
    </w:rPr>
  </w:style>
  <w:style w:type="paragraph" w:styleId="TOC3">
    <w:name w:val="toc 3"/>
    <w:basedOn w:val="Normal"/>
    <w:next w:val="Normal"/>
    <w:semiHidden/>
    <w:rsid w:val="00F054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54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54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54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54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54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54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546D"/>
    <w:pPr>
      <w:tabs>
        <w:tab w:val="right" w:pos="9360"/>
      </w:tabs>
      <w:suppressAutoHyphens/>
    </w:pPr>
  </w:style>
  <w:style w:type="character" w:customStyle="1" w:styleId="EquationCaption">
    <w:name w:val="_Equation Caption"/>
    <w:rsid w:val="00F0546D"/>
  </w:style>
  <w:style w:type="paragraph" w:styleId="Header">
    <w:name w:val="header"/>
    <w:basedOn w:val="Normal"/>
    <w:link w:val="HeaderChar"/>
    <w:autoRedefine/>
    <w:rsid w:val="00F0546D"/>
    <w:pPr>
      <w:tabs>
        <w:tab w:val="center" w:pos="4680"/>
        <w:tab w:val="right" w:pos="9360"/>
      </w:tabs>
    </w:pPr>
    <w:rPr>
      <w:b/>
    </w:rPr>
  </w:style>
  <w:style w:type="paragraph" w:styleId="Footer">
    <w:name w:val="footer"/>
    <w:basedOn w:val="Normal"/>
    <w:link w:val="FooterChar"/>
    <w:uiPriority w:val="99"/>
    <w:rsid w:val="00F0546D"/>
    <w:pPr>
      <w:tabs>
        <w:tab w:val="center" w:pos="4320"/>
        <w:tab w:val="right" w:pos="8640"/>
      </w:tabs>
    </w:pPr>
  </w:style>
  <w:style w:type="character" w:styleId="PageNumber">
    <w:name w:val="page number"/>
    <w:basedOn w:val="DefaultParagraphFont"/>
    <w:rsid w:val="00F0546D"/>
  </w:style>
  <w:style w:type="paragraph" w:styleId="BlockText">
    <w:name w:val="Block Text"/>
    <w:basedOn w:val="Normal"/>
    <w:rsid w:val="00F0546D"/>
    <w:pPr>
      <w:spacing w:after="240"/>
      <w:ind w:left="1440" w:right="1440"/>
    </w:pPr>
  </w:style>
  <w:style w:type="paragraph" w:customStyle="1" w:styleId="Paratitle">
    <w:name w:val="Para title"/>
    <w:basedOn w:val="Normal"/>
    <w:rsid w:val="00F0546D"/>
    <w:pPr>
      <w:tabs>
        <w:tab w:val="center" w:pos="9270"/>
      </w:tabs>
      <w:spacing w:after="240"/>
    </w:pPr>
    <w:rPr>
      <w:spacing w:val="-2"/>
    </w:rPr>
  </w:style>
  <w:style w:type="paragraph" w:customStyle="1" w:styleId="Bullet">
    <w:name w:val="Bullet"/>
    <w:basedOn w:val="Normal"/>
    <w:rsid w:val="00F0546D"/>
    <w:pPr>
      <w:tabs>
        <w:tab w:val="left" w:pos="2160"/>
      </w:tabs>
      <w:spacing w:after="220"/>
      <w:ind w:left="2160" w:hanging="720"/>
    </w:pPr>
  </w:style>
  <w:style w:type="paragraph" w:customStyle="1" w:styleId="TableFormat">
    <w:name w:val="TableFormat"/>
    <w:basedOn w:val="Bullet"/>
    <w:rsid w:val="00F0546D"/>
    <w:pPr>
      <w:tabs>
        <w:tab w:val="clear" w:pos="2160"/>
        <w:tab w:val="left" w:pos="5040"/>
      </w:tabs>
      <w:ind w:left="5040" w:hanging="3600"/>
    </w:pPr>
  </w:style>
  <w:style w:type="paragraph" w:customStyle="1" w:styleId="TOCTitle">
    <w:name w:val="TOC Title"/>
    <w:basedOn w:val="Normal"/>
    <w:rsid w:val="00F054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546D"/>
    <w:pPr>
      <w:jc w:val="center"/>
    </w:pPr>
    <w:rPr>
      <w:rFonts w:ascii="Times New Roman Bold" w:hAnsi="Times New Roman Bold"/>
      <w:b/>
      <w:bCs/>
      <w:caps/>
      <w:szCs w:val="22"/>
    </w:rPr>
  </w:style>
  <w:style w:type="character" w:styleId="Hyperlink">
    <w:name w:val="Hyperlink"/>
    <w:rsid w:val="00F0546D"/>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F0546D"/>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
    <w:name w:val="Unresolved Mention"/>
    <w:basedOn w:val="DefaultParagraphFont"/>
    <w:uiPriority w:val="99"/>
    <w:semiHidden/>
    <w:unhideWhenUsed/>
    <w:rsid w:val="008D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Pam.Slipakoff@fcc.gov"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https://apps.fcc.gov/FeeFiler/login.cf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am@maldonado-group.com" TargetMode="External" /><Relationship Id="rId6" Type="http://schemas.openxmlformats.org/officeDocument/2006/relationships/hyperlink" Target="mailto:DarrenLu@Lunextelecom.co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