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B0FD2" w:rsidRPr="002B0FD2" w:rsidP="002B0FD2" w14:paraId="3A7DD71F" w14:textId="19B99BBB">
      <w:pPr>
        <w:jc w:val="right"/>
        <w:rPr>
          <w:sz w:val="22"/>
          <w:szCs w:val="22"/>
        </w:rPr>
      </w:pPr>
      <w:r w:rsidRPr="005737D5">
        <w:rPr>
          <w:b/>
          <w:bCs/>
          <w:sz w:val="22"/>
          <w:szCs w:val="22"/>
        </w:rPr>
        <w:t>DA</w:t>
      </w:r>
      <w:r w:rsidRPr="002B0FD2">
        <w:rPr>
          <w:sz w:val="22"/>
          <w:szCs w:val="22"/>
        </w:rPr>
        <w:t xml:space="preserve"> </w:t>
      </w:r>
      <w:r w:rsidRPr="00AA5CA1" w:rsidR="00AA5CA1">
        <w:rPr>
          <w:b/>
          <w:bCs/>
          <w:sz w:val="22"/>
          <w:szCs w:val="22"/>
        </w:rPr>
        <w:t>21-1426</w:t>
      </w:r>
    </w:p>
    <w:p w:rsidR="00204CE3" w:rsidP="002B0FD2" w14:paraId="123E09B7" w14:textId="415A376B">
      <w:pPr>
        <w:jc w:val="right"/>
        <w:rPr>
          <w:sz w:val="22"/>
          <w:szCs w:val="22"/>
        </w:rPr>
      </w:pPr>
      <w:r w:rsidRPr="005737D5">
        <w:rPr>
          <w:b/>
          <w:bCs/>
          <w:sz w:val="22"/>
          <w:szCs w:val="22"/>
        </w:rPr>
        <w:t>Released:</w:t>
      </w:r>
      <w:r w:rsidR="00E432F4">
        <w:rPr>
          <w:sz w:val="22"/>
          <w:szCs w:val="22"/>
        </w:rPr>
        <w:t xml:space="preserve"> </w:t>
      </w:r>
      <w:r w:rsidRPr="00E432F4" w:rsidR="00E432F4">
        <w:rPr>
          <w:b/>
          <w:bCs/>
          <w:sz w:val="22"/>
          <w:szCs w:val="22"/>
        </w:rPr>
        <w:t>November 12, 2021</w:t>
      </w:r>
    </w:p>
    <w:p w:rsidR="002B0FD2" w:rsidP="002B0FD2" w14:paraId="7724B060" w14:textId="558F4D15">
      <w:pPr>
        <w:jc w:val="right"/>
        <w:rPr>
          <w:sz w:val="22"/>
          <w:szCs w:val="22"/>
        </w:rPr>
      </w:pPr>
    </w:p>
    <w:p w:rsidR="002B0FD2" w:rsidP="002B0FD2" w14:paraId="758D0FFE" w14:textId="02D1753A">
      <w:pPr>
        <w:rPr>
          <w:sz w:val="22"/>
          <w:szCs w:val="22"/>
        </w:rPr>
      </w:pPr>
    </w:p>
    <w:p w:rsidR="008859CB" w:rsidRPr="008859CB" w:rsidP="008859CB" w14:paraId="38588385" w14:textId="5E4844A2">
      <w:pPr>
        <w:widowControl w:val="0"/>
        <w:rPr>
          <w:snapToGrid w:val="0"/>
          <w:kern w:val="28"/>
          <w:sz w:val="22"/>
          <w:szCs w:val="22"/>
        </w:rPr>
      </w:pPr>
      <w:bookmarkStart w:id="0" w:name="_Hlk58598256"/>
      <w:r>
        <w:rPr>
          <w:snapToGrid w:val="0"/>
          <w:kern w:val="28"/>
          <w:sz w:val="22"/>
          <w:szCs w:val="22"/>
        </w:rPr>
        <w:t>Meredith Corporation</w:t>
      </w:r>
    </w:p>
    <w:bookmarkEnd w:id="0"/>
    <w:p w:rsidR="008859CB" w:rsidRPr="0013400D" w:rsidP="008859CB" w14:paraId="36BA563D" w14:textId="6833BA57">
      <w:pPr>
        <w:widowControl w:val="0"/>
        <w:rPr>
          <w:snapToGrid w:val="0"/>
          <w:kern w:val="28"/>
          <w:sz w:val="22"/>
          <w:szCs w:val="22"/>
        </w:rPr>
      </w:pPr>
      <w:r w:rsidRPr="0013400D">
        <w:rPr>
          <w:snapToGrid w:val="0"/>
          <w:kern w:val="28"/>
          <w:sz w:val="22"/>
          <w:szCs w:val="22"/>
        </w:rPr>
        <w:t xml:space="preserve">c/o </w:t>
      </w:r>
      <w:r w:rsidRPr="0013400D" w:rsidR="0098717C">
        <w:rPr>
          <w:snapToGrid w:val="0"/>
          <w:kern w:val="28"/>
          <w:sz w:val="22"/>
          <w:szCs w:val="22"/>
        </w:rPr>
        <w:t>Michael Basile</w:t>
      </w:r>
    </w:p>
    <w:p w:rsidR="0098717C" w:rsidRPr="0098717C" w:rsidP="0098717C" w14:paraId="2B625306" w14:textId="77777777">
      <w:pPr>
        <w:widowControl w:val="0"/>
        <w:rPr>
          <w:snapToGrid w:val="0"/>
          <w:kern w:val="28"/>
          <w:sz w:val="22"/>
          <w:szCs w:val="22"/>
        </w:rPr>
      </w:pPr>
      <w:r w:rsidRPr="0098717C">
        <w:rPr>
          <w:snapToGrid w:val="0"/>
          <w:kern w:val="28"/>
          <w:sz w:val="22"/>
          <w:szCs w:val="22"/>
        </w:rPr>
        <w:t>1299 Pennsylvania Avenue, NW</w:t>
      </w:r>
    </w:p>
    <w:p w:rsidR="0098717C" w:rsidRPr="0098717C" w:rsidP="0098717C" w14:paraId="0D4BA4E6" w14:textId="77777777">
      <w:pPr>
        <w:widowControl w:val="0"/>
        <w:rPr>
          <w:snapToGrid w:val="0"/>
          <w:kern w:val="28"/>
          <w:sz w:val="22"/>
          <w:szCs w:val="22"/>
        </w:rPr>
      </w:pPr>
      <w:r w:rsidRPr="0098717C">
        <w:rPr>
          <w:snapToGrid w:val="0"/>
          <w:kern w:val="28"/>
          <w:sz w:val="22"/>
          <w:szCs w:val="22"/>
        </w:rPr>
        <w:t>Suite 700</w:t>
      </w:r>
    </w:p>
    <w:p w:rsidR="008859CB" w:rsidRPr="008859CB" w:rsidP="0098717C" w14:paraId="136E532C" w14:textId="5F08F728">
      <w:pPr>
        <w:widowControl w:val="0"/>
        <w:rPr>
          <w:snapToGrid w:val="0"/>
          <w:kern w:val="28"/>
          <w:sz w:val="22"/>
          <w:szCs w:val="22"/>
        </w:rPr>
      </w:pPr>
      <w:r w:rsidRPr="0098717C">
        <w:rPr>
          <w:snapToGrid w:val="0"/>
          <w:kern w:val="28"/>
          <w:sz w:val="22"/>
          <w:szCs w:val="22"/>
        </w:rPr>
        <w:t xml:space="preserve">Washington, DC </w:t>
      </w:r>
      <w:r>
        <w:rPr>
          <w:snapToGrid w:val="0"/>
          <w:kern w:val="28"/>
          <w:sz w:val="22"/>
          <w:szCs w:val="22"/>
        </w:rPr>
        <w:t xml:space="preserve"> </w:t>
      </w:r>
      <w:r w:rsidRPr="0098717C">
        <w:rPr>
          <w:snapToGrid w:val="0"/>
          <w:kern w:val="28"/>
          <w:sz w:val="22"/>
          <w:szCs w:val="22"/>
        </w:rPr>
        <w:t>20004</w:t>
      </w:r>
    </w:p>
    <w:p w:rsidR="0098717C" w:rsidP="008859CB" w14:paraId="072CDC38" w14:textId="77777777">
      <w:pPr>
        <w:widowControl w:val="0"/>
        <w:rPr>
          <w:snapToGrid w:val="0"/>
          <w:kern w:val="28"/>
          <w:sz w:val="22"/>
          <w:szCs w:val="22"/>
        </w:rPr>
      </w:pPr>
    </w:p>
    <w:p w:rsidR="008859CB" w:rsidRPr="008859CB" w:rsidP="008859CB" w14:paraId="0A7980DA" w14:textId="153AADDE">
      <w:pPr>
        <w:widowControl w:val="0"/>
        <w:rPr>
          <w:snapToGrid w:val="0"/>
          <w:kern w:val="28"/>
          <w:sz w:val="22"/>
          <w:szCs w:val="22"/>
        </w:rPr>
      </w:pPr>
      <w:r w:rsidRPr="008859CB">
        <w:rPr>
          <w:snapToGrid w:val="0"/>
          <w:kern w:val="28"/>
          <w:sz w:val="22"/>
          <w:szCs w:val="22"/>
        </w:rPr>
        <w:t>Gray Television Licensee, LLC</w:t>
      </w:r>
    </w:p>
    <w:p w:rsidR="008859CB" w:rsidRPr="0013400D" w:rsidP="008859CB" w14:paraId="7250D1B5" w14:textId="0B7C436E">
      <w:pPr>
        <w:widowControl w:val="0"/>
        <w:rPr>
          <w:snapToGrid w:val="0"/>
          <w:kern w:val="28"/>
          <w:sz w:val="22"/>
          <w:szCs w:val="22"/>
        </w:rPr>
      </w:pPr>
      <w:r w:rsidRPr="0013400D">
        <w:rPr>
          <w:snapToGrid w:val="0"/>
          <w:kern w:val="28"/>
          <w:sz w:val="22"/>
          <w:szCs w:val="22"/>
        </w:rPr>
        <w:t xml:space="preserve">c/o </w:t>
      </w:r>
      <w:r w:rsidRPr="0013400D" w:rsidR="00E91C42">
        <w:rPr>
          <w:snapToGrid w:val="0"/>
          <w:kern w:val="28"/>
          <w:sz w:val="22"/>
          <w:szCs w:val="22"/>
        </w:rPr>
        <w:t>Joan Stewart</w:t>
      </w:r>
    </w:p>
    <w:p w:rsidR="008859CB" w:rsidRPr="0013400D" w:rsidP="008859CB" w14:paraId="2189F488" w14:textId="66217560">
      <w:pPr>
        <w:widowControl w:val="0"/>
        <w:rPr>
          <w:snapToGrid w:val="0"/>
          <w:kern w:val="28"/>
          <w:sz w:val="22"/>
          <w:szCs w:val="22"/>
        </w:rPr>
      </w:pPr>
      <w:r w:rsidRPr="0013400D">
        <w:rPr>
          <w:snapToGrid w:val="0"/>
          <w:kern w:val="28"/>
          <w:sz w:val="22"/>
          <w:szCs w:val="22"/>
        </w:rPr>
        <w:t>Wiley Rein LLP</w:t>
      </w:r>
    </w:p>
    <w:p w:rsidR="00A972DC" w:rsidRPr="00A972DC" w:rsidP="00A972DC" w14:paraId="783BA608" w14:textId="77777777">
      <w:pPr>
        <w:widowControl w:val="0"/>
        <w:rPr>
          <w:snapToGrid w:val="0"/>
          <w:kern w:val="28"/>
          <w:sz w:val="22"/>
          <w:szCs w:val="22"/>
        </w:rPr>
      </w:pPr>
      <w:r w:rsidRPr="00A972DC">
        <w:rPr>
          <w:snapToGrid w:val="0"/>
          <w:kern w:val="28"/>
          <w:sz w:val="22"/>
          <w:szCs w:val="22"/>
        </w:rPr>
        <w:t>1776 K Street, NW</w:t>
      </w:r>
    </w:p>
    <w:p w:rsidR="008859CB" w:rsidP="00A972DC" w14:paraId="30D983A1" w14:textId="2965FA4D">
      <w:pPr>
        <w:widowControl w:val="0"/>
        <w:rPr>
          <w:snapToGrid w:val="0"/>
          <w:kern w:val="28"/>
          <w:sz w:val="22"/>
          <w:szCs w:val="22"/>
        </w:rPr>
      </w:pPr>
      <w:r w:rsidRPr="00A972DC">
        <w:rPr>
          <w:snapToGrid w:val="0"/>
          <w:kern w:val="28"/>
          <w:sz w:val="22"/>
          <w:szCs w:val="22"/>
        </w:rPr>
        <w:t xml:space="preserve">Washington, DC </w:t>
      </w:r>
      <w:r>
        <w:rPr>
          <w:snapToGrid w:val="0"/>
          <w:kern w:val="28"/>
          <w:sz w:val="22"/>
          <w:szCs w:val="22"/>
        </w:rPr>
        <w:t xml:space="preserve"> </w:t>
      </w:r>
      <w:r w:rsidRPr="00A972DC">
        <w:rPr>
          <w:snapToGrid w:val="0"/>
          <w:kern w:val="28"/>
          <w:sz w:val="22"/>
          <w:szCs w:val="22"/>
        </w:rPr>
        <w:t>20006</w:t>
      </w:r>
    </w:p>
    <w:p w:rsidR="00A972DC" w:rsidRPr="008859CB" w:rsidP="00A972DC" w14:paraId="48401F55" w14:textId="77777777">
      <w:pPr>
        <w:widowControl w:val="0"/>
        <w:rPr>
          <w:snapToGrid w:val="0"/>
          <w:kern w:val="28"/>
          <w:sz w:val="22"/>
          <w:szCs w:val="22"/>
        </w:rPr>
      </w:pPr>
    </w:p>
    <w:p w:rsidR="008859CB" w:rsidRPr="008859CB" w:rsidP="008859CB" w14:paraId="239B83B1" w14:textId="19A5A4E2">
      <w:pPr>
        <w:widowControl w:val="0"/>
        <w:ind w:left="5040"/>
        <w:rPr>
          <w:snapToGrid w:val="0"/>
          <w:kern w:val="28"/>
          <w:sz w:val="22"/>
          <w:szCs w:val="22"/>
        </w:rPr>
      </w:pPr>
      <w:r w:rsidRPr="008859CB">
        <w:rPr>
          <w:snapToGrid w:val="0"/>
          <w:kern w:val="28"/>
          <w:sz w:val="22"/>
          <w:szCs w:val="22"/>
        </w:rPr>
        <w:t xml:space="preserve">Re: </w:t>
      </w:r>
      <w:r w:rsidR="00850272">
        <w:rPr>
          <w:snapToGrid w:val="0"/>
          <w:kern w:val="28"/>
          <w:sz w:val="22"/>
          <w:szCs w:val="22"/>
        </w:rPr>
        <w:t xml:space="preserve"> </w:t>
      </w:r>
      <w:r w:rsidRPr="005B46A9" w:rsidR="0017664E">
        <w:rPr>
          <w:snapToGrid w:val="0"/>
          <w:kern w:val="28"/>
          <w:sz w:val="22"/>
          <w:szCs w:val="22"/>
        </w:rPr>
        <w:t>A</w:t>
      </w:r>
      <w:r w:rsidR="0017664E">
        <w:rPr>
          <w:snapToGrid w:val="0"/>
          <w:kern w:val="28"/>
          <w:sz w:val="22"/>
          <w:szCs w:val="22"/>
        </w:rPr>
        <w:t>ssignment</w:t>
      </w:r>
      <w:r w:rsidRPr="005B46A9" w:rsidR="005B46A9">
        <w:rPr>
          <w:snapToGrid w:val="0"/>
          <w:kern w:val="28"/>
          <w:sz w:val="22"/>
          <w:szCs w:val="22"/>
        </w:rPr>
        <w:t xml:space="preserve"> </w:t>
      </w:r>
      <w:r w:rsidR="0017664E">
        <w:rPr>
          <w:snapToGrid w:val="0"/>
          <w:kern w:val="28"/>
          <w:sz w:val="22"/>
          <w:szCs w:val="22"/>
        </w:rPr>
        <w:t>of</w:t>
      </w:r>
      <w:r w:rsidRPr="005B46A9" w:rsidR="005B46A9">
        <w:rPr>
          <w:snapToGrid w:val="0"/>
          <w:kern w:val="28"/>
          <w:sz w:val="22"/>
          <w:szCs w:val="22"/>
        </w:rPr>
        <w:t xml:space="preserve"> </w:t>
      </w:r>
      <w:r w:rsidR="0017664E">
        <w:rPr>
          <w:snapToGrid w:val="0"/>
          <w:kern w:val="28"/>
          <w:sz w:val="22"/>
          <w:szCs w:val="22"/>
        </w:rPr>
        <w:t>Broadcast</w:t>
      </w:r>
      <w:r w:rsidRPr="005B46A9" w:rsidR="005B46A9">
        <w:rPr>
          <w:snapToGrid w:val="0"/>
          <w:kern w:val="28"/>
          <w:sz w:val="22"/>
          <w:szCs w:val="22"/>
        </w:rPr>
        <w:t xml:space="preserve"> </w:t>
      </w:r>
      <w:r w:rsidR="0017664E">
        <w:rPr>
          <w:snapToGrid w:val="0"/>
          <w:kern w:val="28"/>
          <w:sz w:val="22"/>
          <w:szCs w:val="22"/>
        </w:rPr>
        <w:t>Licenses</w:t>
      </w:r>
      <w:r w:rsidRPr="005B46A9" w:rsidR="005B46A9">
        <w:rPr>
          <w:snapToGrid w:val="0"/>
          <w:kern w:val="28"/>
          <w:sz w:val="22"/>
          <w:szCs w:val="22"/>
        </w:rPr>
        <w:t xml:space="preserve"> </w:t>
      </w:r>
      <w:r w:rsidR="0017664E">
        <w:rPr>
          <w:snapToGrid w:val="0"/>
          <w:kern w:val="28"/>
          <w:sz w:val="22"/>
          <w:szCs w:val="22"/>
        </w:rPr>
        <w:t>from</w:t>
      </w:r>
      <w:r w:rsidRPr="005B46A9" w:rsidR="005B46A9">
        <w:rPr>
          <w:snapToGrid w:val="0"/>
          <w:kern w:val="28"/>
          <w:sz w:val="22"/>
          <w:szCs w:val="22"/>
        </w:rPr>
        <w:t xml:space="preserve"> </w:t>
      </w:r>
      <w:r w:rsidR="0017664E">
        <w:rPr>
          <w:snapToGrid w:val="0"/>
          <w:kern w:val="28"/>
          <w:sz w:val="22"/>
          <w:szCs w:val="22"/>
        </w:rPr>
        <w:t>Meredith</w:t>
      </w:r>
      <w:r w:rsidRPr="005B46A9" w:rsidR="005B46A9">
        <w:rPr>
          <w:snapToGrid w:val="0"/>
          <w:kern w:val="28"/>
          <w:sz w:val="22"/>
          <w:szCs w:val="22"/>
        </w:rPr>
        <w:t xml:space="preserve"> </w:t>
      </w:r>
      <w:r w:rsidR="0017664E">
        <w:rPr>
          <w:snapToGrid w:val="0"/>
          <w:kern w:val="28"/>
          <w:sz w:val="22"/>
          <w:szCs w:val="22"/>
        </w:rPr>
        <w:t>Corporation</w:t>
      </w:r>
      <w:r w:rsidRPr="005B46A9" w:rsidR="005B46A9">
        <w:rPr>
          <w:snapToGrid w:val="0"/>
          <w:kern w:val="28"/>
          <w:sz w:val="22"/>
          <w:szCs w:val="22"/>
        </w:rPr>
        <w:t xml:space="preserve"> </w:t>
      </w:r>
      <w:r w:rsidR="0017664E">
        <w:rPr>
          <w:snapToGrid w:val="0"/>
          <w:kern w:val="28"/>
          <w:sz w:val="22"/>
          <w:szCs w:val="22"/>
        </w:rPr>
        <w:t>to</w:t>
      </w:r>
      <w:r w:rsidRPr="005B46A9" w:rsidR="005B46A9">
        <w:rPr>
          <w:snapToGrid w:val="0"/>
          <w:kern w:val="28"/>
          <w:sz w:val="22"/>
          <w:szCs w:val="22"/>
        </w:rPr>
        <w:t xml:space="preserve"> </w:t>
      </w:r>
      <w:r w:rsidR="0017664E">
        <w:rPr>
          <w:snapToGrid w:val="0"/>
          <w:kern w:val="28"/>
          <w:sz w:val="22"/>
          <w:szCs w:val="22"/>
        </w:rPr>
        <w:t>Gray</w:t>
      </w:r>
      <w:r w:rsidRPr="005B46A9" w:rsidR="005B46A9">
        <w:rPr>
          <w:snapToGrid w:val="0"/>
          <w:kern w:val="28"/>
          <w:sz w:val="22"/>
          <w:szCs w:val="22"/>
        </w:rPr>
        <w:t xml:space="preserve"> </w:t>
      </w:r>
      <w:r w:rsidR="0017664E">
        <w:rPr>
          <w:snapToGrid w:val="0"/>
          <w:kern w:val="28"/>
          <w:sz w:val="22"/>
          <w:szCs w:val="22"/>
        </w:rPr>
        <w:t>Television</w:t>
      </w:r>
      <w:r w:rsidR="00BB1162">
        <w:rPr>
          <w:snapToGrid w:val="0"/>
          <w:kern w:val="28"/>
          <w:sz w:val="22"/>
          <w:szCs w:val="22"/>
        </w:rPr>
        <w:t xml:space="preserve"> Licensee, LLC</w:t>
      </w:r>
    </w:p>
    <w:p w:rsidR="008859CB" w:rsidRPr="008859CB" w:rsidP="008859CB" w14:paraId="2017ECBA" w14:textId="7D8DE1C2">
      <w:pPr>
        <w:widowControl w:val="0"/>
        <w:ind w:left="5040"/>
        <w:rPr>
          <w:snapToGrid w:val="0"/>
          <w:kern w:val="28"/>
          <w:sz w:val="22"/>
          <w:szCs w:val="22"/>
        </w:rPr>
      </w:pPr>
      <w:r>
        <w:rPr>
          <w:snapToGrid w:val="0"/>
          <w:kern w:val="28"/>
          <w:sz w:val="22"/>
          <w:szCs w:val="22"/>
        </w:rPr>
        <w:t xml:space="preserve">Lead </w:t>
      </w:r>
      <w:r w:rsidRPr="008859CB">
        <w:rPr>
          <w:snapToGrid w:val="0"/>
          <w:kern w:val="28"/>
          <w:sz w:val="22"/>
          <w:szCs w:val="22"/>
        </w:rPr>
        <w:t>Fac. ID No.</w:t>
      </w:r>
      <w:r w:rsidR="00850272">
        <w:rPr>
          <w:snapToGrid w:val="0"/>
          <w:kern w:val="28"/>
          <w:sz w:val="22"/>
          <w:szCs w:val="22"/>
        </w:rPr>
        <w:t xml:space="preserve">: </w:t>
      </w:r>
      <w:r w:rsidRPr="008859CB">
        <w:rPr>
          <w:snapToGrid w:val="0"/>
          <w:kern w:val="28"/>
          <w:sz w:val="22"/>
          <w:szCs w:val="22"/>
        </w:rPr>
        <w:t xml:space="preserve"> </w:t>
      </w:r>
      <w:r w:rsidRPr="0004748D" w:rsidR="0004748D">
        <w:rPr>
          <w:snapToGrid w:val="0"/>
          <w:kern w:val="28"/>
          <w:sz w:val="22"/>
          <w:szCs w:val="22"/>
        </w:rPr>
        <w:t>72120</w:t>
      </w:r>
    </w:p>
    <w:p w:rsidR="008859CB" w:rsidRPr="008859CB" w:rsidP="008859CB" w14:paraId="50E163BA" w14:textId="6C1F46A0">
      <w:pPr>
        <w:widowControl w:val="0"/>
        <w:ind w:left="5040"/>
        <w:rPr>
          <w:snapToGrid w:val="0"/>
          <w:kern w:val="28"/>
          <w:sz w:val="22"/>
          <w:szCs w:val="22"/>
        </w:rPr>
      </w:pPr>
      <w:r>
        <w:rPr>
          <w:snapToGrid w:val="0"/>
          <w:kern w:val="28"/>
          <w:sz w:val="22"/>
          <w:szCs w:val="22"/>
        </w:rPr>
        <w:t xml:space="preserve">Lead </w:t>
      </w:r>
      <w:r w:rsidR="0004748D">
        <w:rPr>
          <w:snapToGrid w:val="0"/>
          <w:kern w:val="28"/>
          <w:sz w:val="22"/>
          <w:szCs w:val="22"/>
        </w:rPr>
        <w:t xml:space="preserve">LMS </w:t>
      </w:r>
      <w:r w:rsidRPr="008859CB">
        <w:rPr>
          <w:snapToGrid w:val="0"/>
          <w:kern w:val="28"/>
          <w:sz w:val="22"/>
          <w:szCs w:val="22"/>
        </w:rPr>
        <w:t>File No.</w:t>
      </w:r>
      <w:r w:rsidR="00850272">
        <w:rPr>
          <w:snapToGrid w:val="0"/>
          <w:kern w:val="28"/>
          <w:sz w:val="22"/>
          <w:szCs w:val="22"/>
        </w:rPr>
        <w:t xml:space="preserve">: </w:t>
      </w:r>
      <w:r w:rsidRPr="008859CB">
        <w:rPr>
          <w:snapToGrid w:val="0"/>
          <w:kern w:val="28"/>
          <w:sz w:val="22"/>
          <w:szCs w:val="22"/>
        </w:rPr>
        <w:t xml:space="preserve"> </w:t>
      </w:r>
      <w:r w:rsidRPr="0004748D" w:rsidR="0004748D">
        <w:rPr>
          <w:snapToGrid w:val="0"/>
          <w:kern w:val="28"/>
          <w:sz w:val="22"/>
          <w:szCs w:val="22"/>
        </w:rPr>
        <w:t>0000145590</w:t>
      </w:r>
    </w:p>
    <w:p w:rsidR="008859CB" w:rsidRPr="008859CB" w:rsidP="008859CB" w14:paraId="71BBAD56" w14:textId="77777777">
      <w:pPr>
        <w:widowControl w:val="0"/>
        <w:rPr>
          <w:snapToGrid w:val="0"/>
          <w:kern w:val="28"/>
          <w:sz w:val="22"/>
          <w:szCs w:val="22"/>
        </w:rPr>
      </w:pPr>
    </w:p>
    <w:p w:rsidR="008859CB" w:rsidRPr="008859CB" w:rsidP="008859CB" w14:paraId="47F5A31E" w14:textId="77777777">
      <w:pPr>
        <w:widowControl w:val="0"/>
        <w:rPr>
          <w:snapToGrid w:val="0"/>
          <w:kern w:val="28"/>
          <w:sz w:val="22"/>
          <w:szCs w:val="22"/>
        </w:rPr>
      </w:pPr>
    </w:p>
    <w:p w:rsidR="008859CB" w:rsidP="008859CB" w14:paraId="357F9EE0" w14:textId="22E6B6F8">
      <w:pPr>
        <w:widowControl w:val="0"/>
        <w:rPr>
          <w:snapToGrid w:val="0"/>
          <w:spacing w:val="-2"/>
          <w:kern w:val="28"/>
          <w:sz w:val="22"/>
          <w:szCs w:val="22"/>
        </w:rPr>
      </w:pPr>
      <w:r w:rsidRPr="008859CB">
        <w:rPr>
          <w:snapToGrid w:val="0"/>
          <w:kern w:val="28"/>
          <w:sz w:val="22"/>
          <w:szCs w:val="22"/>
        </w:rPr>
        <w:t>Counsel</w:t>
      </w:r>
      <w:r w:rsidRPr="008859CB">
        <w:rPr>
          <w:snapToGrid w:val="0"/>
          <w:spacing w:val="-2"/>
          <w:kern w:val="28"/>
          <w:sz w:val="22"/>
          <w:szCs w:val="22"/>
        </w:rPr>
        <w:t>:</w:t>
      </w:r>
    </w:p>
    <w:p w:rsidR="00925592" w:rsidP="008859CB" w14:paraId="0805FC06" w14:textId="68A220EF">
      <w:pPr>
        <w:widowControl w:val="0"/>
        <w:rPr>
          <w:snapToGrid w:val="0"/>
          <w:spacing w:val="-2"/>
          <w:kern w:val="28"/>
          <w:sz w:val="22"/>
          <w:szCs w:val="22"/>
        </w:rPr>
      </w:pPr>
    </w:p>
    <w:p w:rsidR="008859CB" w:rsidRPr="008859CB" w:rsidP="00132BC0" w14:paraId="7BFEBD34" w14:textId="15CD9EC2">
      <w:pPr>
        <w:pStyle w:val="ParaNum"/>
        <w:widowControl/>
        <w:ind w:firstLine="720"/>
        <w:rPr>
          <w:spacing w:val="-2"/>
          <w:szCs w:val="22"/>
        </w:rPr>
      </w:pPr>
      <w:r>
        <w:rPr>
          <w:rFonts w:eastAsia="Calibri"/>
          <w:szCs w:val="22"/>
        </w:rPr>
        <w:t xml:space="preserve">This letter </w:t>
      </w:r>
      <w:r w:rsidRPr="00E332A1" w:rsidR="00C61865">
        <w:rPr>
          <w:szCs w:val="22"/>
        </w:rPr>
        <w:t>grants</w:t>
      </w:r>
      <w:r w:rsidR="00DE6A53">
        <w:rPr>
          <w:rFonts w:eastAsia="Calibri"/>
          <w:szCs w:val="22"/>
        </w:rPr>
        <w:t xml:space="preserve"> </w:t>
      </w:r>
      <w:r>
        <w:rPr>
          <w:rFonts w:eastAsia="Calibri"/>
          <w:szCs w:val="22"/>
        </w:rPr>
        <w:t>the pending</w:t>
      </w:r>
      <w:r w:rsidRPr="00AB7E14" w:rsidR="00AB7E14">
        <w:rPr>
          <w:rFonts w:eastAsia="Calibri"/>
          <w:szCs w:val="22"/>
        </w:rPr>
        <w:t xml:space="preserve"> applications</w:t>
      </w:r>
      <w:r>
        <w:rPr>
          <w:rFonts w:eastAsia="Calibri"/>
          <w:szCs w:val="22"/>
        </w:rPr>
        <w:t xml:space="preserve"> listed </w:t>
      </w:r>
      <w:r w:rsidR="00973695">
        <w:rPr>
          <w:rFonts w:eastAsia="Calibri"/>
          <w:szCs w:val="22"/>
        </w:rPr>
        <w:t xml:space="preserve">in </w:t>
      </w:r>
      <w:r w:rsidR="006071D5">
        <w:rPr>
          <w:rFonts w:eastAsia="Calibri"/>
          <w:szCs w:val="22"/>
        </w:rPr>
        <w:t xml:space="preserve">the </w:t>
      </w:r>
      <w:r w:rsidR="00973695">
        <w:rPr>
          <w:rFonts w:eastAsia="Calibri"/>
          <w:szCs w:val="22"/>
        </w:rPr>
        <w:t xml:space="preserve">Attachment </w:t>
      </w:r>
      <w:r w:rsidRPr="00AB7E14" w:rsidR="00AB7E14">
        <w:rPr>
          <w:rFonts w:eastAsia="Calibri"/>
          <w:szCs w:val="22"/>
        </w:rPr>
        <w:t xml:space="preserve">(Applications) </w:t>
      </w:r>
      <w:r w:rsidR="006C68E6">
        <w:rPr>
          <w:rFonts w:eastAsia="Calibri"/>
          <w:szCs w:val="22"/>
        </w:rPr>
        <w:t xml:space="preserve">that </w:t>
      </w:r>
      <w:r w:rsidRPr="00AB7E14" w:rsidR="00AB7E14">
        <w:rPr>
          <w:rFonts w:eastAsia="Calibri"/>
          <w:szCs w:val="22"/>
        </w:rPr>
        <w:t xml:space="preserve">seek </w:t>
      </w:r>
      <w:r w:rsidR="00973695">
        <w:rPr>
          <w:rFonts w:eastAsia="Calibri"/>
          <w:szCs w:val="22"/>
        </w:rPr>
        <w:t xml:space="preserve">Commission </w:t>
      </w:r>
      <w:r w:rsidRPr="00AB7E14" w:rsidR="00AB7E14">
        <w:rPr>
          <w:rFonts w:eastAsia="Calibri"/>
          <w:szCs w:val="22"/>
        </w:rPr>
        <w:t>approval of Gray Television, Inc.’s (Gray) acquisition (Transaction) of the Commission licenses and related station assets of Meredith Corporation (Meredith) (Gray and Meredith</w:t>
      </w:r>
      <w:r w:rsidR="00690113">
        <w:rPr>
          <w:rFonts w:eastAsia="Calibri"/>
          <w:szCs w:val="22"/>
        </w:rPr>
        <w:t>,</w:t>
      </w:r>
      <w:r w:rsidRPr="00AB7E14" w:rsidR="00AB7E14">
        <w:rPr>
          <w:rFonts w:eastAsia="Calibri"/>
          <w:szCs w:val="22"/>
        </w:rPr>
        <w:t xml:space="preserve"> collectively</w:t>
      </w:r>
      <w:r w:rsidR="00690113">
        <w:rPr>
          <w:rFonts w:eastAsia="Calibri"/>
          <w:szCs w:val="22"/>
        </w:rPr>
        <w:t>,</w:t>
      </w:r>
      <w:r w:rsidRPr="00AB7E14" w:rsidR="00AB7E14">
        <w:rPr>
          <w:rFonts w:eastAsia="Calibri"/>
          <w:szCs w:val="22"/>
        </w:rPr>
        <w:t xml:space="preserve"> are herein referred to as</w:t>
      </w:r>
      <w:r w:rsidR="00690113">
        <w:rPr>
          <w:rFonts w:eastAsia="Calibri"/>
          <w:szCs w:val="22"/>
        </w:rPr>
        <w:t>,</w:t>
      </w:r>
      <w:r w:rsidRPr="00AB7E14" w:rsidR="00AB7E14">
        <w:rPr>
          <w:rFonts w:eastAsia="Calibri"/>
          <w:szCs w:val="22"/>
        </w:rPr>
        <w:t xml:space="preserve"> Applicants).</w:t>
      </w:r>
      <w:r>
        <w:rPr>
          <w:rFonts w:eastAsia="Calibri"/>
          <w:szCs w:val="22"/>
          <w:vertAlign w:val="superscript"/>
        </w:rPr>
        <w:footnoteReference w:id="3"/>
      </w:r>
      <w:r w:rsidRPr="00AB7E14" w:rsidR="00AB7E14">
        <w:rPr>
          <w:rFonts w:eastAsia="Calibri"/>
          <w:szCs w:val="22"/>
        </w:rPr>
        <w:t xml:space="preserve">  Specifically, </w:t>
      </w:r>
      <w:r w:rsidR="007B075E">
        <w:rPr>
          <w:rFonts w:eastAsia="Calibri"/>
          <w:szCs w:val="22"/>
        </w:rPr>
        <w:t>the Applica</w:t>
      </w:r>
      <w:r w:rsidR="00B017B8">
        <w:rPr>
          <w:rFonts w:eastAsia="Calibri"/>
          <w:szCs w:val="22"/>
        </w:rPr>
        <w:t>nt</w:t>
      </w:r>
      <w:r w:rsidR="007B075E">
        <w:rPr>
          <w:rFonts w:eastAsia="Calibri"/>
          <w:szCs w:val="22"/>
        </w:rPr>
        <w:t>s request</w:t>
      </w:r>
      <w:r w:rsidRPr="00AB7E14" w:rsidR="00AB7E14">
        <w:rPr>
          <w:rFonts w:eastAsia="Calibri"/>
          <w:szCs w:val="22"/>
        </w:rPr>
        <w:t xml:space="preserve"> </w:t>
      </w:r>
      <w:r w:rsidR="00171D9A">
        <w:rPr>
          <w:rFonts w:eastAsia="Calibri"/>
          <w:szCs w:val="22"/>
        </w:rPr>
        <w:t xml:space="preserve">consent to </w:t>
      </w:r>
      <w:r w:rsidRPr="00AB7E14" w:rsidR="00AB7E14">
        <w:rPr>
          <w:rFonts w:eastAsia="Calibri"/>
          <w:szCs w:val="22"/>
        </w:rPr>
        <w:t>the</w:t>
      </w:r>
      <w:r w:rsidR="000E0B55">
        <w:rPr>
          <w:rFonts w:eastAsia="Calibri"/>
          <w:szCs w:val="22"/>
        </w:rPr>
        <w:t xml:space="preserve"> transfer of control and pro forma</w:t>
      </w:r>
      <w:r w:rsidRPr="00AB7E14" w:rsidR="00AB7E14">
        <w:rPr>
          <w:rFonts w:eastAsia="Calibri"/>
          <w:szCs w:val="22"/>
        </w:rPr>
        <w:t xml:space="preserve"> assignment of the television licenses listed in </w:t>
      </w:r>
      <w:r w:rsidR="003A3B36">
        <w:rPr>
          <w:rFonts w:eastAsia="Calibri"/>
          <w:szCs w:val="22"/>
        </w:rPr>
        <w:t xml:space="preserve">the </w:t>
      </w:r>
      <w:r w:rsidRPr="00AB7E14" w:rsidR="00AB7E14">
        <w:rPr>
          <w:rFonts w:eastAsia="Calibri"/>
          <w:szCs w:val="22"/>
        </w:rPr>
        <w:t>Attachment</w:t>
      </w:r>
      <w:r w:rsidR="008520B0">
        <w:rPr>
          <w:rFonts w:eastAsia="Calibri"/>
          <w:szCs w:val="22"/>
        </w:rPr>
        <w:t xml:space="preserve"> (Station Licenses)</w:t>
      </w:r>
      <w:r w:rsidRPr="00AB7E14" w:rsidR="00AB7E14">
        <w:rPr>
          <w:rFonts w:eastAsia="Calibri"/>
          <w:szCs w:val="22"/>
        </w:rPr>
        <w:t xml:space="preserve"> </w:t>
      </w:r>
      <w:r w:rsidR="00E149E1">
        <w:rPr>
          <w:rFonts w:eastAsia="Calibri"/>
          <w:szCs w:val="22"/>
        </w:rPr>
        <w:t>to Gray Television Licensee, LLC</w:t>
      </w:r>
      <w:r w:rsidR="0003585A">
        <w:rPr>
          <w:rFonts w:eastAsia="Calibri"/>
          <w:szCs w:val="22"/>
        </w:rPr>
        <w:t>, an indirect, wholly-owned subsidiary of Gray</w:t>
      </w:r>
      <w:r w:rsidR="00E149E1">
        <w:rPr>
          <w:rFonts w:eastAsia="Calibri"/>
          <w:szCs w:val="22"/>
        </w:rPr>
        <w:t>.</w:t>
      </w:r>
      <w:r>
        <w:rPr>
          <w:rStyle w:val="FootnoteReference"/>
          <w:rFonts w:eastAsia="Calibri"/>
          <w:szCs w:val="22"/>
        </w:rPr>
        <w:footnoteReference w:id="4"/>
      </w:r>
      <w:r w:rsidR="00E149E1">
        <w:rPr>
          <w:rFonts w:eastAsia="Calibri"/>
          <w:szCs w:val="22"/>
        </w:rPr>
        <w:t xml:space="preserve">  The </w:t>
      </w:r>
      <w:r w:rsidR="00C11DA9">
        <w:rPr>
          <w:rFonts w:eastAsia="Calibri"/>
          <w:szCs w:val="22"/>
        </w:rPr>
        <w:t>Station L</w:t>
      </w:r>
      <w:r w:rsidR="00E149E1">
        <w:rPr>
          <w:rFonts w:eastAsia="Calibri"/>
          <w:szCs w:val="22"/>
        </w:rPr>
        <w:t>icenses</w:t>
      </w:r>
      <w:r w:rsidRPr="00AB7E14" w:rsidR="00E149E1">
        <w:rPr>
          <w:rFonts w:eastAsia="Calibri"/>
          <w:szCs w:val="22"/>
        </w:rPr>
        <w:t xml:space="preserve"> </w:t>
      </w:r>
      <w:r w:rsidRPr="00AB7E14" w:rsidR="00AB7E14">
        <w:rPr>
          <w:rFonts w:eastAsia="Calibri"/>
          <w:szCs w:val="22"/>
        </w:rPr>
        <w:t xml:space="preserve">are currently held directly by Meredith or </w:t>
      </w:r>
      <w:r w:rsidR="00C25ED5">
        <w:rPr>
          <w:rFonts w:eastAsia="Calibri"/>
          <w:szCs w:val="22"/>
        </w:rPr>
        <w:t xml:space="preserve">one of </w:t>
      </w:r>
      <w:r w:rsidRPr="00AB7E14" w:rsidR="00AB7E14">
        <w:rPr>
          <w:rFonts w:eastAsia="Calibri"/>
          <w:szCs w:val="22"/>
        </w:rPr>
        <w:t xml:space="preserve">three wholly-owned </w:t>
      </w:r>
      <w:r w:rsidR="00E36F5B">
        <w:rPr>
          <w:rFonts w:eastAsia="Calibri"/>
          <w:szCs w:val="22"/>
        </w:rPr>
        <w:t xml:space="preserve">Meredith </w:t>
      </w:r>
      <w:r w:rsidRPr="00AB7E14" w:rsidR="00AB7E14">
        <w:rPr>
          <w:rFonts w:eastAsia="Calibri"/>
          <w:szCs w:val="22"/>
        </w:rPr>
        <w:t>subsidiaries: KVVU Broadcasting Corporation</w:t>
      </w:r>
      <w:r w:rsidR="00171D9A">
        <w:rPr>
          <w:rFonts w:eastAsia="Calibri"/>
          <w:szCs w:val="22"/>
        </w:rPr>
        <w:t>,</w:t>
      </w:r>
      <w:r w:rsidRPr="00AB7E14" w:rsidR="00AB7E14">
        <w:rPr>
          <w:rFonts w:eastAsia="Calibri"/>
          <w:szCs w:val="22"/>
        </w:rPr>
        <w:t xml:space="preserve"> KPHO Broadcasting Corporation</w:t>
      </w:r>
      <w:r w:rsidR="00171D9A">
        <w:rPr>
          <w:rFonts w:eastAsia="Calibri"/>
          <w:szCs w:val="22"/>
        </w:rPr>
        <w:t>,</w:t>
      </w:r>
      <w:r w:rsidRPr="00AB7E14" w:rsidR="00AB7E14">
        <w:rPr>
          <w:rFonts w:eastAsia="Calibri"/>
          <w:szCs w:val="22"/>
        </w:rPr>
        <w:t xml:space="preserve"> and KPTV-KPDX Broadcasting Corporation.</w:t>
      </w:r>
      <w:r>
        <w:rPr>
          <w:rStyle w:val="FootnoteReference"/>
          <w:rFonts w:eastAsia="Calibri"/>
          <w:szCs w:val="22"/>
        </w:rPr>
        <w:footnoteReference w:id="5"/>
      </w:r>
      <w:r w:rsidRPr="00AB7E14" w:rsidR="00AB7E14">
        <w:rPr>
          <w:rFonts w:eastAsia="Calibri"/>
          <w:szCs w:val="22"/>
        </w:rPr>
        <w:t xml:space="preserve">  </w:t>
      </w:r>
      <w:r w:rsidR="00D423AC">
        <w:rPr>
          <w:rFonts w:eastAsia="Calibri"/>
          <w:szCs w:val="22"/>
        </w:rPr>
        <w:t xml:space="preserve">Two commenters have </w:t>
      </w:r>
      <w:r w:rsidR="007435B6">
        <w:rPr>
          <w:rFonts w:eastAsia="Calibri"/>
          <w:szCs w:val="22"/>
        </w:rPr>
        <w:t xml:space="preserve">filed </w:t>
      </w:r>
      <w:r w:rsidR="00A53623">
        <w:rPr>
          <w:rFonts w:eastAsia="Calibri"/>
          <w:szCs w:val="22"/>
        </w:rPr>
        <w:t xml:space="preserve">informal </w:t>
      </w:r>
      <w:r w:rsidR="007435B6">
        <w:rPr>
          <w:rFonts w:eastAsia="Calibri"/>
          <w:szCs w:val="22"/>
        </w:rPr>
        <w:t>objections to the Transaction</w:t>
      </w:r>
      <w:r w:rsidRPr="00783021" w:rsidR="00783021">
        <w:rPr>
          <w:spacing w:val="-2"/>
          <w:szCs w:val="22"/>
        </w:rPr>
        <w:t>.</w:t>
      </w:r>
      <w:bookmarkStart w:id="1" w:name="_Ref532206807"/>
      <w:r>
        <w:rPr>
          <w:spacing w:val="-2"/>
          <w:szCs w:val="22"/>
          <w:vertAlign w:val="superscript"/>
        </w:rPr>
        <w:footnoteReference w:id="6"/>
      </w:r>
      <w:bookmarkEnd w:id="1"/>
      <w:r w:rsidR="0072637F">
        <w:rPr>
          <w:spacing w:val="-2"/>
          <w:szCs w:val="22"/>
        </w:rPr>
        <w:t xml:space="preserve">  </w:t>
      </w:r>
      <w:r w:rsidR="00F01E41">
        <w:rPr>
          <w:spacing w:val="-2"/>
          <w:szCs w:val="22"/>
        </w:rPr>
        <w:t xml:space="preserve">For the reasons set </w:t>
      </w:r>
      <w:r w:rsidR="00F01E41">
        <w:rPr>
          <w:spacing w:val="-2"/>
          <w:szCs w:val="22"/>
        </w:rPr>
        <w:t>forth below,</w:t>
      </w:r>
      <w:r w:rsidR="00944308">
        <w:rPr>
          <w:spacing w:val="-2"/>
          <w:szCs w:val="22"/>
        </w:rPr>
        <w:t xml:space="preserve"> we find that the </w:t>
      </w:r>
      <w:r w:rsidR="00AC17AD">
        <w:rPr>
          <w:spacing w:val="-2"/>
          <w:szCs w:val="22"/>
        </w:rPr>
        <w:t>informal objections</w:t>
      </w:r>
      <w:r w:rsidR="00C970A1">
        <w:rPr>
          <w:spacing w:val="-2"/>
          <w:szCs w:val="22"/>
        </w:rPr>
        <w:t xml:space="preserve"> are </w:t>
      </w:r>
      <w:r w:rsidR="00411619">
        <w:rPr>
          <w:spacing w:val="-2"/>
          <w:szCs w:val="22"/>
        </w:rPr>
        <w:t xml:space="preserve">without merit and </w:t>
      </w:r>
      <w:r w:rsidR="00785FB9">
        <w:rPr>
          <w:spacing w:val="-2"/>
          <w:szCs w:val="22"/>
        </w:rPr>
        <w:t>that grant of the Applications would serve the public interest, convenience, and necessity.</w:t>
      </w:r>
      <w:r>
        <w:rPr>
          <w:rStyle w:val="FootnoteReference"/>
          <w:spacing w:val="-2"/>
          <w:szCs w:val="22"/>
        </w:rPr>
        <w:footnoteReference w:id="7"/>
      </w:r>
    </w:p>
    <w:p w:rsidR="00E9283F" w:rsidP="00B4125F" w14:paraId="10F7F382" w14:textId="6A4C9D8D">
      <w:pPr>
        <w:pStyle w:val="ParaNum"/>
        <w:ind w:firstLine="720"/>
        <w:rPr>
          <w:rFonts w:eastAsia="Calibri"/>
          <w:szCs w:val="22"/>
        </w:rPr>
      </w:pPr>
      <w:r w:rsidRPr="00494CA9">
        <w:rPr>
          <w:rFonts w:eastAsia="Calibri"/>
          <w:i/>
          <w:iCs/>
          <w:szCs w:val="22"/>
        </w:rPr>
        <w:t>Transaction</w:t>
      </w:r>
      <w:r w:rsidRPr="00494CA9">
        <w:rPr>
          <w:i/>
          <w:iCs/>
          <w:szCs w:val="22"/>
        </w:rPr>
        <w:t>.</w:t>
      </w:r>
      <w:r w:rsidR="00C06C55">
        <w:rPr>
          <w:i/>
          <w:iCs/>
          <w:szCs w:val="22"/>
        </w:rPr>
        <w:t xml:space="preserve">  </w:t>
      </w:r>
      <w:r w:rsidR="00545647">
        <w:rPr>
          <w:szCs w:val="22"/>
        </w:rPr>
        <w:t>Pursuant to a</w:t>
      </w:r>
      <w:r w:rsidR="006115DF">
        <w:rPr>
          <w:szCs w:val="22"/>
        </w:rPr>
        <w:t xml:space="preserve">n Agreement and Plan of Merger, </w:t>
      </w:r>
      <w:r w:rsidR="00EF6753">
        <w:rPr>
          <w:szCs w:val="22"/>
        </w:rPr>
        <w:t>dated May 3, 2021</w:t>
      </w:r>
      <w:r w:rsidR="00C91441">
        <w:rPr>
          <w:szCs w:val="22"/>
        </w:rPr>
        <w:t xml:space="preserve"> (</w:t>
      </w:r>
      <w:r w:rsidR="00EF6753">
        <w:rPr>
          <w:szCs w:val="22"/>
        </w:rPr>
        <w:t xml:space="preserve">amended </w:t>
      </w:r>
      <w:r w:rsidR="00CB25DA">
        <w:rPr>
          <w:szCs w:val="22"/>
        </w:rPr>
        <w:t>June 2, 2021</w:t>
      </w:r>
      <w:r w:rsidR="00C91441">
        <w:rPr>
          <w:szCs w:val="22"/>
        </w:rPr>
        <w:t>)</w:t>
      </w:r>
      <w:r w:rsidR="00CB25DA">
        <w:rPr>
          <w:szCs w:val="22"/>
        </w:rPr>
        <w:t xml:space="preserve"> </w:t>
      </w:r>
      <w:r w:rsidR="00BB0C07">
        <w:rPr>
          <w:rFonts w:eastAsia="Calibri"/>
          <w:snapToGrid/>
          <w:kern w:val="0"/>
          <w:szCs w:val="22"/>
        </w:rPr>
        <w:t>Gra</w:t>
      </w:r>
      <w:r w:rsidR="006F4401">
        <w:rPr>
          <w:rFonts w:eastAsia="Calibri"/>
          <w:snapToGrid/>
          <w:kern w:val="0"/>
          <w:szCs w:val="22"/>
        </w:rPr>
        <w:t>y seeks to</w:t>
      </w:r>
      <w:r w:rsidR="00BB0C07">
        <w:rPr>
          <w:rFonts w:eastAsia="Calibri"/>
          <w:snapToGrid/>
          <w:kern w:val="0"/>
          <w:szCs w:val="22"/>
        </w:rPr>
        <w:t xml:space="preserve"> acquir</w:t>
      </w:r>
      <w:r w:rsidR="00D05F41">
        <w:rPr>
          <w:rFonts w:eastAsia="Calibri"/>
          <w:snapToGrid/>
          <w:kern w:val="0"/>
          <w:szCs w:val="22"/>
        </w:rPr>
        <w:t>e</w:t>
      </w:r>
      <w:r w:rsidR="00BB0C07">
        <w:rPr>
          <w:rFonts w:eastAsia="Calibri"/>
          <w:snapToGrid/>
          <w:kern w:val="0"/>
          <w:szCs w:val="22"/>
        </w:rPr>
        <w:t xml:space="preserve"> Meredith’s entire broadcast television portfolio</w:t>
      </w:r>
      <w:r w:rsidR="00B84BF1">
        <w:rPr>
          <w:rFonts w:eastAsia="Calibri"/>
          <w:snapToGrid/>
          <w:kern w:val="0"/>
          <w:szCs w:val="22"/>
        </w:rPr>
        <w:t>,</w:t>
      </w:r>
      <w:r w:rsidR="00BB0C07">
        <w:rPr>
          <w:rFonts w:eastAsia="Calibri"/>
          <w:snapToGrid/>
          <w:kern w:val="0"/>
          <w:szCs w:val="22"/>
        </w:rPr>
        <w:t xml:space="preserve"> which includes 16 full-power television stations in 12 markets</w:t>
      </w:r>
      <w:r w:rsidR="00B84BF1">
        <w:rPr>
          <w:rFonts w:eastAsia="Calibri"/>
          <w:snapToGrid/>
          <w:kern w:val="0"/>
          <w:szCs w:val="22"/>
        </w:rPr>
        <w:t>,</w:t>
      </w:r>
      <w:r w:rsidR="002253C9">
        <w:rPr>
          <w:rFonts w:eastAsia="Calibri"/>
          <w:snapToGrid/>
          <w:kern w:val="0"/>
          <w:szCs w:val="22"/>
        </w:rPr>
        <w:t xml:space="preserve"> for more than $2.8 billion</w:t>
      </w:r>
      <w:r w:rsidR="00BB0C07">
        <w:rPr>
          <w:rFonts w:eastAsia="Calibri"/>
          <w:snapToGrid/>
          <w:kern w:val="0"/>
          <w:szCs w:val="22"/>
        </w:rPr>
        <w:t>.</w:t>
      </w:r>
      <w:r>
        <w:rPr>
          <w:rStyle w:val="FootnoteReference"/>
          <w:rFonts w:eastAsia="Calibri"/>
          <w:snapToGrid/>
          <w:kern w:val="0"/>
          <w:szCs w:val="22"/>
        </w:rPr>
        <w:footnoteReference w:id="8"/>
      </w:r>
      <w:r w:rsidR="00043181">
        <w:rPr>
          <w:rFonts w:eastAsia="Calibri"/>
          <w:snapToGrid/>
          <w:kern w:val="0"/>
          <w:szCs w:val="22"/>
        </w:rPr>
        <w:t xml:space="preserve">  </w:t>
      </w:r>
      <w:r w:rsidR="0063227D">
        <w:rPr>
          <w:rFonts w:eastAsia="Calibri"/>
          <w:snapToGrid/>
          <w:kern w:val="0"/>
          <w:szCs w:val="22"/>
        </w:rPr>
        <w:t>Gray has divested a top-four television station</w:t>
      </w:r>
      <w:r w:rsidR="007A119F">
        <w:rPr>
          <w:rFonts w:eastAsia="Calibri"/>
          <w:snapToGrid/>
          <w:kern w:val="0"/>
          <w:szCs w:val="22"/>
        </w:rPr>
        <w:t xml:space="preserve"> (WJRT Divestiture)</w:t>
      </w:r>
      <w:r w:rsidR="0063227D">
        <w:rPr>
          <w:rFonts w:eastAsia="Calibri"/>
          <w:snapToGrid/>
          <w:kern w:val="0"/>
          <w:szCs w:val="22"/>
        </w:rPr>
        <w:t xml:space="preserve"> </w:t>
      </w:r>
      <w:r w:rsidR="002C1C65">
        <w:rPr>
          <w:rFonts w:eastAsia="Calibri"/>
          <w:snapToGrid/>
          <w:kern w:val="0"/>
          <w:szCs w:val="22"/>
        </w:rPr>
        <w:t>in</w:t>
      </w:r>
      <w:r w:rsidR="00602323">
        <w:rPr>
          <w:rFonts w:eastAsia="Calibri"/>
          <w:snapToGrid/>
          <w:kern w:val="0"/>
          <w:szCs w:val="22"/>
        </w:rPr>
        <w:t xml:space="preserve"> the </w:t>
      </w:r>
      <w:r w:rsidR="007D5907">
        <w:rPr>
          <w:rFonts w:eastAsia="Calibri"/>
          <w:snapToGrid/>
          <w:kern w:val="0"/>
          <w:szCs w:val="22"/>
        </w:rPr>
        <w:t xml:space="preserve">Flint-Saginaw-Bay City, Michigan </w:t>
      </w:r>
      <w:r w:rsidRPr="00F0108D" w:rsidR="00F0108D">
        <w:rPr>
          <w:rFonts w:eastAsia="Calibri"/>
          <w:snapToGrid/>
          <w:kern w:val="0"/>
          <w:szCs w:val="22"/>
        </w:rPr>
        <w:t>Nielson Designated Market Area (DMA)</w:t>
      </w:r>
      <w:r w:rsidR="00086E1B">
        <w:rPr>
          <w:rFonts w:eastAsia="Calibri"/>
          <w:snapToGrid/>
          <w:kern w:val="0"/>
          <w:szCs w:val="22"/>
        </w:rPr>
        <w:t>.</w:t>
      </w:r>
      <w:r>
        <w:rPr>
          <w:rFonts w:eastAsia="Calibri"/>
          <w:szCs w:val="22"/>
          <w:vertAlign w:val="superscript"/>
        </w:rPr>
        <w:footnoteReference w:id="9"/>
      </w:r>
      <w:r w:rsidR="00306C6E">
        <w:rPr>
          <w:rFonts w:eastAsia="Calibri"/>
          <w:snapToGrid/>
          <w:kern w:val="0"/>
          <w:szCs w:val="22"/>
        </w:rPr>
        <w:t xml:space="preserve">  </w:t>
      </w:r>
      <w:r w:rsidR="00342514">
        <w:rPr>
          <w:rFonts w:eastAsia="Calibri"/>
          <w:snapToGrid/>
          <w:kern w:val="0"/>
          <w:szCs w:val="22"/>
        </w:rPr>
        <w:t>The</w:t>
      </w:r>
      <w:r w:rsidR="00306C6E">
        <w:rPr>
          <w:rFonts w:eastAsia="Calibri"/>
          <w:snapToGrid/>
          <w:kern w:val="0"/>
          <w:szCs w:val="22"/>
        </w:rPr>
        <w:t xml:space="preserve"> Applicants represent that</w:t>
      </w:r>
      <w:r w:rsidR="00342514">
        <w:rPr>
          <w:rFonts w:eastAsia="Calibri"/>
          <w:snapToGrid/>
          <w:kern w:val="0"/>
          <w:szCs w:val="22"/>
        </w:rPr>
        <w:t xml:space="preserve"> </w:t>
      </w:r>
      <w:r w:rsidR="008E4A5B">
        <w:rPr>
          <w:rFonts w:eastAsia="Calibri"/>
          <w:snapToGrid/>
          <w:kern w:val="0"/>
          <w:szCs w:val="22"/>
        </w:rPr>
        <w:t>following</w:t>
      </w:r>
      <w:r w:rsidR="00342514">
        <w:rPr>
          <w:rFonts w:eastAsia="Calibri"/>
          <w:snapToGrid/>
          <w:kern w:val="0"/>
          <w:szCs w:val="22"/>
        </w:rPr>
        <w:t xml:space="preserve"> the </w:t>
      </w:r>
      <w:r w:rsidR="004102DD">
        <w:rPr>
          <w:rFonts w:eastAsia="Calibri"/>
          <w:snapToGrid/>
          <w:kern w:val="0"/>
          <w:szCs w:val="22"/>
        </w:rPr>
        <w:t>WJRT Divestiture</w:t>
      </w:r>
      <w:r w:rsidR="00306C6E">
        <w:rPr>
          <w:rFonts w:eastAsia="Calibri"/>
          <w:snapToGrid/>
          <w:kern w:val="0"/>
          <w:szCs w:val="22"/>
        </w:rPr>
        <w:t xml:space="preserve"> </w:t>
      </w:r>
      <w:r w:rsidR="00B84BF1">
        <w:rPr>
          <w:rFonts w:eastAsia="Calibri"/>
          <w:snapToGrid/>
          <w:kern w:val="0"/>
          <w:szCs w:val="22"/>
        </w:rPr>
        <w:t>there are no other DMAs in which</w:t>
      </w:r>
      <w:r w:rsidR="00306C6E">
        <w:rPr>
          <w:rFonts w:eastAsia="Calibri"/>
          <w:snapToGrid/>
          <w:kern w:val="0"/>
          <w:szCs w:val="22"/>
        </w:rPr>
        <w:t xml:space="preserve"> Gray</w:t>
      </w:r>
      <w:r w:rsidR="00B84BF1">
        <w:rPr>
          <w:rFonts w:eastAsia="Calibri"/>
          <w:snapToGrid/>
          <w:kern w:val="0"/>
          <w:szCs w:val="22"/>
        </w:rPr>
        <w:t xml:space="preserve"> and </w:t>
      </w:r>
      <w:r w:rsidR="00306C6E">
        <w:rPr>
          <w:rFonts w:eastAsia="Calibri"/>
          <w:snapToGrid/>
          <w:kern w:val="0"/>
          <w:szCs w:val="22"/>
        </w:rPr>
        <w:t xml:space="preserve">Meredith </w:t>
      </w:r>
      <w:r w:rsidR="00B84BF1">
        <w:rPr>
          <w:rFonts w:eastAsia="Calibri"/>
          <w:snapToGrid/>
          <w:kern w:val="0"/>
          <w:szCs w:val="22"/>
        </w:rPr>
        <w:t>both own television stations;</w:t>
      </w:r>
      <w:r w:rsidR="00881096">
        <w:rPr>
          <w:rFonts w:eastAsia="Calibri"/>
          <w:snapToGrid/>
          <w:kern w:val="0"/>
          <w:szCs w:val="22"/>
        </w:rPr>
        <w:t xml:space="preserve"> the Transaction will not result in the creation of any new duopolies</w:t>
      </w:r>
      <w:r w:rsidR="00B1407A">
        <w:rPr>
          <w:rFonts w:eastAsia="Calibri"/>
          <w:snapToGrid/>
          <w:kern w:val="0"/>
          <w:szCs w:val="22"/>
        </w:rPr>
        <w:t>;</w:t>
      </w:r>
      <w:r w:rsidR="00881096">
        <w:rPr>
          <w:rFonts w:eastAsia="Calibri"/>
          <w:snapToGrid/>
          <w:kern w:val="0"/>
          <w:szCs w:val="22"/>
        </w:rPr>
        <w:t xml:space="preserve"> and the Transaction is in compliance with the Commission’s Local Television Ownership Rule.</w:t>
      </w:r>
      <w:r>
        <w:rPr>
          <w:rStyle w:val="FootnoteReference"/>
          <w:rFonts w:eastAsia="Calibri"/>
          <w:snapToGrid/>
          <w:kern w:val="0"/>
          <w:szCs w:val="22"/>
        </w:rPr>
        <w:footnoteReference w:id="10"/>
      </w:r>
      <w:r w:rsidR="00881096">
        <w:rPr>
          <w:rFonts w:eastAsia="Calibri"/>
          <w:snapToGrid/>
          <w:kern w:val="0"/>
          <w:szCs w:val="22"/>
        </w:rPr>
        <w:t xml:space="preserve"> </w:t>
      </w:r>
      <w:r w:rsidRPr="00F76131" w:rsidR="002C1C65">
        <w:rPr>
          <w:rFonts w:eastAsia="Calibri"/>
          <w:szCs w:val="22"/>
        </w:rPr>
        <w:t xml:space="preserve"> </w:t>
      </w:r>
      <w:r w:rsidR="00B6065F">
        <w:rPr>
          <w:rFonts w:eastAsia="Calibri"/>
          <w:snapToGrid/>
          <w:kern w:val="0"/>
          <w:szCs w:val="22"/>
        </w:rPr>
        <w:t xml:space="preserve">After consummation of the proposed Transaction, Gray </w:t>
      </w:r>
      <w:r w:rsidR="004045EE">
        <w:rPr>
          <w:rFonts w:eastAsia="Calibri"/>
          <w:snapToGrid/>
          <w:kern w:val="0"/>
          <w:szCs w:val="22"/>
        </w:rPr>
        <w:t>w</w:t>
      </w:r>
      <w:r w:rsidR="00722953">
        <w:rPr>
          <w:rFonts w:eastAsia="Calibri"/>
          <w:snapToGrid/>
          <w:kern w:val="0"/>
          <w:szCs w:val="22"/>
        </w:rPr>
        <w:t>ill</w:t>
      </w:r>
      <w:r w:rsidR="004045EE">
        <w:rPr>
          <w:rFonts w:eastAsia="Calibri"/>
          <w:snapToGrid/>
          <w:kern w:val="0"/>
          <w:szCs w:val="22"/>
        </w:rPr>
        <w:t xml:space="preserve"> have a national audience reach of just </w:t>
      </w:r>
      <w:r w:rsidR="0024005D">
        <w:rPr>
          <w:rFonts w:eastAsia="Calibri"/>
          <w:snapToGrid/>
          <w:kern w:val="0"/>
          <w:szCs w:val="22"/>
        </w:rPr>
        <w:t>under</w:t>
      </w:r>
      <w:r w:rsidR="004045EE">
        <w:rPr>
          <w:rFonts w:eastAsia="Calibri"/>
          <w:snapToGrid/>
          <w:kern w:val="0"/>
          <w:szCs w:val="22"/>
        </w:rPr>
        <w:t xml:space="preserve"> 25</w:t>
      </w:r>
      <w:r w:rsidR="00566469">
        <w:rPr>
          <w:rFonts w:eastAsia="Calibri"/>
          <w:snapToGrid/>
          <w:kern w:val="0"/>
          <w:szCs w:val="22"/>
        </w:rPr>
        <w:t xml:space="preserve"> percent</w:t>
      </w:r>
      <w:r w:rsidR="00334722">
        <w:rPr>
          <w:rFonts w:eastAsia="Calibri"/>
          <w:snapToGrid/>
          <w:kern w:val="0"/>
          <w:szCs w:val="22"/>
        </w:rPr>
        <w:t xml:space="preserve">—below </w:t>
      </w:r>
      <w:r w:rsidR="003F7E83">
        <w:rPr>
          <w:rFonts w:eastAsia="Calibri"/>
          <w:snapToGrid/>
          <w:kern w:val="0"/>
          <w:szCs w:val="22"/>
        </w:rPr>
        <w:t>the Commission’s 39</w:t>
      </w:r>
      <w:r w:rsidR="00566469">
        <w:rPr>
          <w:rFonts w:eastAsia="Calibri"/>
          <w:snapToGrid/>
          <w:kern w:val="0"/>
          <w:szCs w:val="22"/>
        </w:rPr>
        <w:t xml:space="preserve"> percent</w:t>
      </w:r>
      <w:r w:rsidR="003F7E83">
        <w:rPr>
          <w:rFonts w:eastAsia="Calibri"/>
          <w:snapToGrid/>
          <w:kern w:val="0"/>
          <w:szCs w:val="22"/>
        </w:rPr>
        <w:t xml:space="preserve"> cap</w:t>
      </w:r>
      <w:r w:rsidRPr="009E67B7" w:rsidR="009E67B7">
        <w:rPr>
          <w:rFonts w:eastAsia="Calibri"/>
          <w:snapToGrid/>
          <w:kern w:val="0"/>
          <w:szCs w:val="22"/>
        </w:rPr>
        <w:t>.</w:t>
      </w:r>
      <w:r>
        <w:rPr>
          <w:rStyle w:val="FootnoteReference"/>
          <w:rFonts w:eastAsia="Calibri"/>
          <w:snapToGrid/>
          <w:kern w:val="0"/>
          <w:szCs w:val="22"/>
        </w:rPr>
        <w:footnoteReference w:id="11"/>
      </w:r>
      <w:r w:rsidR="0058761D">
        <w:rPr>
          <w:rFonts w:eastAsia="Calibri"/>
          <w:snapToGrid/>
          <w:kern w:val="0"/>
          <w:szCs w:val="22"/>
        </w:rPr>
        <w:t xml:space="preserve"> </w:t>
      </w:r>
    </w:p>
    <w:p w:rsidR="008330DC" w:rsidP="006A7507" w14:paraId="18601B59" w14:textId="6C72E6FB">
      <w:pPr>
        <w:pStyle w:val="ParaNum"/>
        <w:widowControl/>
        <w:tabs>
          <w:tab w:val="num" w:pos="1440"/>
        </w:tabs>
        <w:ind w:firstLine="720"/>
      </w:pPr>
      <w:bookmarkStart w:id="2" w:name="_Hlk84000003"/>
      <w:r>
        <w:rPr>
          <w:i/>
          <w:iCs/>
          <w:szCs w:val="22"/>
        </w:rPr>
        <w:t>Local Television Ownership Rule</w:t>
      </w:r>
      <w:bookmarkEnd w:id="2"/>
      <w:r>
        <w:rPr>
          <w:i/>
          <w:iCs/>
          <w:szCs w:val="22"/>
        </w:rPr>
        <w:t xml:space="preserve">.  </w:t>
      </w:r>
      <w:r w:rsidRPr="00645FB7">
        <w:rPr>
          <w:szCs w:val="22"/>
        </w:rPr>
        <w:t xml:space="preserve">The Commission’s </w:t>
      </w:r>
      <w:r w:rsidRPr="00645FB7">
        <w:rPr>
          <w:color w:val="000000"/>
          <w:szCs w:val="22"/>
        </w:rPr>
        <w:t>Local Television Ownership Rule</w:t>
      </w:r>
      <w:r w:rsidRPr="00645FB7">
        <w:rPr>
          <w:szCs w:val="22"/>
        </w:rPr>
        <w:t xml:space="preserve"> </w:t>
      </w:r>
      <w:r w:rsidRPr="00645FB7">
        <w:rPr>
          <w:color w:val="000000"/>
          <w:szCs w:val="22"/>
        </w:rPr>
        <w:t>allows an entity to own two television stations licensed in the same DMA if:</w:t>
      </w:r>
      <w:r>
        <w:rPr>
          <w:color w:val="000000"/>
          <w:szCs w:val="22"/>
        </w:rPr>
        <w:t xml:space="preserve"> </w:t>
      </w:r>
      <w:r w:rsidRPr="00645FB7">
        <w:rPr>
          <w:color w:val="000000"/>
          <w:szCs w:val="22"/>
        </w:rPr>
        <w:t xml:space="preserve"> (1) the digital noise limited service contours of the stations (</w:t>
      </w:r>
      <w:r w:rsidR="006B5C71">
        <w:rPr>
          <w:color w:val="000000"/>
          <w:szCs w:val="22"/>
        </w:rPr>
        <w:t>calculated pursuant to</w:t>
      </w:r>
      <w:r w:rsidRPr="00645FB7">
        <w:rPr>
          <w:color w:val="000000"/>
          <w:szCs w:val="22"/>
        </w:rPr>
        <w:t xml:space="preserve"> </w:t>
      </w:r>
      <w:r>
        <w:rPr>
          <w:color w:val="000000"/>
          <w:szCs w:val="22"/>
        </w:rPr>
        <w:t>s</w:t>
      </w:r>
      <w:r w:rsidRPr="00645FB7">
        <w:rPr>
          <w:color w:val="000000"/>
          <w:szCs w:val="22"/>
        </w:rPr>
        <w:t>ection 73.622(e) of the Commission’s rules) do not overlap; or (2) at the time the application to acquire or construct the station(s) is filed, at least one of the stations is not ra</w:t>
      </w:r>
      <w:r w:rsidR="009E386D">
        <w:rPr>
          <w:color w:val="000000"/>
          <w:szCs w:val="22"/>
        </w:rPr>
        <w:t>nk</w:t>
      </w:r>
      <w:r w:rsidRPr="00645FB7">
        <w:rPr>
          <w:color w:val="000000"/>
          <w:szCs w:val="22"/>
        </w:rPr>
        <w:t>ed among the top</w:t>
      </w:r>
      <w:r w:rsidR="00473046">
        <w:rPr>
          <w:color w:val="000000"/>
          <w:szCs w:val="22"/>
        </w:rPr>
        <w:t xml:space="preserve"> </w:t>
      </w:r>
      <w:r w:rsidRPr="00645FB7">
        <w:rPr>
          <w:color w:val="000000"/>
          <w:szCs w:val="22"/>
        </w:rPr>
        <w:t xml:space="preserve">four stations in the DMA, based on the most recent all-day (9 a.m.-midnight) audience share, as measured by Nielsen Media Research or </w:t>
      </w:r>
      <w:bookmarkStart w:id="3" w:name="_Hlk84407163"/>
      <w:r w:rsidRPr="00645FB7">
        <w:rPr>
          <w:color w:val="000000"/>
          <w:szCs w:val="22"/>
        </w:rPr>
        <w:t>by any comparable professional, accepted audience ratings service</w:t>
      </w:r>
      <w:bookmarkEnd w:id="3"/>
      <w:r w:rsidRPr="00645FB7">
        <w:rPr>
          <w:color w:val="000000"/>
          <w:szCs w:val="22"/>
        </w:rPr>
        <w:t xml:space="preserve"> (Top-Four Prohibition).</w:t>
      </w:r>
      <w:bookmarkStart w:id="4" w:name="co_fnRef_FN_F13_ID0EQFAC_1"/>
      <w:bookmarkEnd w:id="4"/>
      <w:r>
        <w:rPr>
          <w:sz w:val="20"/>
          <w:szCs w:val="22"/>
          <w:vertAlign w:val="superscript"/>
        </w:rPr>
        <w:footnoteReference w:id="12"/>
      </w:r>
    </w:p>
    <w:p w:rsidR="00355FAC" w:rsidP="00C73C7A" w14:paraId="289869A2" w14:textId="040D2040">
      <w:pPr>
        <w:pStyle w:val="ParaNum"/>
        <w:widowControl/>
        <w:tabs>
          <w:tab w:val="num" w:pos="1440"/>
        </w:tabs>
        <w:ind w:firstLine="720"/>
      </w:pPr>
      <w:r>
        <w:rPr>
          <w:rFonts w:eastAsia="Calibri"/>
          <w:szCs w:val="22"/>
        </w:rPr>
        <w:t>The Applicants state</w:t>
      </w:r>
      <w:r w:rsidRPr="00F76131">
        <w:rPr>
          <w:rFonts w:eastAsia="Calibri"/>
          <w:szCs w:val="22"/>
        </w:rPr>
        <w:t xml:space="preserve"> that the Flint-Saginaw-Bay City</w:t>
      </w:r>
      <w:r>
        <w:rPr>
          <w:rFonts w:eastAsia="Calibri"/>
          <w:szCs w:val="22"/>
        </w:rPr>
        <w:t xml:space="preserve"> </w:t>
      </w:r>
      <w:r w:rsidRPr="00F76131">
        <w:rPr>
          <w:rFonts w:eastAsia="Calibri"/>
          <w:szCs w:val="22"/>
        </w:rPr>
        <w:t xml:space="preserve">DMA is the only market where the </w:t>
      </w:r>
      <w:r w:rsidR="00860CF8">
        <w:rPr>
          <w:rFonts w:eastAsia="Calibri"/>
          <w:szCs w:val="22"/>
        </w:rPr>
        <w:t>acquisition of a same-market</w:t>
      </w:r>
      <w:r w:rsidRPr="00F76131">
        <w:rPr>
          <w:rFonts w:eastAsia="Calibri"/>
          <w:szCs w:val="22"/>
        </w:rPr>
        <w:t xml:space="preserve"> Meredith station would </w:t>
      </w:r>
      <w:r w:rsidR="00CD51BA">
        <w:rPr>
          <w:rFonts w:eastAsia="Calibri"/>
          <w:szCs w:val="22"/>
        </w:rPr>
        <w:t xml:space="preserve">have </w:t>
      </w:r>
      <w:r w:rsidR="00B86C27">
        <w:rPr>
          <w:rFonts w:eastAsia="Calibri"/>
          <w:szCs w:val="22"/>
        </w:rPr>
        <w:t>run afoul of the Commission’s Top-Four Prohibition</w:t>
      </w:r>
      <w:r w:rsidRPr="00F76131">
        <w:rPr>
          <w:rFonts w:eastAsia="Calibri"/>
          <w:szCs w:val="22"/>
        </w:rPr>
        <w:t>.</w:t>
      </w:r>
      <w:r>
        <w:rPr>
          <w:rStyle w:val="FootnoteReference"/>
          <w:rFonts w:eastAsia="Calibri"/>
          <w:szCs w:val="22"/>
        </w:rPr>
        <w:footnoteReference w:id="13"/>
      </w:r>
      <w:r w:rsidRPr="00F76131">
        <w:rPr>
          <w:rFonts w:eastAsia="Calibri"/>
          <w:szCs w:val="22"/>
        </w:rPr>
        <w:t xml:space="preserve">  </w:t>
      </w:r>
      <w:r w:rsidR="00105529">
        <w:rPr>
          <w:rFonts w:eastAsia="Calibri"/>
          <w:szCs w:val="22"/>
        </w:rPr>
        <w:t xml:space="preserve">To maintain compliance with the </w:t>
      </w:r>
      <w:r w:rsidRPr="0091040E" w:rsidR="00105529">
        <w:rPr>
          <w:rFonts w:eastAsia="Calibri"/>
          <w:szCs w:val="22"/>
        </w:rPr>
        <w:t>Local Television Ownership Rule</w:t>
      </w:r>
      <w:r w:rsidR="00722953">
        <w:rPr>
          <w:rFonts w:eastAsia="Calibri"/>
          <w:szCs w:val="22"/>
        </w:rPr>
        <w:t>,</w:t>
      </w:r>
      <w:r w:rsidR="00105529">
        <w:rPr>
          <w:rFonts w:eastAsia="Calibri"/>
          <w:snapToGrid/>
          <w:kern w:val="0"/>
          <w:szCs w:val="22"/>
        </w:rPr>
        <w:t xml:space="preserve"> </w:t>
      </w:r>
      <w:r>
        <w:rPr>
          <w:rFonts w:eastAsia="Calibri"/>
          <w:snapToGrid/>
          <w:kern w:val="0"/>
          <w:szCs w:val="22"/>
        </w:rPr>
        <w:t>Gray divest</w:t>
      </w:r>
      <w:r w:rsidR="005E4CDE">
        <w:rPr>
          <w:rFonts w:eastAsia="Calibri"/>
          <w:snapToGrid/>
          <w:kern w:val="0"/>
          <w:szCs w:val="22"/>
        </w:rPr>
        <w:t>ed</w:t>
      </w:r>
      <w:r>
        <w:rPr>
          <w:rFonts w:eastAsia="Calibri"/>
          <w:snapToGrid/>
          <w:kern w:val="0"/>
          <w:szCs w:val="22"/>
        </w:rPr>
        <w:t xml:space="preserve"> WJRT-TV, Flint, Michigan (WJRT</w:t>
      </w:r>
      <w:r w:rsidR="00105529">
        <w:rPr>
          <w:rFonts w:eastAsia="Calibri"/>
          <w:snapToGrid/>
          <w:kern w:val="0"/>
          <w:szCs w:val="22"/>
        </w:rPr>
        <w:t>)</w:t>
      </w:r>
      <w:r w:rsidR="0042043E">
        <w:rPr>
          <w:rFonts w:eastAsia="Calibri"/>
          <w:snapToGrid/>
          <w:kern w:val="0"/>
          <w:szCs w:val="22"/>
        </w:rPr>
        <w:t xml:space="preserve"> to Allen Media </w:t>
      </w:r>
      <w:r w:rsidR="00B24958">
        <w:rPr>
          <w:rFonts w:eastAsia="Calibri"/>
          <w:snapToGrid/>
          <w:kern w:val="0"/>
          <w:szCs w:val="22"/>
        </w:rPr>
        <w:t>Holdings, LLC</w:t>
      </w:r>
      <w:r w:rsidRPr="00F76131">
        <w:rPr>
          <w:rFonts w:eastAsia="Calibri"/>
          <w:szCs w:val="22"/>
        </w:rPr>
        <w:t>.</w:t>
      </w:r>
      <w:r>
        <w:rPr>
          <w:rFonts w:eastAsia="Calibri"/>
          <w:szCs w:val="22"/>
          <w:vertAlign w:val="superscript"/>
        </w:rPr>
        <w:footnoteReference w:id="14"/>
      </w:r>
      <w:r w:rsidRPr="00F76131">
        <w:rPr>
          <w:rFonts w:eastAsia="Calibri"/>
          <w:szCs w:val="22"/>
        </w:rPr>
        <w:t xml:space="preserve">  After the Transaction, Gray </w:t>
      </w:r>
      <w:r w:rsidR="005C4A6F">
        <w:rPr>
          <w:rFonts w:eastAsia="Calibri"/>
          <w:szCs w:val="22"/>
        </w:rPr>
        <w:t xml:space="preserve">will own and </w:t>
      </w:r>
      <w:r w:rsidR="005C4A6F">
        <w:rPr>
          <w:rFonts w:eastAsia="Calibri"/>
          <w:szCs w:val="22"/>
        </w:rPr>
        <w:t xml:space="preserve">operate WNEM-TV, </w:t>
      </w:r>
      <w:r w:rsidR="00364DA5">
        <w:rPr>
          <w:rFonts w:eastAsia="Calibri"/>
          <w:szCs w:val="22"/>
        </w:rPr>
        <w:t xml:space="preserve">Bay City, Michigan, but </w:t>
      </w:r>
      <w:r w:rsidR="00C24401">
        <w:rPr>
          <w:rFonts w:eastAsia="Calibri"/>
          <w:szCs w:val="22"/>
        </w:rPr>
        <w:t xml:space="preserve">will </w:t>
      </w:r>
      <w:r w:rsidRPr="00F76131">
        <w:rPr>
          <w:rFonts w:eastAsia="Calibri"/>
          <w:szCs w:val="22"/>
        </w:rPr>
        <w:t>not exercise control over, or have any financial interest in or sharing arrangement with, WJRT.</w:t>
      </w:r>
      <w:r>
        <w:rPr>
          <w:rFonts w:eastAsia="Calibri"/>
          <w:szCs w:val="22"/>
          <w:vertAlign w:val="superscript"/>
        </w:rPr>
        <w:footnoteReference w:id="15"/>
      </w:r>
      <w:r w:rsidR="00C450C6">
        <w:rPr>
          <w:rFonts w:eastAsia="Calibri"/>
          <w:szCs w:val="22"/>
        </w:rPr>
        <w:t xml:space="preserve">  </w:t>
      </w:r>
      <w:r w:rsidR="001460FE">
        <w:rPr>
          <w:rFonts w:eastAsia="Calibri"/>
          <w:szCs w:val="22"/>
        </w:rPr>
        <w:t>Apart from the Flint-Sagina</w:t>
      </w:r>
      <w:r w:rsidR="001E5BA8">
        <w:rPr>
          <w:rFonts w:eastAsia="Calibri"/>
          <w:szCs w:val="22"/>
        </w:rPr>
        <w:t>w</w:t>
      </w:r>
      <w:r w:rsidR="001460FE">
        <w:rPr>
          <w:rFonts w:eastAsia="Calibri"/>
          <w:szCs w:val="22"/>
        </w:rPr>
        <w:t>-Bay City DMA</w:t>
      </w:r>
      <w:r w:rsidR="00722953">
        <w:rPr>
          <w:rFonts w:eastAsia="Calibri"/>
          <w:szCs w:val="22"/>
        </w:rPr>
        <w:t>,</w:t>
      </w:r>
      <w:r w:rsidR="001460FE">
        <w:rPr>
          <w:rFonts w:eastAsia="Calibri"/>
          <w:szCs w:val="22"/>
        </w:rPr>
        <w:t xml:space="preserve"> </w:t>
      </w:r>
      <w:r w:rsidR="00722953">
        <w:rPr>
          <w:rFonts w:eastAsia="Calibri"/>
          <w:szCs w:val="22"/>
        </w:rPr>
        <w:t>there are no</w:t>
      </w:r>
      <w:r w:rsidR="001460FE">
        <w:rPr>
          <w:rFonts w:eastAsia="Calibri"/>
          <w:szCs w:val="22"/>
        </w:rPr>
        <w:t xml:space="preserve"> markets </w:t>
      </w:r>
      <w:r w:rsidR="00722953">
        <w:rPr>
          <w:rFonts w:eastAsia="Calibri"/>
          <w:szCs w:val="22"/>
        </w:rPr>
        <w:t>in which both Gray and Meredith own television stations</w:t>
      </w:r>
      <w:r w:rsidR="003A12A5">
        <w:rPr>
          <w:rFonts w:eastAsia="Calibri"/>
          <w:szCs w:val="22"/>
        </w:rPr>
        <w:t xml:space="preserve">.  </w:t>
      </w:r>
      <w:r w:rsidR="001352F0">
        <w:rPr>
          <w:rFonts w:eastAsia="Calibri"/>
          <w:szCs w:val="22"/>
        </w:rPr>
        <w:t xml:space="preserve">However, Gray will </w:t>
      </w:r>
      <w:r w:rsidR="003A158D">
        <w:rPr>
          <w:rFonts w:eastAsia="Calibri"/>
          <w:szCs w:val="22"/>
        </w:rPr>
        <w:t xml:space="preserve">acquire </w:t>
      </w:r>
      <w:r w:rsidR="00B5464E">
        <w:rPr>
          <w:rFonts w:eastAsia="Calibri"/>
          <w:szCs w:val="22"/>
        </w:rPr>
        <w:t>pre</w:t>
      </w:r>
      <w:r w:rsidR="003A158D">
        <w:rPr>
          <w:rFonts w:eastAsia="Calibri"/>
          <w:szCs w:val="22"/>
        </w:rPr>
        <w:t xml:space="preserve">existing, rule-compliant </w:t>
      </w:r>
      <w:r w:rsidR="006067C0">
        <w:rPr>
          <w:rFonts w:eastAsia="Calibri"/>
          <w:szCs w:val="22"/>
        </w:rPr>
        <w:t>combinations</w:t>
      </w:r>
      <w:r w:rsidR="00505F89">
        <w:rPr>
          <w:rFonts w:eastAsia="Calibri"/>
          <w:szCs w:val="22"/>
        </w:rPr>
        <w:t xml:space="preserve"> from Meredith </w:t>
      </w:r>
      <w:r w:rsidR="003C02BD">
        <w:rPr>
          <w:rFonts w:eastAsia="Calibri"/>
          <w:szCs w:val="22"/>
        </w:rPr>
        <w:t>in</w:t>
      </w:r>
      <w:r w:rsidR="00A50756">
        <w:rPr>
          <w:rFonts w:eastAsia="Calibri"/>
          <w:szCs w:val="22"/>
        </w:rPr>
        <w:t xml:space="preserve"> the following </w:t>
      </w:r>
      <w:r w:rsidR="006067C0">
        <w:rPr>
          <w:rFonts w:eastAsia="Calibri"/>
          <w:szCs w:val="22"/>
        </w:rPr>
        <w:t xml:space="preserve">four </w:t>
      </w:r>
      <w:r w:rsidR="00A50756">
        <w:rPr>
          <w:rFonts w:eastAsia="Calibri"/>
          <w:szCs w:val="22"/>
        </w:rPr>
        <w:t>DMAs:  Atlanta, Georgia; Kansas City Missouri</w:t>
      </w:r>
      <w:r w:rsidR="00A85A86">
        <w:rPr>
          <w:rFonts w:eastAsia="Calibri"/>
          <w:szCs w:val="22"/>
        </w:rPr>
        <w:t>;</w:t>
      </w:r>
      <w:r w:rsidR="00CD649C">
        <w:rPr>
          <w:rFonts w:eastAsia="Calibri"/>
          <w:szCs w:val="22"/>
        </w:rPr>
        <w:t xml:space="preserve"> </w:t>
      </w:r>
      <w:r w:rsidR="00A85A86">
        <w:rPr>
          <w:rFonts w:eastAsia="Calibri"/>
          <w:szCs w:val="22"/>
        </w:rPr>
        <w:t>Phoenix, Arizona; and Portland, Oregon.</w:t>
      </w:r>
      <w:r>
        <w:rPr>
          <w:rStyle w:val="FootnoteReference"/>
          <w:rFonts w:eastAsia="Calibri"/>
          <w:szCs w:val="22"/>
        </w:rPr>
        <w:footnoteReference w:id="16"/>
      </w:r>
      <w:r w:rsidR="008C780B">
        <w:rPr>
          <w:rFonts w:eastAsia="Calibri"/>
          <w:szCs w:val="22"/>
        </w:rPr>
        <w:t xml:space="preserve">  </w:t>
      </w:r>
      <w:r w:rsidR="000042C2">
        <w:rPr>
          <w:rFonts w:eastAsia="Calibri"/>
          <w:szCs w:val="22"/>
        </w:rPr>
        <w:t>T</w:t>
      </w:r>
      <w:r w:rsidR="005631F9">
        <w:t xml:space="preserve">he Applications represent that at least one station in each </w:t>
      </w:r>
      <w:r w:rsidR="00186766">
        <w:t xml:space="preserve">of the above four </w:t>
      </w:r>
      <w:r w:rsidR="005631F9">
        <w:t>market</w:t>
      </w:r>
      <w:r w:rsidR="0088041A">
        <w:t>s</w:t>
      </w:r>
      <w:r w:rsidR="005631F9">
        <w:t xml:space="preserve"> is ranked outside of the top four</w:t>
      </w:r>
      <w:r w:rsidR="00417076">
        <w:t>.</w:t>
      </w:r>
      <w:r>
        <w:rPr>
          <w:rStyle w:val="FootnoteReference"/>
        </w:rPr>
        <w:footnoteReference w:id="17"/>
      </w:r>
    </w:p>
    <w:p w:rsidR="00F5778D" w:rsidP="008C780B" w14:paraId="34907F21" w14:textId="4DD12810">
      <w:pPr>
        <w:pStyle w:val="ParaNum"/>
        <w:widowControl/>
        <w:tabs>
          <w:tab w:val="num" w:pos="1440"/>
        </w:tabs>
        <w:ind w:firstLine="720"/>
      </w:pPr>
      <w:bookmarkStart w:id="5" w:name="_Hlk83999977"/>
      <w:r>
        <w:rPr>
          <w:i/>
          <w:iCs/>
        </w:rPr>
        <w:t>National Television Ownership Rule</w:t>
      </w:r>
      <w:bookmarkEnd w:id="5"/>
      <w:r>
        <w:rPr>
          <w:i/>
          <w:iCs/>
        </w:rPr>
        <w:t xml:space="preserve">.  </w:t>
      </w:r>
      <w:r w:rsidRPr="00FE0AC4" w:rsidR="00E729DE">
        <w:t xml:space="preserve">The </w:t>
      </w:r>
      <w:r w:rsidR="00253FC9">
        <w:t>N</w:t>
      </w:r>
      <w:r w:rsidRPr="00FE0AC4" w:rsidR="00E729DE">
        <w:t xml:space="preserve">ational </w:t>
      </w:r>
      <w:r w:rsidR="00253FC9">
        <w:t>T</w:t>
      </w:r>
      <w:r w:rsidRPr="00FE0AC4" w:rsidR="00E729DE">
        <w:t xml:space="preserve">elevision </w:t>
      </w:r>
      <w:r w:rsidR="00253FC9">
        <w:t>O</w:t>
      </w:r>
      <w:r w:rsidRPr="00FE0AC4" w:rsidR="00E729DE">
        <w:t xml:space="preserve">wnership </w:t>
      </w:r>
      <w:r w:rsidR="00253FC9">
        <w:t>R</w:t>
      </w:r>
      <w:r w:rsidRPr="00FE0AC4" w:rsidR="00E729DE">
        <w:t>ule prohibits a single entity from owning television stations that, in the aggregate, reach more than 39 percent of the total television households in the United States</w:t>
      </w:r>
      <w:r w:rsidRPr="00B651F9" w:rsidR="00E729DE">
        <w:t>.</w:t>
      </w:r>
      <w:r>
        <w:rPr>
          <w:rStyle w:val="FootnoteReference"/>
        </w:rPr>
        <w:footnoteReference w:id="18"/>
      </w:r>
      <w:r w:rsidR="00E729DE">
        <w:t xml:space="preserve">  </w:t>
      </w:r>
      <w:r w:rsidRPr="00FE0AC4" w:rsidR="00E729DE">
        <w:t xml:space="preserve">In determining compliance with the 39 percent national audience reach cap, stations broadcasting in the VHF spectrum </w:t>
      </w:r>
      <w:r w:rsidR="00E729DE">
        <w:t xml:space="preserve">are </w:t>
      </w:r>
      <w:r w:rsidRPr="00FE0AC4" w:rsidR="00E729DE">
        <w:t xml:space="preserve">attributed with all television households in their DMAs, while UHF stations </w:t>
      </w:r>
      <w:r w:rsidR="00E729DE">
        <w:t xml:space="preserve">are </w:t>
      </w:r>
      <w:r w:rsidRPr="00FE0AC4" w:rsidR="00E729DE">
        <w:t>attributed with only 50 percent of the house</w:t>
      </w:r>
      <w:r w:rsidR="00E729DE">
        <w:t>holds in their DMAs (</w:t>
      </w:r>
      <w:r w:rsidRPr="00FE0AC4" w:rsidR="00E729DE">
        <w:t xml:space="preserve">UHF </w:t>
      </w:r>
      <w:r w:rsidR="00472EF2">
        <w:t>D</w:t>
      </w:r>
      <w:r w:rsidRPr="00FE0AC4" w:rsidR="00E729DE">
        <w:t>iscount).</w:t>
      </w:r>
      <w:r>
        <w:rPr>
          <w:rStyle w:val="FootnoteReference"/>
        </w:rPr>
        <w:footnoteReference w:id="19"/>
      </w:r>
      <w:r w:rsidR="00E729DE">
        <w:t xml:space="preserve">  </w:t>
      </w:r>
      <w:r>
        <w:t xml:space="preserve">The Applicants submit that </w:t>
      </w:r>
      <w:r w:rsidRPr="00624B0B">
        <w:rPr>
          <w:rFonts w:eastAsia="Calibri"/>
          <w:snapToGrid/>
          <w:color w:val="000000"/>
          <w:kern w:val="0"/>
          <w:szCs w:val="22"/>
        </w:rPr>
        <w:t xml:space="preserve">after consummation of the proposed </w:t>
      </w:r>
      <w:r>
        <w:rPr>
          <w:rFonts w:eastAsia="Calibri"/>
          <w:snapToGrid/>
          <w:color w:val="000000"/>
          <w:kern w:val="0"/>
          <w:szCs w:val="22"/>
        </w:rPr>
        <w:t xml:space="preserve">Transaction, including the WJRT </w:t>
      </w:r>
      <w:r w:rsidR="00936A56">
        <w:rPr>
          <w:rFonts w:eastAsia="Calibri"/>
          <w:snapToGrid/>
          <w:color w:val="000000"/>
          <w:kern w:val="0"/>
          <w:szCs w:val="22"/>
        </w:rPr>
        <w:t>D</w:t>
      </w:r>
      <w:r>
        <w:rPr>
          <w:rFonts w:eastAsia="Calibri"/>
          <w:snapToGrid/>
          <w:color w:val="000000"/>
          <w:kern w:val="0"/>
          <w:szCs w:val="22"/>
        </w:rPr>
        <w:t>ivestiture,</w:t>
      </w:r>
      <w:r w:rsidRPr="00624B0B">
        <w:rPr>
          <w:rFonts w:eastAsia="Calibri"/>
          <w:snapToGrid/>
          <w:color w:val="000000"/>
          <w:kern w:val="0"/>
          <w:szCs w:val="22"/>
        </w:rPr>
        <w:t xml:space="preserve"> and taking into account </w:t>
      </w:r>
      <w:r w:rsidR="00472EF2">
        <w:rPr>
          <w:rFonts w:eastAsia="Calibri"/>
          <w:snapToGrid/>
          <w:color w:val="000000"/>
          <w:kern w:val="0"/>
          <w:szCs w:val="22"/>
        </w:rPr>
        <w:t>the UHF Discount</w:t>
      </w:r>
      <w:r w:rsidRPr="00624B0B">
        <w:rPr>
          <w:rFonts w:eastAsia="Calibri"/>
          <w:snapToGrid/>
          <w:color w:val="000000"/>
          <w:kern w:val="0"/>
          <w:szCs w:val="22"/>
        </w:rPr>
        <w:t>, Gray w</w:t>
      </w:r>
      <w:r w:rsidR="007B7575">
        <w:rPr>
          <w:rFonts w:eastAsia="Calibri"/>
          <w:snapToGrid/>
          <w:color w:val="000000"/>
          <w:kern w:val="0"/>
          <w:szCs w:val="22"/>
        </w:rPr>
        <w:t>ill</w:t>
      </w:r>
      <w:r w:rsidRPr="00624B0B">
        <w:rPr>
          <w:rFonts w:eastAsia="Calibri"/>
          <w:snapToGrid/>
          <w:color w:val="000000"/>
          <w:kern w:val="0"/>
          <w:szCs w:val="22"/>
        </w:rPr>
        <w:t xml:space="preserve"> have a national reach of </w:t>
      </w:r>
      <w:r w:rsidRPr="0084039F">
        <w:rPr>
          <w:rFonts w:eastAsia="Calibri"/>
          <w:snapToGrid/>
          <w:kern w:val="0"/>
          <w:szCs w:val="22"/>
        </w:rPr>
        <w:t>25</w:t>
      </w:r>
      <w:r>
        <w:rPr>
          <w:rFonts w:eastAsia="Calibri"/>
          <w:snapToGrid/>
          <w:color w:val="000000"/>
          <w:kern w:val="0"/>
          <w:szCs w:val="22"/>
        </w:rPr>
        <w:t xml:space="preserve"> percent of U.S. households</w:t>
      </w:r>
      <w:r w:rsidRPr="0084039F">
        <w:rPr>
          <w:rFonts w:eastAsia="Calibri"/>
          <w:snapToGrid/>
          <w:color w:val="000000"/>
          <w:kern w:val="0"/>
          <w:szCs w:val="22"/>
        </w:rPr>
        <w:t>.</w:t>
      </w:r>
      <w:r>
        <w:rPr>
          <w:rFonts w:eastAsia="Calibri"/>
          <w:snapToGrid/>
          <w:kern w:val="0"/>
          <w:szCs w:val="22"/>
          <w:vertAlign w:val="superscript"/>
        </w:rPr>
        <w:footnoteReference w:id="20"/>
      </w:r>
    </w:p>
    <w:p w:rsidR="00B61216" w:rsidP="00021D2D" w14:paraId="4659D1F5" w14:textId="20F61DCB">
      <w:pPr>
        <w:pStyle w:val="ParaNum"/>
        <w:widowControl/>
        <w:tabs>
          <w:tab w:val="num" w:pos="1440"/>
        </w:tabs>
        <w:ind w:firstLine="720"/>
        <w:rPr>
          <w:rFonts w:eastAsia="Calibri"/>
          <w:szCs w:val="22"/>
        </w:rPr>
      </w:pPr>
      <w:r>
        <w:rPr>
          <w:rFonts w:eastAsia="Calibri"/>
          <w:i/>
          <w:iCs/>
          <w:szCs w:val="22"/>
        </w:rPr>
        <w:t xml:space="preserve">Public </w:t>
      </w:r>
      <w:r w:rsidRPr="00021D2D">
        <w:rPr>
          <w:i/>
          <w:iCs/>
        </w:rPr>
        <w:t>Interest</w:t>
      </w:r>
      <w:r>
        <w:rPr>
          <w:rFonts w:eastAsia="Calibri"/>
          <w:i/>
          <w:iCs/>
          <w:szCs w:val="22"/>
        </w:rPr>
        <w:t xml:space="preserve"> Showing.  </w:t>
      </w:r>
      <w:r w:rsidR="00C92A88">
        <w:rPr>
          <w:rFonts w:eastAsia="Calibri"/>
          <w:szCs w:val="22"/>
        </w:rPr>
        <w:t>The</w:t>
      </w:r>
      <w:r w:rsidR="00DF4312">
        <w:rPr>
          <w:rFonts w:eastAsia="Calibri"/>
          <w:szCs w:val="22"/>
        </w:rPr>
        <w:t xml:space="preserve"> Applicants contend that grant of the Applications </w:t>
      </w:r>
      <w:r w:rsidR="001A2AC9">
        <w:rPr>
          <w:rFonts w:eastAsia="Calibri"/>
          <w:szCs w:val="22"/>
        </w:rPr>
        <w:t>will serve the public interest.</w:t>
      </w:r>
      <w:r w:rsidR="00BF02B5">
        <w:rPr>
          <w:rFonts w:eastAsia="Calibri"/>
          <w:szCs w:val="22"/>
        </w:rPr>
        <w:t xml:space="preserve">  Principally, </w:t>
      </w:r>
      <w:r w:rsidR="0096356F">
        <w:rPr>
          <w:rFonts w:eastAsia="Calibri"/>
          <w:szCs w:val="22"/>
        </w:rPr>
        <w:t>they a</w:t>
      </w:r>
      <w:r w:rsidR="007B7575">
        <w:rPr>
          <w:rFonts w:eastAsia="Calibri"/>
          <w:szCs w:val="22"/>
        </w:rPr>
        <w:t>ssert that</w:t>
      </w:r>
      <w:r w:rsidR="00BF02B5">
        <w:rPr>
          <w:rFonts w:eastAsia="Calibri"/>
          <w:szCs w:val="22"/>
        </w:rPr>
        <w:t xml:space="preserve"> the Transaction will lead to certain synergies</w:t>
      </w:r>
      <w:r w:rsidR="0096356F">
        <w:rPr>
          <w:rFonts w:eastAsia="Calibri"/>
          <w:szCs w:val="22"/>
        </w:rPr>
        <w:t xml:space="preserve"> and increased resources</w:t>
      </w:r>
      <w:r w:rsidR="00D176DB">
        <w:rPr>
          <w:rFonts w:eastAsia="Calibri"/>
          <w:szCs w:val="22"/>
        </w:rPr>
        <w:t xml:space="preserve"> </w:t>
      </w:r>
      <w:r w:rsidR="003D3957">
        <w:rPr>
          <w:rFonts w:eastAsia="Calibri"/>
          <w:szCs w:val="22"/>
        </w:rPr>
        <w:t>since</w:t>
      </w:r>
      <w:r w:rsidR="007B7F85">
        <w:rPr>
          <w:rFonts w:eastAsia="Calibri"/>
          <w:szCs w:val="22"/>
        </w:rPr>
        <w:t xml:space="preserve"> </w:t>
      </w:r>
      <w:r w:rsidR="001E622B">
        <w:rPr>
          <w:rFonts w:eastAsia="Calibri"/>
          <w:szCs w:val="22"/>
        </w:rPr>
        <w:t>all</w:t>
      </w:r>
      <w:r w:rsidR="00296478">
        <w:rPr>
          <w:rFonts w:eastAsia="Calibri"/>
          <w:szCs w:val="22"/>
        </w:rPr>
        <w:t xml:space="preserve"> Gray and Meredith stations </w:t>
      </w:r>
      <w:r w:rsidR="003D3957">
        <w:rPr>
          <w:rFonts w:eastAsia="Calibri"/>
          <w:szCs w:val="22"/>
        </w:rPr>
        <w:t xml:space="preserve">will be able </w:t>
      </w:r>
      <w:r w:rsidR="00296478">
        <w:rPr>
          <w:rFonts w:eastAsia="Calibri"/>
          <w:szCs w:val="22"/>
        </w:rPr>
        <w:t>to</w:t>
      </w:r>
      <w:r w:rsidR="001E622B">
        <w:rPr>
          <w:rFonts w:eastAsia="Calibri"/>
          <w:szCs w:val="22"/>
        </w:rPr>
        <w:t xml:space="preserve"> </w:t>
      </w:r>
      <w:r w:rsidR="007F0080">
        <w:rPr>
          <w:rFonts w:eastAsia="Calibri"/>
          <w:szCs w:val="22"/>
        </w:rPr>
        <w:t>deliver “</w:t>
      </w:r>
      <w:r w:rsidRPr="00724E05" w:rsidR="00724E05">
        <w:rPr>
          <w:rFonts w:eastAsia="Calibri"/>
          <w:szCs w:val="22"/>
        </w:rPr>
        <w:t>the same quality of local television service that viewers in the largest markets</w:t>
      </w:r>
      <w:r w:rsidR="00724E05">
        <w:rPr>
          <w:rFonts w:eastAsia="Calibri"/>
          <w:szCs w:val="22"/>
        </w:rPr>
        <w:t xml:space="preserve"> have always enjoyed.</w:t>
      </w:r>
      <w:r w:rsidR="007F0080">
        <w:rPr>
          <w:rFonts w:eastAsia="Calibri"/>
          <w:szCs w:val="22"/>
        </w:rPr>
        <w:t>”</w:t>
      </w:r>
      <w:r>
        <w:rPr>
          <w:rStyle w:val="FootnoteReference"/>
          <w:rFonts w:eastAsia="Calibri"/>
          <w:szCs w:val="22"/>
        </w:rPr>
        <w:footnoteReference w:id="21"/>
      </w:r>
      <w:r w:rsidR="00D465C5">
        <w:rPr>
          <w:rFonts w:eastAsia="Calibri"/>
          <w:szCs w:val="22"/>
        </w:rPr>
        <w:t xml:space="preserve">  For example, they </w:t>
      </w:r>
      <w:r w:rsidR="002240AC">
        <w:rPr>
          <w:rFonts w:eastAsia="Calibri"/>
          <w:szCs w:val="22"/>
        </w:rPr>
        <w:t>contend that the Meredith stations</w:t>
      </w:r>
      <w:r w:rsidR="00871158">
        <w:rPr>
          <w:rFonts w:eastAsia="Calibri"/>
          <w:szCs w:val="22"/>
        </w:rPr>
        <w:t xml:space="preserve"> and their viewers</w:t>
      </w:r>
      <w:r w:rsidR="002240AC">
        <w:rPr>
          <w:rFonts w:eastAsia="Calibri"/>
          <w:szCs w:val="22"/>
        </w:rPr>
        <w:t xml:space="preserve"> </w:t>
      </w:r>
      <w:r w:rsidR="00796D3E">
        <w:rPr>
          <w:rFonts w:eastAsia="Calibri"/>
          <w:szCs w:val="22"/>
        </w:rPr>
        <w:t xml:space="preserve">will </w:t>
      </w:r>
      <w:r w:rsidR="008C7A67">
        <w:rPr>
          <w:rFonts w:eastAsia="Calibri"/>
          <w:szCs w:val="22"/>
        </w:rPr>
        <w:t>benefit from</w:t>
      </w:r>
      <w:r w:rsidR="008B181D">
        <w:rPr>
          <w:rFonts w:eastAsia="Calibri"/>
          <w:szCs w:val="22"/>
        </w:rPr>
        <w:t xml:space="preserve"> access to Gray’s W</w:t>
      </w:r>
      <w:r w:rsidR="00D621A4">
        <w:rPr>
          <w:rFonts w:eastAsia="Calibri"/>
          <w:szCs w:val="22"/>
        </w:rPr>
        <w:t>ashington DC News Bureau</w:t>
      </w:r>
      <w:r w:rsidR="007A1ED8">
        <w:rPr>
          <w:rFonts w:eastAsia="Calibri"/>
          <w:szCs w:val="22"/>
        </w:rPr>
        <w:t>.</w:t>
      </w:r>
      <w:r>
        <w:rPr>
          <w:rStyle w:val="FootnoteReference"/>
          <w:rFonts w:eastAsia="Calibri"/>
          <w:szCs w:val="22"/>
        </w:rPr>
        <w:footnoteReference w:id="22"/>
      </w:r>
      <w:r w:rsidR="00A015B0">
        <w:rPr>
          <w:rFonts w:eastAsia="Calibri"/>
          <w:szCs w:val="22"/>
        </w:rPr>
        <w:t xml:space="preserve">  </w:t>
      </w:r>
      <w:r w:rsidR="007B7575">
        <w:rPr>
          <w:rFonts w:eastAsia="Calibri"/>
          <w:szCs w:val="22"/>
        </w:rPr>
        <w:t xml:space="preserve">The Applicants explain that </w:t>
      </w:r>
      <w:r w:rsidR="00997FF5">
        <w:rPr>
          <w:rFonts w:eastAsia="Calibri"/>
          <w:szCs w:val="22"/>
        </w:rPr>
        <w:t>Gray</w:t>
      </w:r>
      <w:r w:rsidR="00107552">
        <w:rPr>
          <w:rFonts w:eastAsia="Calibri"/>
          <w:szCs w:val="22"/>
        </w:rPr>
        <w:t>’s</w:t>
      </w:r>
      <w:r w:rsidR="00997FF5">
        <w:rPr>
          <w:rFonts w:eastAsia="Calibri"/>
          <w:szCs w:val="22"/>
        </w:rPr>
        <w:t xml:space="preserve"> </w:t>
      </w:r>
      <w:r w:rsidR="007A3862">
        <w:rPr>
          <w:rFonts w:eastAsia="Calibri"/>
          <w:szCs w:val="22"/>
        </w:rPr>
        <w:t xml:space="preserve">DC Bureau </w:t>
      </w:r>
      <w:r w:rsidR="00997FF5">
        <w:rPr>
          <w:rFonts w:eastAsia="Calibri"/>
          <w:szCs w:val="22"/>
        </w:rPr>
        <w:t>journalists</w:t>
      </w:r>
      <w:r w:rsidR="007A3862">
        <w:rPr>
          <w:rFonts w:eastAsia="Calibri"/>
          <w:szCs w:val="22"/>
        </w:rPr>
        <w:t xml:space="preserve"> work with</w:t>
      </w:r>
      <w:r w:rsidR="00997FF5">
        <w:rPr>
          <w:rFonts w:eastAsia="Calibri"/>
          <w:szCs w:val="22"/>
        </w:rPr>
        <w:t xml:space="preserve"> their</w:t>
      </w:r>
      <w:r w:rsidR="007A3862">
        <w:rPr>
          <w:rFonts w:eastAsia="Calibri"/>
          <w:szCs w:val="22"/>
        </w:rPr>
        <w:t xml:space="preserve"> </w:t>
      </w:r>
      <w:r w:rsidR="00997FF5">
        <w:rPr>
          <w:rFonts w:eastAsia="Calibri"/>
          <w:szCs w:val="22"/>
        </w:rPr>
        <w:t xml:space="preserve">local counterparts to identify </w:t>
      </w:r>
      <w:r w:rsidR="002853C8">
        <w:rPr>
          <w:rFonts w:eastAsia="Calibri"/>
          <w:szCs w:val="22"/>
        </w:rPr>
        <w:t>key issues</w:t>
      </w:r>
      <w:r w:rsidR="00997FF5">
        <w:rPr>
          <w:rFonts w:eastAsia="Calibri"/>
          <w:szCs w:val="22"/>
        </w:rPr>
        <w:t xml:space="preserve"> important to local viewers and then </w:t>
      </w:r>
      <w:r w:rsidR="001C09C2">
        <w:rPr>
          <w:rFonts w:eastAsia="Calibri"/>
          <w:szCs w:val="22"/>
        </w:rPr>
        <w:t>produce segments regarding those issues.</w:t>
      </w:r>
      <w:r>
        <w:rPr>
          <w:rStyle w:val="FootnoteReference"/>
          <w:rFonts w:eastAsia="Calibri"/>
          <w:szCs w:val="22"/>
        </w:rPr>
        <w:footnoteReference w:id="23"/>
      </w:r>
      <w:r w:rsidR="00263BCF">
        <w:rPr>
          <w:rFonts w:eastAsia="Calibri"/>
          <w:szCs w:val="22"/>
        </w:rPr>
        <w:t xml:space="preserve">  </w:t>
      </w:r>
      <w:r w:rsidR="007B7575">
        <w:rPr>
          <w:rFonts w:eastAsia="Calibri"/>
          <w:szCs w:val="22"/>
        </w:rPr>
        <w:t xml:space="preserve">The Applicants contend that </w:t>
      </w:r>
      <w:r>
        <w:rPr>
          <w:rFonts w:eastAsia="Calibri"/>
          <w:szCs w:val="22"/>
        </w:rPr>
        <w:t xml:space="preserve">Meredith stations will </w:t>
      </w:r>
      <w:r w:rsidR="00140E4F">
        <w:rPr>
          <w:rFonts w:eastAsia="Calibri"/>
          <w:szCs w:val="22"/>
        </w:rPr>
        <w:t xml:space="preserve">also </w:t>
      </w:r>
      <w:r>
        <w:rPr>
          <w:rFonts w:eastAsia="Calibri"/>
          <w:szCs w:val="22"/>
        </w:rPr>
        <w:t>benefit from access to Gray’s national investigative unit, Investigate TV</w:t>
      </w:r>
      <w:r w:rsidR="00AD5B61">
        <w:rPr>
          <w:rFonts w:eastAsia="Calibri"/>
          <w:szCs w:val="22"/>
        </w:rPr>
        <w:t xml:space="preserve">, which </w:t>
      </w:r>
      <w:r w:rsidR="0017385E">
        <w:rPr>
          <w:rFonts w:eastAsia="Calibri"/>
          <w:szCs w:val="22"/>
        </w:rPr>
        <w:t>“</w:t>
      </w:r>
      <w:r w:rsidRPr="00AD5B61" w:rsidR="00AD5B61">
        <w:rPr>
          <w:rFonts w:eastAsia="Calibri"/>
          <w:szCs w:val="22"/>
        </w:rPr>
        <w:t>produces in-depth</w:t>
      </w:r>
      <w:r w:rsidR="00AD5B61">
        <w:rPr>
          <w:rFonts w:eastAsia="Calibri"/>
          <w:szCs w:val="22"/>
        </w:rPr>
        <w:t xml:space="preserve"> </w:t>
      </w:r>
      <w:r w:rsidRPr="00AD5B61" w:rsidR="00AD5B61">
        <w:rPr>
          <w:rFonts w:eastAsia="Calibri"/>
          <w:szCs w:val="22"/>
        </w:rPr>
        <w:t>reports focusing on the local impact of national issues</w:t>
      </w:r>
      <w:r w:rsidR="002A701E">
        <w:rPr>
          <w:rFonts w:eastAsia="Calibri"/>
          <w:szCs w:val="22"/>
        </w:rPr>
        <w:t>.</w:t>
      </w:r>
      <w:r w:rsidR="0017385E">
        <w:rPr>
          <w:rFonts w:eastAsia="Calibri"/>
          <w:szCs w:val="22"/>
        </w:rPr>
        <w:t>”</w:t>
      </w:r>
      <w:r>
        <w:rPr>
          <w:rStyle w:val="FootnoteReference"/>
          <w:rFonts w:eastAsia="Calibri"/>
          <w:szCs w:val="22"/>
        </w:rPr>
        <w:footnoteReference w:id="24"/>
      </w:r>
      <w:r w:rsidR="002A701E">
        <w:rPr>
          <w:rFonts w:eastAsia="Calibri"/>
          <w:szCs w:val="22"/>
        </w:rPr>
        <w:t xml:space="preserve"> </w:t>
      </w:r>
    </w:p>
    <w:p w:rsidR="00942E2A" w:rsidP="00651338" w14:paraId="07A201FE" w14:textId="20DC13E5">
      <w:pPr>
        <w:pStyle w:val="ParaNum"/>
        <w:widowControl/>
        <w:ind w:firstLine="720"/>
        <w:rPr>
          <w:rFonts w:eastAsia="Calibri"/>
          <w:szCs w:val="22"/>
        </w:rPr>
      </w:pPr>
      <w:r>
        <w:rPr>
          <w:rFonts w:eastAsia="Calibri"/>
          <w:szCs w:val="22"/>
        </w:rPr>
        <w:t xml:space="preserve">The Applicants also </w:t>
      </w:r>
      <w:r w:rsidR="000E52D0">
        <w:rPr>
          <w:rFonts w:eastAsia="Calibri"/>
          <w:szCs w:val="22"/>
        </w:rPr>
        <w:t>assert</w:t>
      </w:r>
      <w:r>
        <w:rPr>
          <w:rFonts w:eastAsia="Calibri"/>
          <w:szCs w:val="22"/>
        </w:rPr>
        <w:t xml:space="preserve"> that </w:t>
      </w:r>
      <w:r w:rsidR="00E84D55">
        <w:rPr>
          <w:rFonts w:eastAsia="Calibri"/>
          <w:szCs w:val="22"/>
        </w:rPr>
        <w:t>they will</w:t>
      </w:r>
      <w:r w:rsidR="00F82227">
        <w:rPr>
          <w:rFonts w:eastAsia="Calibri"/>
          <w:szCs w:val="22"/>
        </w:rPr>
        <w:t xml:space="preserve"> </w:t>
      </w:r>
      <w:r w:rsidRPr="009768DA" w:rsidR="009768DA">
        <w:rPr>
          <w:rFonts w:eastAsia="Calibri"/>
          <w:szCs w:val="22"/>
        </w:rPr>
        <w:t>leverage</w:t>
      </w:r>
      <w:r w:rsidR="00CB23D0">
        <w:rPr>
          <w:rFonts w:eastAsia="Calibri"/>
          <w:szCs w:val="22"/>
        </w:rPr>
        <w:t xml:space="preserve"> </w:t>
      </w:r>
      <w:r w:rsidRPr="009768DA" w:rsidR="009768DA">
        <w:rPr>
          <w:rFonts w:eastAsia="Calibri"/>
          <w:szCs w:val="22"/>
        </w:rPr>
        <w:t xml:space="preserve">reporting </w:t>
      </w:r>
      <w:r w:rsidR="000E52D0">
        <w:rPr>
          <w:rFonts w:eastAsia="Calibri"/>
          <w:szCs w:val="22"/>
        </w:rPr>
        <w:t>by</w:t>
      </w:r>
      <w:r w:rsidRPr="009768DA" w:rsidR="009768DA">
        <w:rPr>
          <w:rFonts w:eastAsia="Calibri"/>
          <w:szCs w:val="22"/>
        </w:rPr>
        <w:t xml:space="preserve"> the stations </w:t>
      </w:r>
      <w:r w:rsidR="000D5F00">
        <w:rPr>
          <w:rFonts w:eastAsia="Calibri"/>
          <w:szCs w:val="22"/>
        </w:rPr>
        <w:t>being</w:t>
      </w:r>
      <w:r w:rsidR="00D17712">
        <w:rPr>
          <w:rFonts w:eastAsia="Calibri"/>
          <w:szCs w:val="22"/>
        </w:rPr>
        <w:t xml:space="preserve"> acquired</w:t>
      </w:r>
      <w:r w:rsidRPr="009768DA" w:rsidR="009768DA">
        <w:rPr>
          <w:rFonts w:eastAsia="Calibri"/>
          <w:szCs w:val="22"/>
        </w:rPr>
        <w:t xml:space="preserve"> from Meredith that are in state capitals</w:t>
      </w:r>
      <w:r w:rsidR="000C15DC">
        <w:rPr>
          <w:rFonts w:eastAsia="Calibri"/>
          <w:szCs w:val="22"/>
        </w:rPr>
        <w:t xml:space="preserve"> (</w:t>
      </w:r>
      <w:r w:rsidR="009768DA">
        <w:rPr>
          <w:rFonts w:eastAsia="Calibri"/>
          <w:szCs w:val="22"/>
        </w:rPr>
        <w:t xml:space="preserve">including </w:t>
      </w:r>
      <w:r w:rsidRPr="009768DA" w:rsidR="009768DA">
        <w:rPr>
          <w:rFonts w:eastAsia="Calibri"/>
          <w:szCs w:val="22"/>
        </w:rPr>
        <w:t>Atlanta, Phoenix and Nashville</w:t>
      </w:r>
      <w:r w:rsidR="000C15DC">
        <w:rPr>
          <w:rFonts w:eastAsia="Calibri"/>
          <w:szCs w:val="22"/>
        </w:rPr>
        <w:t xml:space="preserve">) </w:t>
      </w:r>
      <w:r w:rsidR="00D17712">
        <w:rPr>
          <w:rFonts w:eastAsia="Calibri"/>
          <w:szCs w:val="22"/>
        </w:rPr>
        <w:t>to</w:t>
      </w:r>
      <w:r w:rsidRPr="009768DA" w:rsidR="009768DA">
        <w:rPr>
          <w:rFonts w:eastAsia="Calibri"/>
          <w:szCs w:val="22"/>
        </w:rPr>
        <w:t xml:space="preserve"> better serve viewers of </w:t>
      </w:r>
      <w:r w:rsidRPr="009768DA" w:rsidR="009768DA">
        <w:rPr>
          <w:rFonts w:eastAsia="Calibri"/>
          <w:szCs w:val="22"/>
        </w:rPr>
        <w:t>Gray stations</w:t>
      </w:r>
      <w:r w:rsidR="003B7B14">
        <w:rPr>
          <w:rFonts w:eastAsia="Calibri"/>
          <w:szCs w:val="22"/>
        </w:rPr>
        <w:t xml:space="preserve"> </w:t>
      </w:r>
      <w:r w:rsidRPr="009768DA" w:rsidR="009768DA">
        <w:rPr>
          <w:rFonts w:eastAsia="Calibri"/>
          <w:szCs w:val="22"/>
        </w:rPr>
        <w:t>in</w:t>
      </w:r>
      <w:r w:rsidR="009F09F7">
        <w:rPr>
          <w:rFonts w:eastAsia="Calibri"/>
          <w:szCs w:val="22"/>
        </w:rPr>
        <w:t xml:space="preserve"> the</w:t>
      </w:r>
      <w:r w:rsidR="00D17712">
        <w:rPr>
          <w:rFonts w:eastAsia="Calibri"/>
          <w:szCs w:val="22"/>
        </w:rPr>
        <w:t xml:space="preserve"> </w:t>
      </w:r>
      <w:r w:rsidRPr="009768DA" w:rsidR="009768DA">
        <w:rPr>
          <w:rFonts w:eastAsia="Calibri"/>
          <w:szCs w:val="22"/>
        </w:rPr>
        <w:t>same state.</w:t>
      </w:r>
      <w:r>
        <w:rPr>
          <w:rStyle w:val="FootnoteReference"/>
          <w:rFonts w:eastAsia="Calibri"/>
          <w:szCs w:val="22"/>
        </w:rPr>
        <w:footnoteReference w:id="25"/>
      </w:r>
      <w:r w:rsidR="00F66FAA">
        <w:rPr>
          <w:rFonts w:eastAsia="Calibri"/>
          <w:szCs w:val="22"/>
        </w:rPr>
        <w:t xml:space="preserve">  For example, </w:t>
      </w:r>
      <w:r w:rsidR="006605B4">
        <w:rPr>
          <w:rFonts w:eastAsia="Calibri"/>
          <w:szCs w:val="22"/>
        </w:rPr>
        <w:t>Georgia s</w:t>
      </w:r>
      <w:r w:rsidR="00100914">
        <w:rPr>
          <w:rFonts w:eastAsia="Calibri"/>
          <w:szCs w:val="22"/>
        </w:rPr>
        <w:t xml:space="preserve">tations currently owned by Gray </w:t>
      </w:r>
      <w:r w:rsidR="000F06D0">
        <w:rPr>
          <w:rFonts w:eastAsia="Calibri"/>
          <w:szCs w:val="22"/>
        </w:rPr>
        <w:t xml:space="preserve">(located </w:t>
      </w:r>
      <w:r w:rsidR="00100914">
        <w:rPr>
          <w:rFonts w:eastAsia="Calibri"/>
          <w:szCs w:val="22"/>
        </w:rPr>
        <w:t>in August</w:t>
      </w:r>
      <w:r w:rsidR="003D3957">
        <w:rPr>
          <w:rFonts w:eastAsia="Calibri"/>
          <w:szCs w:val="22"/>
        </w:rPr>
        <w:t>a</w:t>
      </w:r>
      <w:r w:rsidR="00100914">
        <w:rPr>
          <w:rFonts w:eastAsia="Calibri"/>
          <w:szCs w:val="22"/>
        </w:rPr>
        <w:t>, Savannah, and Columbus</w:t>
      </w:r>
      <w:r w:rsidR="000F06D0">
        <w:rPr>
          <w:rFonts w:eastAsia="Calibri"/>
          <w:szCs w:val="22"/>
        </w:rPr>
        <w:t>)</w:t>
      </w:r>
      <w:r w:rsidR="006605B4">
        <w:rPr>
          <w:rFonts w:eastAsia="Calibri"/>
          <w:szCs w:val="22"/>
        </w:rPr>
        <w:t xml:space="preserve"> will </w:t>
      </w:r>
      <w:r w:rsidR="002609D1">
        <w:rPr>
          <w:rFonts w:eastAsia="Calibri"/>
          <w:szCs w:val="22"/>
        </w:rPr>
        <w:t>be able to utilize reporters and resources from</w:t>
      </w:r>
      <w:r w:rsidR="00963FC3">
        <w:rPr>
          <w:rFonts w:eastAsia="Calibri"/>
          <w:szCs w:val="22"/>
        </w:rPr>
        <w:t xml:space="preserve"> Meredith’s</w:t>
      </w:r>
      <w:r w:rsidRPr="0021680E" w:rsidR="0021680E">
        <w:rPr>
          <w:rFonts w:eastAsia="Calibri"/>
          <w:szCs w:val="22"/>
        </w:rPr>
        <w:t xml:space="preserve"> Atlanta</w:t>
      </w:r>
      <w:r w:rsidR="00963FC3">
        <w:rPr>
          <w:rFonts w:eastAsia="Calibri"/>
          <w:szCs w:val="22"/>
        </w:rPr>
        <w:t xml:space="preserve"> station</w:t>
      </w:r>
      <w:r w:rsidR="001067E8">
        <w:rPr>
          <w:rFonts w:eastAsia="Calibri"/>
          <w:szCs w:val="22"/>
        </w:rPr>
        <w:t>s</w:t>
      </w:r>
      <w:r w:rsidR="00963FC3">
        <w:rPr>
          <w:rFonts w:eastAsia="Calibri"/>
          <w:szCs w:val="22"/>
        </w:rPr>
        <w:t>.</w:t>
      </w:r>
      <w:r>
        <w:rPr>
          <w:rStyle w:val="FootnoteReference"/>
          <w:rFonts w:eastAsia="Calibri"/>
          <w:szCs w:val="22"/>
        </w:rPr>
        <w:footnoteReference w:id="26"/>
      </w:r>
      <w:r w:rsidR="00F25DDB">
        <w:rPr>
          <w:rFonts w:eastAsia="Calibri"/>
          <w:szCs w:val="22"/>
        </w:rPr>
        <w:t xml:space="preserve">  </w:t>
      </w:r>
      <w:r w:rsidR="0057675C">
        <w:rPr>
          <w:rFonts w:eastAsia="Calibri"/>
          <w:szCs w:val="22"/>
        </w:rPr>
        <w:t>Similarly</w:t>
      </w:r>
      <w:r w:rsidR="00F25DDB">
        <w:rPr>
          <w:rFonts w:eastAsia="Calibri"/>
          <w:szCs w:val="22"/>
        </w:rPr>
        <w:t xml:space="preserve">, </w:t>
      </w:r>
      <w:r w:rsidR="004F2FF4">
        <w:rPr>
          <w:rFonts w:eastAsia="Calibri"/>
          <w:szCs w:val="22"/>
        </w:rPr>
        <w:t xml:space="preserve">Gray currently </w:t>
      </w:r>
      <w:r w:rsidR="00912B1C">
        <w:rPr>
          <w:rFonts w:eastAsia="Calibri"/>
          <w:szCs w:val="22"/>
        </w:rPr>
        <w:t xml:space="preserve">owns stations in the state capitals of </w:t>
      </w:r>
      <w:r w:rsidRPr="00425E77" w:rsidR="00425E77">
        <w:rPr>
          <w:rFonts w:eastAsia="Calibri"/>
          <w:szCs w:val="22"/>
        </w:rPr>
        <w:t>Kansas, Alabama, Michigan, Nevada, and Florida</w:t>
      </w:r>
      <w:r w:rsidR="00425E77">
        <w:rPr>
          <w:rFonts w:eastAsia="Calibri"/>
          <w:szCs w:val="22"/>
        </w:rPr>
        <w:t xml:space="preserve">.  Meredith has a significant number of viewers in these states who </w:t>
      </w:r>
      <w:r w:rsidR="000E52D0">
        <w:rPr>
          <w:rFonts w:eastAsia="Calibri"/>
          <w:szCs w:val="22"/>
        </w:rPr>
        <w:t xml:space="preserve">the Applicants contend </w:t>
      </w:r>
      <w:r w:rsidR="00425E77">
        <w:rPr>
          <w:rFonts w:eastAsia="Calibri"/>
          <w:szCs w:val="22"/>
        </w:rPr>
        <w:t>w</w:t>
      </w:r>
      <w:r w:rsidR="000E52D0">
        <w:rPr>
          <w:rFonts w:eastAsia="Calibri"/>
          <w:szCs w:val="22"/>
        </w:rPr>
        <w:t>ill</w:t>
      </w:r>
      <w:r w:rsidR="00912B1C">
        <w:rPr>
          <w:rFonts w:eastAsia="Calibri"/>
          <w:szCs w:val="22"/>
        </w:rPr>
        <w:t xml:space="preserve"> benefit from synergies and improved coverage</w:t>
      </w:r>
      <w:r w:rsidR="00425E77">
        <w:rPr>
          <w:rFonts w:eastAsia="Calibri"/>
          <w:szCs w:val="22"/>
        </w:rPr>
        <w:t xml:space="preserve"> </w:t>
      </w:r>
      <w:r w:rsidR="000E52D0">
        <w:rPr>
          <w:rFonts w:eastAsia="Calibri"/>
          <w:szCs w:val="22"/>
        </w:rPr>
        <w:t>post</w:t>
      </w:r>
      <w:r w:rsidR="00425E77">
        <w:rPr>
          <w:rFonts w:eastAsia="Calibri"/>
          <w:szCs w:val="22"/>
        </w:rPr>
        <w:t xml:space="preserve"> Transaction</w:t>
      </w:r>
      <w:r w:rsidR="00912B1C">
        <w:rPr>
          <w:rFonts w:eastAsia="Calibri"/>
          <w:szCs w:val="22"/>
        </w:rPr>
        <w:t>.</w:t>
      </w:r>
      <w:r>
        <w:rPr>
          <w:rStyle w:val="FootnoteReference"/>
          <w:rFonts w:eastAsia="Calibri"/>
          <w:szCs w:val="22"/>
        </w:rPr>
        <w:footnoteReference w:id="27"/>
      </w:r>
      <w:r w:rsidR="0036114C">
        <w:rPr>
          <w:rFonts w:eastAsia="Calibri"/>
          <w:szCs w:val="22"/>
        </w:rPr>
        <w:t xml:space="preserve">  In addition</w:t>
      </w:r>
      <w:r w:rsidR="00FF65EA">
        <w:rPr>
          <w:rFonts w:eastAsia="Calibri"/>
          <w:szCs w:val="22"/>
        </w:rPr>
        <w:t xml:space="preserve"> to </w:t>
      </w:r>
      <w:r w:rsidR="000E52D0">
        <w:rPr>
          <w:rFonts w:eastAsia="Calibri"/>
          <w:szCs w:val="22"/>
        </w:rPr>
        <w:t xml:space="preserve">pointing to </w:t>
      </w:r>
      <w:r w:rsidR="00FF65EA">
        <w:rPr>
          <w:rFonts w:eastAsia="Calibri"/>
          <w:szCs w:val="22"/>
        </w:rPr>
        <w:t>improved news programming, the Applicants represent that same-state stations w</w:t>
      </w:r>
      <w:r w:rsidR="000E52D0">
        <w:rPr>
          <w:rFonts w:eastAsia="Calibri"/>
          <w:szCs w:val="22"/>
        </w:rPr>
        <w:t>ill</w:t>
      </w:r>
      <w:r w:rsidR="00FF65EA">
        <w:rPr>
          <w:rFonts w:eastAsia="Calibri"/>
          <w:szCs w:val="22"/>
        </w:rPr>
        <w:t xml:space="preserve"> benefit from</w:t>
      </w:r>
      <w:r w:rsidR="00EA31A5">
        <w:rPr>
          <w:rFonts w:eastAsia="Calibri"/>
          <w:szCs w:val="22"/>
        </w:rPr>
        <w:t xml:space="preserve"> improved s</w:t>
      </w:r>
      <w:r w:rsidR="008E17A5">
        <w:rPr>
          <w:rFonts w:eastAsia="Calibri"/>
          <w:szCs w:val="22"/>
        </w:rPr>
        <w:t>tatewide coverage of sports and entertainment.</w:t>
      </w:r>
      <w:r>
        <w:rPr>
          <w:rStyle w:val="FootnoteReference"/>
          <w:rFonts w:eastAsia="Calibri"/>
          <w:szCs w:val="22"/>
        </w:rPr>
        <w:footnoteReference w:id="28"/>
      </w:r>
    </w:p>
    <w:p w:rsidR="00500908" w:rsidRPr="00100381" w:rsidP="00100381" w14:paraId="5FC93C64" w14:textId="61B31BC8">
      <w:pPr>
        <w:pStyle w:val="ParaNum"/>
        <w:tabs>
          <w:tab w:val="num" w:pos="1440"/>
        </w:tabs>
        <w:ind w:firstLine="720"/>
        <w:rPr>
          <w:snapToGrid/>
        </w:rPr>
      </w:pPr>
      <w:r>
        <w:rPr>
          <w:i/>
          <w:iCs/>
          <w:szCs w:val="22"/>
        </w:rPr>
        <w:t>Pleadings.</w:t>
      </w:r>
      <w:r>
        <w:rPr>
          <w:szCs w:val="22"/>
        </w:rPr>
        <w:t xml:space="preserve">  </w:t>
      </w:r>
      <w:r w:rsidRPr="00645FB7" w:rsidR="00675C53">
        <w:rPr>
          <w:snapToGrid/>
        </w:rPr>
        <w:t xml:space="preserve">On </w:t>
      </w:r>
      <w:r w:rsidR="007B7884">
        <w:rPr>
          <w:snapToGrid/>
        </w:rPr>
        <w:t>May 26, 2021</w:t>
      </w:r>
      <w:r w:rsidRPr="00645FB7" w:rsidR="00675C53">
        <w:rPr>
          <w:snapToGrid/>
        </w:rPr>
        <w:t>, the Media Bureau released a Public Notice announcing the filing of the Applications, establishing a pleading cycle</w:t>
      </w:r>
      <w:r w:rsidR="005F3A29">
        <w:rPr>
          <w:snapToGrid/>
        </w:rPr>
        <w:t>, as well as</w:t>
      </w:r>
      <w:r w:rsidRPr="00645FB7" w:rsidR="00675C53">
        <w:rPr>
          <w:snapToGrid/>
        </w:rPr>
        <w:t xml:space="preserve"> a permit-but-disclose </w:t>
      </w:r>
      <w:r w:rsidRPr="00645FB7" w:rsidR="00675C53">
        <w:rPr>
          <w:i/>
          <w:snapToGrid/>
        </w:rPr>
        <w:t xml:space="preserve">ex </w:t>
      </w:r>
      <w:r w:rsidRPr="00645FB7" w:rsidR="00675C53">
        <w:rPr>
          <w:i/>
          <w:snapToGrid/>
        </w:rPr>
        <w:t>parte</w:t>
      </w:r>
      <w:r w:rsidRPr="00645FB7" w:rsidR="00675C53">
        <w:rPr>
          <w:snapToGrid/>
        </w:rPr>
        <w:t xml:space="preserve"> status for the proceeding.</w:t>
      </w:r>
      <w:r>
        <w:rPr>
          <w:snapToGrid/>
          <w:vertAlign w:val="superscript"/>
        </w:rPr>
        <w:footnoteReference w:id="29"/>
      </w:r>
      <w:r w:rsidRPr="00645FB7" w:rsidR="00675C53">
        <w:rPr>
          <w:snapToGrid/>
        </w:rPr>
        <w:t xml:space="preserve">  </w:t>
      </w:r>
      <w:r w:rsidR="00B322FF">
        <w:rPr>
          <w:snapToGrid/>
        </w:rPr>
        <w:t xml:space="preserve">No petitions to deny were filed in response to the </w:t>
      </w:r>
      <w:r w:rsidR="007D2089">
        <w:rPr>
          <w:snapToGrid/>
        </w:rPr>
        <w:t>Application(s)</w:t>
      </w:r>
      <w:r w:rsidR="003D310A">
        <w:rPr>
          <w:snapToGrid/>
        </w:rPr>
        <w:t>;</w:t>
      </w:r>
      <w:r w:rsidR="00B322FF">
        <w:rPr>
          <w:snapToGrid/>
        </w:rPr>
        <w:t xml:space="preserve"> however, the Commission received an informal objection filed by </w:t>
      </w:r>
      <w:r w:rsidR="006C63A4">
        <w:rPr>
          <w:snapToGrid/>
        </w:rPr>
        <w:t xml:space="preserve">Rick Mattoon </w:t>
      </w:r>
      <w:r w:rsidR="0058761D">
        <w:rPr>
          <w:snapToGrid/>
        </w:rPr>
        <w:t xml:space="preserve">(Mattoon Objection) </w:t>
      </w:r>
      <w:r w:rsidR="006C63A4">
        <w:rPr>
          <w:snapToGrid/>
        </w:rPr>
        <w:t xml:space="preserve">on June </w:t>
      </w:r>
      <w:r w:rsidR="00131CF8">
        <w:rPr>
          <w:snapToGrid/>
        </w:rPr>
        <w:t>17, 2021.</w:t>
      </w:r>
      <w:r>
        <w:rPr>
          <w:rStyle w:val="FootnoteReference"/>
          <w:snapToGrid/>
        </w:rPr>
        <w:footnoteReference w:id="30"/>
      </w:r>
      <w:r w:rsidR="00131CF8">
        <w:rPr>
          <w:snapToGrid/>
        </w:rPr>
        <w:t xml:space="preserve">  The Commission also received an informal objection from </w:t>
      </w:r>
      <w:bookmarkStart w:id="6" w:name="_Hlk83887721"/>
      <w:r w:rsidR="00611AF5">
        <w:rPr>
          <w:snapToGrid/>
        </w:rPr>
        <w:t>Mr. Antenna</w:t>
      </w:r>
      <w:r w:rsidR="0027280F">
        <w:rPr>
          <w:snapToGrid/>
        </w:rPr>
        <w:t xml:space="preserve"> Las Vegas LLC</w:t>
      </w:r>
      <w:bookmarkEnd w:id="6"/>
      <w:r w:rsidR="0027280F">
        <w:rPr>
          <w:snapToGrid/>
        </w:rPr>
        <w:t xml:space="preserve"> (Mr. Antenna)</w:t>
      </w:r>
      <w:r w:rsidR="0062562C">
        <w:rPr>
          <w:snapToGrid/>
        </w:rPr>
        <w:t xml:space="preserve"> </w:t>
      </w:r>
      <w:r w:rsidR="004250A1">
        <w:rPr>
          <w:snapToGrid/>
        </w:rPr>
        <w:t>on August 26, 2021</w:t>
      </w:r>
      <w:r w:rsidR="003D3957">
        <w:rPr>
          <w:snapToGrid/>
        </w:rPr>
        <w:t>,</w:t>
      </w:r>
      <w:r w:rsidR="0044724F">
        <w:rPr>
          <w:snapToGrid/>
        </w:rPr>
        <w:t xml:space="preserve"> </w:t>
      </w:r>
      <w:r w:rsidR="00F93CB1">
        <w:rPr>
          <w:snapToGrid/>
        </w:rPr>
        <w:t xml:space="preserve">and a supplemental informal objection filed by Mr. Antenna on </w:t>
      </w:r>
      <w:r w:rsidR="00BB0694">
        <w:rPr>
          <w:snapToGrid/>
        </w:rPr>
        <w:t>September 21, 2021.</w:t>
      </w:r>
      <w:r>
        <w:rPr>
          <w:rStyle w:val="FootnoteReference"/>
          <w:snapToGrid/>
        </w:rPr>
        <w:footnoteReference w:id="31"/>
      </w:r>
      <w:r w:rsidR="009F5531">
        <w:rPr>
          <w:snapToGrid/>
        </w:rPr>
        <w:t xml:space="preserve">  </w:t>
      </w:r>
    </w:p>
    <w:p w:rsidR="00323B55" w:rsidP="00E11860" w14:paraId="427D38BB" w14:textId="220C9474">
      <w:pPr>
        <w:pStyle w:val="ParaNum"/>
        <w:rPr>
          <w:szCs w:val="22"/>
        </w:rPr>
      </w:pPr>
      <w:r>
        <w:rPr>
          <w:szCs w:val="22"/>
        </w:rPr>
        <w:tab/>
        <w:t xml:space="preserve">The Mattoon Objection </w:t>
      </w:r>
      <w:r w:rsidR="000B6CDC">
        <w:rPr>
          <w:szCs w:val="22"/>
        </w:rPr>
        <w:t>expresses concern</w:t>
      </w:r>
      <w:r w:rsidR="00180345">
        <w:rPr>
          <w:szCs w:val="22"/>
        </w:rPr>
        <w:t xml:space="preserve"> about</w:t>
      </w:r>
      <w:r w:rsidR="000B6CDC">
        <w:rPr>
          <w:szCs w:val="22"/>
        </w:rPr>
        <w:t xml:space="preserve"> </w:t>
      </w:r>
      <w:r w:rsidR="00180345">
        <w:rPr>
          <w:szCs w:val="22"/>
        </w:rPr>
        <w:t>“consolidation” of the news</w:t>
      </w:r>
      <w:r w:rsidR="003532AC">
        <w:rPr>
          <w:szCs w:val="22"/>
        </w:rPr>
        <w:t xml:space="preserve"> </w:t>
      </w:r>
      <w:r w:rsidR="00792377">
        <w:rPr>
          <w:szCs w:val="22"/>
        </w:rPr>
        <w:t xml:space="preserve">industry </w:t>
      </w:r>
      <w:r w:rsidR="00180345">
        <w:rPr>
          <w:szCs w:val="22"/>
        </w:rPr>
        <w:t>and a “decline in media integrity.”</w:t>
      </w:r>
      <w:r>
        <w:rPr>
          <w:rStyle w:val="FootnoteReference"/>
          <w:szCs w:val="22"/>
        </w:rPr>
        <w:footnoteReference w:id="32"/>
      </w:r>
      <w:r w:rsidR="001B72D4">
        <w:rPr>
          <w:szCs w:val="22"/>
        </w:rPr>
        <w:t xml:space="preserve">  </w:t>
      </w:r>
      <w:r w:rsidR="005D2F59">
        <w:rPr>
          <w:szCs w:val="22"/>
        </w:rPr>
        <w:t xml:space="preserve">Gray and Meredith filed a consolidated response to the Mattoon Objection </w:t>
      </w:r>
      <w:r w:rsidR="00F44CB1">
        <w:rPr>
          <w:szCs w:val="22"/>
        </w:rPr>
        <w:t>a</w:t>
      </w:r>
      <w:r w:rsidR="003D310A">
        <w:rPr>
          <w:szCs w:val="22"/>
        </w:rPr>
        <w:t>ssert</w:t>
      </w:r>
      <w:r w:rsidR="00F44CB1">
        <w:rPr>
          <w:szCs w:val="22"/>
        </w:rPr>
        <w:t>ing</w:t>
      </w:r>
      <w:r w:rsidR="00565FAF">
        <w:rPr>
          <w:szCs w:val="22"/>
        </w:rPr>
        <w:t xml:space="preserve"> that </w:t>
      </w:r>
      <w:r w:rsidR="00284D38">
        <w:rPr>
          <w:szCs w:val="22"/>
        </w:rPr>
        <w:t xml:space="preserve">it </w:t>
      </w:r>
      <w:r w:rsidR="00DA799E">
        <w:rPr>
          <w:szCs w:val="22"/>
        </w:rPr>
        <w:t>merely “m</w:t>
      </w:r>
      <w:r w:rsidRPr="00DA799E" w:rsidR="00DA799E">
        <w:rPr>
          <w:szCs w:val="22"/>
        </w:rPr>
        <w:t>akes unsupported and generalized allegations</w:t>
      </w:r>
      <w:r w:rsidR="00E04ACC">
        <w:rPr>
          <w:szCs w:val="22"/>
        </w:rPr>
        <w:t xml:space="preserve">” </w:t>
      </w:r>
      <w:r w:rsidR="0047140C">
        <w:rPr>
          <w:szCs w:val="22"/>
        </w:rPr>
        <w:t>and fails to “</w:t>
      </w:r>
      <w:r w:rsidRPr="00E11860" w:rsidR="00E11860">
        <w:rPr>
          <w:szCs w:val="22"/>
        </w:rPr>
        <w:t>identify any specific facts related to Gray, Meredith, or</w:t>
      </w:r>
      <w:r w:rsidR="00E11860">
        <w:rPr>
          <w:szCs w:val="22"/>
        </w:rPr>
        <w:t xml:space="preserve"> </w:t>
      </w:r>
      <w:r w:rsidRPr="00E11860" w:rsidR="00E11860">
        <w:rPr>
          <w:szCs w:val="22"/>
        </w:rPr>
        <w:t>KPHO-TV that would support his concerns</w:t>
      </w:r>
      <w:r w:rsidR="00E11860">
        <w:rPr>
          <w:szCs w:val="22"/>
        </w:rPr>
        <w:t>.”</w:t>
      </w:r>
      <w:r>
        <w:rPr>
          <w:rStyle w:val="FootnoteReference"/>
          <w:szCs w:val="22"/>
        </w:rPr>
        <w:footnoteReference w:id="33"/>
      </w:r>
      <w:r w:rsidR="00F10485">
        <w:rPr>
          <w:szCs w:val="22"/>
        </w:rPr>
        <w:t xml:space="preserve">  </w:t>
      </w:r>
    </w:p>
    <w:p w:rsidR="00C625D8" w:rsidP="001C254D" w14:paraId="65037A95" w14:textId="469E1066">
      <w:pPr>
        <w:pStyle w:val="ParaNum"/>
        <w:widowControl/>
        <w:rPr>
          <w:szCs w:val="22"/>
        </w:rPr>
      </w:pPr>
      <w:r>
        <w:rPr>
          <w:szCs w:val="22"/>
        </w:rPr>
        <w:tab/>
      </w:r>
      <w:r w:rsidR="009B79A2">
        <w:rPr>
          <w:szCs w:val="22"/>
        </w:rPr>
        <w:t>T</w:t>
      </w:r>
      <w:r w:rsidR="00922C9C">
        <w:rPr>
          <w:szCs w:val="22"/>
        </w:rPr>
        <w:t>he Mr. Antenna Objection alleg</w:t>
      </w:r>
      <w:r w:rsidR="005263A9">
        <w:rPr>
          <w:szCs w:val="22"/>
        </w:rPr>
        <w:t>e</w:t>
      </w:r>
      <w:r w:rsidR="00286F1F">
        <w:rPr>
          <w:szCs w:val="22"/>
        </w:rPr>
        <w:t>s</w:t>
      </w:r>
      <w:r w:rsidR="00922C9C">
        <w:rPr>
          <w:szCs w:val="22"/>
        </w:rPr>
        <w:t xml:space="preserve"> that </w:t>
      </w:r>
      <w:r w:rsidR="009B79A2">
        <w:rPr>
          <w:szCs w:val="22"/>
        </w:rPr>
        <w:t>Mr. Antenna, a vendor of outdoor television antennas and services,</w:t>
      </w:r>
      <w:r w:rsidR="005D11F8">
        <w:rPr>
          <w:szCs w:val="22"/>
        </w:rPr>
        <w:t xml:space="preserve"> </w:t>
      </w:r>
      <w:r w:rsidR="00133C00">
        <w:rPr>
          <w:szCs w:val="22"/>
        </w:rPr>
        <w:t xml:space="preserve">was notified </w:t>
      </w:r>
      <w:r w:rsidR="000B00DA">
        <w:rPr>
          <w:szCs w:val="22"/>
        </w:rPr>
        <w:t xml:space="preserve">in June 2021 that </w:t>
      </w:r>
      <w:r w:rsidR="00133C00">
        <w:rPr>
          <w:szCs w:val="22"/>
        </w:rPr>
        <w:t xml:space="preserve">Meredith-owned </w:t>
      </w:r>
      <w:r w:rsidR="002D390B">
        <w:rPr>
          <w:szCs w:val="22"/>
        </w:rPr>
        <w:t xml:space="preserve">KVVU </w:t>
      </w:r>
      <w:r w:rsidR="005A6EF4">
        <w:rPr>
          <w:szCs w:val="22"/>
        </w:rPr>
        <w:t xml:space="preserve">would no longer accept advertisements related to </w:t>
      </w:r>
      <w:r w:rsidR="0043722E">
        <w:rPr>
          <w:szCs w:val="22"/>
        </w:rPr>
        <w:t>cord</w:t>
      </w:r>
      <w:r w:rsidR="00C15DE7">
        <w:rPr>
          <w:szCs w:val="22"/>
        </w:rPr>
        <w:t>-</w:t>
      </w:r>
      <w:r w:rsidR="0043722E">
        <w:rPr>
          <w:szCs w:val="22"/>
        </w:rPr>
        <w:t>cutting</w:t>
      </w:r>
      <w:r w:rsidR="00981FA4">
        <w:rPr>
          <w:szCs w:val="22"/>
        </w:rPr>
        <w:t>,</w:t>
      </w:r>
      <w:r w:rsidR="00F611F1">
        <w:rPr>
          <w:szCs w:val="22"/>
        </w:rPr>
        <w:t xml:space="preserve"> </w:t>
      </w:r>
      <w:r w:rsidR="00A526A2">
        <w:rPr>
          <w:szCs w:val="22"/>
        </w:rPr>
        <w:t xml:space="preserve">and that </w:t>
      </w:r>
      <w:r w:rsidR="00D43F26">
        <w:rPr>
          <w:szCs w:val="22"/>
        </w:rPr>
        <w:t>because antennas</w:t>
      </w:r>
      <w:r w:rsidR="00062AE4">
        <w:rPr>
          <w:szCs w:val="22"/>
        </w:rPr>
        <w:t xml:space="preserve"> were an alternative to cable</w:t>
      </w:r>
      <w:r w:rsidR="00A526A2">
        <w:rPr>
          <w:szCs w:val="22"/>
        </w:rPr>
        <w:t>,</w:t>
      </w:r>
      <w:r w:rsidR="00062AE4">
        <w:rPr>
          <w:szCs w:val="22"/>
        </w:rPr>
        <w:t xml:space="preserve"> </w:t>
      </w:r>
      <w:r w:rsidR="00A526A2">
        <w:rPr>
          <w:szCs w:val="22"/>
        </w:rPr>
        <w:t>they</w:t>
      </w:r>
      <w:r w:rsidR="00062AE4">
        <w:rPr>
          <w:szCs w:val="22"/>
        </w:rPr>
        <w:t xml:space="preserve"> </w:t>
      </w:r>
      <w:r w:rsidR="00D43F26">
        <w:rPr>
          <w:szCs w:val="22"/>
        </w:rPr>
        <w:t xml:space="preserve">“posed a competitive threat” </w:t>
      </w:r>
      <w:r w:rsidR="00160856">
        <w:rPr>
          <w:szCs w:val="22"/>
        </w:rPr>
        <w:t>to Meredith’s retransmission consent income</w:t>
      </w:r>
      <w:r w:rsidR="00A526A2">
        <w:rPr>
          <w:szCs w:val="22"/>
        </w:rPr>
        <w:t>.</w:t>
      </w:r>
      <w:r>
        <w:rPr>
          <w:rStyle w:val="FootnoteReference"/>
          <w:szCs w:val="22"/>
        </w:rPr>
        <w:footnoteReference w:id="34"/>
      </w:r>
      <w:r w:rsidR="00C1196F">
        <w:rPr>
          <w:szCs w:val="22"/>
        </w:rPr>
        <w:t xml:space="preserve">  </w:t>
      </w:r>
      <w:r w:rsidR="00A526A2">
        <w:rPr>
          <w:szCs w:val="22"/>
        </w:rPr>
        <w:t xml:space="preserve">Furthermore, </w:t>
      </w:r>
      <w:r w:rsidR="00286F1F">
        <w:rPr>
          <w:szCs w:val="22"/>
        </w:rPr>
        <w:t>it</w:t>
      </w:r>
      <w:r w:rsidR="00A526A2">
        <w:rPr>
          <w:szCs w:val="22"/>
        </w:rPr>
        <w:t xml:space="preserve"> allege</w:t>
      </w:r>
      <w:r w:rsidR="00286F1F">
        <w:rPr>
          <w:szCs w:val="22"/>
        </w:rPr>
        <w:t>s</w:t>
      </w:r>
      <w:r w:rsidR="000D6EDA">
        <w:rPr>
          <w:szCs w:val="22"/>
        </w:rPr>
        <w:t xml:space="preserve"> </w:t>
      </w:r>
      <w:r w:rsidR="00286F1F">
        <w:rPr>
          <w:szCs w:val="22"/>
        </w:rPr>
        <w:t xml:space="preserve">that </w:t>
      </w:r>
      <w:r w:rsidR="000D6EDA">
        <w:rPr>
          <w:szCs w:val="22"/>
        </w:rPr>
        <w:t>Mr. Antenna</w:t>
      </w:r>
      <w:r w:rsidR="00A526A2">
        <w:rPr>
          <w:szCs w:val="22"/>
        </w:rPr>
        <w:t xml:space="preserve"> </w:t>
      </w:r>
      <w:r w:rsidR="004A073B">
        <w:rPr>
          <w:szCs w:val="22"/>
        </w:rPr>
        <w:t xml:space="preserve">was told the decision came from the “senior level </w:t>
      </w:r>
      <w:r w:rsidRPr="00237546" w:rsidR="00A526A2">
        <w:rPr>
          <w:szCs w:val="22"/>
        </w:rPr>
        <w:t>at Meredith</w:t>
      </w:r>
      <w:r w:rsidR="00A526A2">
        <w:rPr>
          <w:szCs w:val="22"/>
        </w:rPr>
        <w:t>” and would apply to all of Meredith’s television stations.</w:t>
      </w:r>
      <w:r>
        <w:rPr>
          <w:rStyle w:val="FootnoteReference"/>
          <w:szCs w:val="22"/>
        </w:rPr>
        <w:footnoteReference w:id="35"/>
      </w:r>
      <w:r w:rsidR="00A526A2">
        <w:rPr>
          <w:szCs w:val="22"/>
        </w:rPr>
        <w:t xml:space="preserve">  </w:t>
      </w:r>
      <w:r w:rsidR="00C1196F">
        <w:rPr>
          <w:szCs w:val="22"/>
        </w:rPr>
        <w:t xml:space="preserve">Mr. Antenna </w:t>
      </w:r>
      <w:r w:rsidR="003D310A">
        <w:rPr>
          <w:szCs w:val="22"/>
        </w:rPr>
        <w:t>contend</w:t>
      </w:r>
      <w:r w:rsidR="00C1196F">
        <w:rPr>
          <w:szCs w:val="22"/>
        </w:rPr>
        <w:t xml:space="preserve">s that the alleged policy </w:t>
      </w:r>
      <w:r w:rsidRPr="00C1196F" w:rsidR="00C1196F">
        <w:rPr>
          <w:szCs w:val="22"/>
        </w:rPr>
        <w:t>conflicts with Meredith’s public</w:t>
      </w:r>
      <w:r w:rsidR="00C1196F">
        <w:rPr>
          <w:szCs w:val="22"/>
        </w:rPr>
        <w:t xml:space="preserve"> </w:t>
      </w:r>
      <w:r w:rsidRPr="00C1196F" w:rsidR="00C1196F">
        <w:rPr>
          <w:szCs w:val="22"/>
        </w:rPr>
        <w:t>interest obligations</w:t>
      </w:r>
      <w:r w:rsidR="00C1196F">
        <w:rPr>
          <w:szCs w:val="22"/>
        </w:rPr>
        <w:t xml:space="preserve"> as a television licensee</w:t>
      </w:r>
      <w:r>
        <w:rPr>
          <w:szCs w:val="22"/>
        </w:rPr>
        <w:t xml:space="preserve"> to provide free over-the-air television service</w:t>
      </w:r>
      <w:r w:rsidR="00C25C49">
        <w:rPr>
          <w:szCs w:val="22"/>
        </w:rPr>
        <w:t xml:space="preserve"> and undermines competition between over-the-air and paid television services</w:t>
      </w:r>
      <w:r w:rsidR="00782E09">
        <w:rPr>
          <w:szCs w:val="22"/>
        </w:rPr>
        <w:t>,</w:t>
      </w:r>
      <w:r w:rsidR="00C25C49">
        <w:rPr>
          <w:szCs w:val="22"/>
        </w:rPr>
        <w:t xml:space="preserve"> such as cable or satellite</w:t>
      </w:r>
      <w:r>
        <w:rPr>
          <w:szCs w:val="22"/>
        </w:rPr>
        <w:t>.</w:t>
      </w:r>
      <w:r>
        <w:rPr>
          <w:rStyle w:val="FootnoteReference"/>
          <w:szCs w:val="22"/>
        </w:rPr>
        <w:footnoteReference w:id="36"/>
      </w:r>
      <w:r w:rsidR="00131FDE">
        <w:rPr>
          <w:szCs w:val="22"/>
        </w:rPr>
        <w:t xml:space="preserve">  </w:t>
      </w:r>
      <w:r w:rsidR="00E339B5">
        <w:rPr>
          <w:szCs w:val="22"/>
        </w:rPr>
        <w:t xml:space="preserve">In addition, </w:t>
      </w:r>
      <w:r w:rsidR="001A0BCE">
        <w:rPr>
          <w:szCs w:val="22"/>
        </w:rPr>
        <w:t xml:space="preserve">even </w:t>
      </w:r>
      <w:r w:rsidR="00A25E89">
        <w:rPr>
          <w:szCs w:val="22"/>
        </w:rPr>
        <w:t xml:space="preserve">though </w:t>
      </w:r>
      <w:r w:rsidR="00E339B5">
        <w:rPr>
          <w:szCs w:val="22"/>
        </w:rPr>
        <w:t>Mr. Antenna</w:t>
      </w:r>
      <w:r w:rsidR="00A25E89">
        <w:rPr>
          <w:szCs w:val="22"/>
        </w:rPr>
        <w:t xml:space="preserve"> admits that he </w:t>
      </w:r>
      <w:r w:rsidR="00166158">
        <w:rPr>
          <w:szCs w:val="22"/>
        </w:rPr>
        <w:t>does</w:t>
      </w:r>
      <w:r w:rsidR="008B6F3B">
        <w:rPr>
          <w:szCs w:val="22"/>
        </w:rPr>
        <w:t xml:space="preserve"> </w:t>
      </w:r>
      <w:r w:rsidR="00A25E89">
        <w:rPr>
          <w:szCs w:val="22"/>
        </w:rPr>
        <w:t>“</w:t>
      </w:r>
      <w:r w:rsidR="008C6378">
        <w:rPr>
          <w:szCs w:val="22"/>
        </w:rPr>
        <w:t xml:space="preserve">not have </w:t>
      </w:r>
      <w:r w:rsidR="00A25E89">
        <w:rPr>
          <w:szCs w:val="22"/>
        </w:rPr>
        <w:t>direct knowledge” of Gray’s position with respect to the alleged advertising policy</w:t>
      </w:r>
      <w:r w:rsidR="001A0BCE">
        <w:rPr>
          <w:szCs w:val="22"/>
        </w:rPr>
        <w:t>,</w:t>
      </w:r>
      <w:r w:rsidR="00893E3A">
        <w:rPr>
          <w:szCs w:val="22"/>
        </w:rPr>
        <w:t xml:space="preserve"> </w:t>
      </w:r>
      <w:r w:rsidR="00A25E89">
        <w:rPr>
          <w:szCs w:val="22"/>
        </w:rPr>
        <w:t xml:space="preserve">he </w:t>
      </w:r>
      <w:r w:rsidR="001A0BCE">
        <w:rPr>
          <w:szCs w:val="22"/>
        </w:rPr>
        <w:t>state</w:t>
      </w:r>
      <w:r w:rsidR="00893E3A">
        <w:rPr>
          <w:szCs w:val="22"/>
        </w:rPr>
        <w:t xml:space="preserve">s </w:t>
      </w:r>
      <w:r w:rsidR="00E339B5">
        <w:rPr>
          <w:szCs w:val="22"/>
        </w:rPr>
        <w:t>that</w:t>
      </w:r>
      <w:r w:rsidR="00BF06F0">
        <w:rPr>
          <w:szCs w:val="22"/>
        </w:rPr>
        <w:t xml:space="preserve"> the policy</w:t>
      </w:r>
      <w:r w:rsidR="00A25E89">
        <w:rPr>
          <w:szCs w:val="22"/>
        </w:rPr>
        <w:t xml:space="preserve"> may have been</w:t>
      </w:r>
      <w:r w:rsidR="00893E3A">
        <w:rPr>
          <w:szCs w:val="22"/>
        </w:rPr>
        <w:t xml:space="preserve"> encouraged by Gray </w:t>
      </w:r>
      <w:r w:rsidR="00893E3A">
        <w:rPr>
          <w:szCs w:val="22"/>
        </w:rPr>
        <w:t>and/or that Gray may already have or soon implement its own similar policy.</w:t>
      </w:r>
      <w:r>
        <w:rPr>
          <w:rStyle w:val="FootnoteReference"/>
          <w:szCs w:val="22"/>
        </w:rPr>
        <w:footnoteReference w:id="37"/>
      </w:r>
      <w:r w:rsidR="00A25E89">
        <w:rPr>
          <w:szCs w:val="22"/>
        </w:rPr>
        <w:t xml:space="preserve">  </w:t>
      </w:r>
      <w:r w:rsidR="00031109">
        <w:rPr>
          <w:szCs w:val="22"/>
        </w:rPr>
        <w:t xml:space="preserve">Mr. Antenna </w:t>
      </w:r>
      <w:r w:rsidRPr="00031109" w:rsidR="00031109">
        <w:rPr>
          <w:szCs w:val="22"/>
        </w:rPr>
        <w:t>requests that the Commission impose a condition on the Transaction requiring that Gray either accept reasonable advertising requests from television antenna vendors, or, in the alternative, require that if Gray ever adopts a policy to refuse advertisements to antenna vendors that it place a certification in its online public file that the policy is unrelated to a desire to protect retransmission consent revenues.</w:t>
      </w:r>
      <w:r>
        <w:rPr>
          <w:rStyle w:val="FootnoteReference"/>
          <w:szCs w:val="22"/>
        </w:rPr>
        <w:footnoteReference w:id="38"/>
      </w:r>
      <w:r w:rsidR="00B86325">
        <w:rPr>
          <w:szCs w:val="22"/>
        </w:rPr>
        <w:t xml:space="preserve"> </w:t>
      </w:r>
      <w:r w:rsidR="00D501C7">
        <w:rPr>
          <w:szCs w:val="22"/>
        </w:rPr>
        <w:t xml:space="preserve"> </w:t>
      </w:r>
    </w:p>
    <w:p w:rsidR="00AE5CB7" w:rsidP="00CC5F2A" w14:paraId="36628935" w14:textId="6699310B">
      <w:pPr>
        <w:pStyle w:val="ParaNum"/>
        <w:rPr>
          <w:szCs w:val="22"/>
        </w:rPr>
      </w:pPr>
      <w:r>
        <w:rPr>
          <w:szCs w:val="22"/>
        </w:rPr>
        <w:tab/>
      </w:r>
      <w:r w:rsidR="00286F1F">
        <w:rPr>
          <w:szCs w:val="22"/>
        </w:rPr>
        <w:t xml:space="preserve">In response, </w:t>
      </w:r>
      <w:r>
        <w:rPr>
          <w:szCs w:val="22"/>
        </w:rPr>
        <w:t>Meredi</w:t>
      </w:r>
      <w:r w:rsidR="008D68D8">
        <w:rPr>
          <w:szCs w:val="22"/>
        </w:rPr>
        <w:t>th</w:t>
      </w:r>
      <w:r w:rsidR="0084188C">
        <w:rPr>
          <w:szCs w:val="22"/>
        </w:rPr>
        <w:t xml:space="preserve"> </w:t>
      </w:r>
      <w:r w:rsidR="00695B66">
        <w:rPr>
          <w:szCs w:val="22"/>
        </w:rPr>
        <w:t>asserts</w:t>
      </w:r>
      <w:r w:rsidR="00CC5F2A">
        <w:rPr>
          <w:szCs w:val="22"/>
        </w:rPr>
        <w:t xml:space="preserve"> that “Meredith </w:t>
      </w:r>
      <w:r w:rsidRPr="00CC5F2A" w:rsidR="00CC5F2A">
        <w:rPr>
          <w:szCs w:val="22"/>
        </w:rPr>
        <w:t>does not have and never has had a corporate policy against accepting</w:t>
      </w:r>
      <w:r w:rsidR="00CC5F2A">
        <w:rPr>
          <w:szCs w:val="22"/>
        </w:rPr>
        <w:t xml:space="preserve"> </w:t>
      </w:r>
      <w:r w:rsidRPr="00CC5F2A" w:rsidR="00CC5F2A">
        <w:rPr>
          <w:szCs w:val="22"/>
        </w:rPr>
        <w:t>advertisements for over-the-air antennas or their installation</w:t>
      </w:r>
      <w:r w:rsidR="00CC5F2A">
        <w:rPr>
          <w:szCs w:val="22"/>
        </w:rPr>
        <w:t>” and that Gray has never sought to influence Meredith’s advertising policies.</w:t>
      </w:r>
      <w:r>
        <w:rPr>
          <w:rStyle w:val="FootnoteReference"/>
          <w:szCs w:val="22"/>
        </w:rPr>
        <w:footnoteReference w:id="39"/>
      </w:r>
      <w:r w:rsidR="00CC5F2A">
        <w:rPr>
          <w:szCs w:val="22"/>
        </w:rPr>
        <w:t xml:space="preserve">  </w:t>
      </w:r>
      <w:r w:rsidR="00286F1F">
        <w:rPr>
          <w:szCs w:val="22"/>
        </w:rPr>
        <w:t>Meredith’s Response concedes</w:t>
      </w:r>
      <w:r w:rsidR="006D0570">
        <w:rPr>
          <w:szCs w:val="22"/>
        </w:rPr>
        <w:t xml:space="preserve"> that </w:t>
      </w:r>
      <w:r w:rsidR="00CC5F2A">
        <w:rPr>
          <w:szCs w:val="22"/>
        </w:rPr>
        <w:t>KVVU</w:t>
      </w:r>
      <w:r w:rsidR="009D1FD1">
        <w:rPr>
          <w:szCs w:val="22"/>
        </w:rPr>
        <w:t xml:space="preserve"> sales staff</w:t>
      </w:r>
      <w:r w:rsidR="00425E65">
        <w:rPr>
          <w:szCs w:val="22"/>
        </w:rPr>
        <w:t xml:space="preserve"> told Mr. Antenna </w:t>
      </w:r>
      <w:r w:rsidR="00AC3958">
        <w:rPr>
          <w:szCs w:val="22"/>
        </w:rPr>
        <w:t>they</w:t>
      </w:r>
      <w:r w:rsidR="00017DAB">
        <w:rPr>
          <w:szCs w:val="22"/>
        </w:rPr>
        <w:t xml:space="preserve"> could no longer </w:t>
      </w:r>
      <w:r w:rsidR="00AC3958">
        <w:rPr>
          <w:szCs w:val="22"/>
        </w:rPr>
        <w:t>accept</w:t>
      </w:r>
      <w:r w:rsidR="00017DAB">
        <w:rPr>
          <w:szCs w:val="22"/>
        </w:rPr>
        <w:t xml:space="preserve"> his advertisements due to </w:t>
      </w:r>
      <w:r w:rsidR="00BD182D">
        <w:rPr>
          <w:szCs w:val="22"/>
        </w:rPr>
        <w:t xml:space="preserve">what they understood to be a new Meredith policy </w:t>
      </w:r>
      <w:r w:rsidR="00814A6B">
        <w:rPr>
          <w:szCs w:val="22"/>
        </w:rPr>
        <w:t>against advertising that promotes cord</w:t>
      </w:r>
      <w:r w:rsidR="00C15DE7">
        <w:rPr>
          <w:szCs w:val="22"/>
        </w:rPr>
        <w:t>-</w:t>
      </w:r>
      <w:r w:rsidR="00814A6B">
        <w:rPr>
          <w:szCs w:val="22"/>
        </w:rPr>
        <w:t>cutting</w:t>
      </w:r>
      <w:r w:rsidR="00FE6C9E">
        <w:rPr>
          <w:szCs w:val="22"/>
        </w:rPr>
        <w:t>.</w:t>
      </w:r>
      <w:r>
        <w:rPr>
          <w:rStyle w:val="FootnoteReference"/>
          <w:szCs w:val="22"/>
        </w:rPr>
        <w:footnoteReference w:id="40"/>
      </w:r>
      <w:r w:rsidR="009D1FD1">
        <w:rPr>
          <w:szCs w:val="22"/>
        </w:rPr>
        <w:t xml:space="preserve"> </w:t>
      </w:r>
      <w:r w:rsidR="00100192">
        <w:rPr>
          <w:szCs w:val="22"/>
        </w:rPr>
        <w:t xml:space="preserve"> However, Meredith</w:t>
      </w:r>
      <w:r w:rsidR="001302F1">
        <w:rPr>
          <w:szCs w:val="22"/>
        </w:rPr>
        <w:t>’s Response</w:t>
      </w:r>
      <w:r w:rsidR="00100192">
        <w:rPr>
          <w:szCs w:val="22"/>
        </w:rPr>
        <w:t xml:space="preserve"> </w:t>
      </w:r>
      <w:r w:rsidR="00286F1F">
        <w:rPr>
          <w:szCs w:val="22"/>
        </w:rPr>
        <w:t>provides</w:t>
      </w:r>
      <w:r w:rsidR="00CA53F8">
        <w:rPr>
          <w:szCs w:val="22"/>
        </w:rPr>
        <w:t xml:space="preserve"> further context explaining</w:t>
      </w:r>
      <w:r w:rsidR="00100192">
        <w:rPr>
          <w:szCs w:val="22"/>
        </w:rPr>
        <w:t xml:space="preserve"> that </w:t>
      </w:r>
      <w:r w:rsidR="009F5823">
        <w:rPr>
          <w:szCs w:val="22"/>
        </w:rPr>
        <w:t xml:space="preserve">it was due to a misunderstanding by KVVU’s sales staff and that no such </w:t>
      </w:r>
      <w:r w:rsidR="00547FCB">
        <w:rPr>
          <w:szCs w:val="22"/>
        </w:rPr>
        <w:t xml:space="preserve">Meredith </w:t>
      </w:r>
      <w:r w:rsidR="009F5823">
        <w:rPr>
          <w:szCs w:val="22"/>
        </w:rPr>
        <w:t xml:space="preserve">policy </w:t>
      </w:r>
      <w:r w:rsidR="00547FCB">
        <w:rPr>
          <w:szCs w:val="22"/>
        </w:rPr>
        <w:t xml:space="preserve">has </w:t>
      </w:r>
      <w:r w:rsidR="009F5823">
        <w:rPr>
          <w:szCs w:val="22"/>
        </w:rPr>
        <w:t xml:space="preserve">ever </w:t>
      </w:r>
      <w:r w:rsidR="00322F48">
        <w:rPr>
          <w:szCs w:val="22"/>
        </w:rPr>
        <w:t>existed.</w:t>
      </w:r>
      <w:r>
        <w:rPr>
          <w:rStyle w:val="FootnoteReference"/>
          <w:szCs w:val="22"/>
        </w:rPr>
        <w:footnoteReference w:id="41"/>
      </w:r>
      <w:r w:rsidR="0005450C">
        <w:rPr>
          <w:szCs w:val="22"/>
        </w:rPr>
        <w:t xml:space="preserve">  Specifically, </w:t>
      </w:r>
      <w:r w:rsidR="00286F1F">
        <w:rPr>
          <w:szCs w:val="22"/>
        </w:rPr>
        <w:t>Meredith</w:t>
      </w:r>
      <w:r w:rsidR="0005450C">
        <w:rPr>
          <w:szCs w:val="22"/>
        </w:rPr>
        <w:t xml:space="preserve"> state</w:t>
      </w:r>
      <w:r w:rsidR="00286F1F">
        <w:rPr>
          <w:szCs w:val="22"/>
        </w:rPr>
        <w:t>s</w:t>
      </w:r>
      <w:r w:rsidR="0005450C">
        <w:rPr>
          <w:szCs w:val="22"/>
        </w:rPr>
        <w:t xml:space="preserve"> that </w:t>
      </w:r>
      <w:r w:rsidR="00102462">
        <w:rPr>
          <w:szCs w:val="22"/>
        </w:rPr>
        <w:t>in mid-July</w:t>
      </w:r>
      <w:r w:rsidR="00605A0A">
        <w:rPr>
          <w:szCs w:val="22"/>
        </w:rPr>
        <w:t xml:space="preserve"> Mr. Antenna’s owner called Meredith’s attorney</w:t>
      </w:r>
      <w:r w:rsidR="00286F1F">
        <w:rPr>
          <w:szCs w:val="22"/>
        </w:rPr>
        <w:t>,</w:t>
      </w:r>
      <w:r w:rsidR="00605A0A">
        <w:rPr>
          <w:szCs w:val="22"/>
        </w:rPr>
        <w:t xml:space="preserve"> Michael Basile</w:t>
      </w:r>
      <w:r w:rsidR="00286F1F">
        <w:rPr>
          <w:szCs w:val="22"/>
        </w:rPr>
        <w:t>,</w:t>
      </w:r>
      <w:r w:rsidR="00605A0A">
        <w:rPr>
          <w:szCs w:val="22"/>
        </w:rPr>
        <w:t xml:space="preserve"> to inform him that KVVU refused his advertisements</w:t>
      </w:r>
      <w:r w:rsidR="00A43B7A">
        <w:rPr>
          <w:szCs w:val="22"/>
        </w:rPr>
        <w:t xml:space="preserve"> and </w:t>
      </w:r>
      <w:r w:rsidR="00521049">
        <w:rPr>
          <w:szCs w:val="22"/>
        </w:rPr>
        <w:t>“</w:t>
      </w:r>
      <w:r w:rsidR="00A43B7A">
        <w:rPr>
          <w:szCs w:val="22"/>
        </w:rPr>
        <w:t>wonder</w:t>
      </w:r>
      <w:r w:rsidR="00521049">
        <w:rPr>
          <w:szCs w:val="22"/>
        </w:rPr>
        <w:t>[</w:t>
      </w:r>
      <w:r w:rsidR="00A43B7A">
        <w:rPr>
          <w:szCs w:val="22"/>
        </w:rPr>
        <w:t>ed</w:t>
      </w:r>
      <w:r w:rsidR="00521049">
        <w:rPr>
          <w:szCs w:val="22"/>
        </w:rPr>
        <w:t>]</w:t>
      </w:r>
      <w:r w:rsidR="00A43B7A">
        <w:rPr>
          <w:szCs w:val="22"/>
        </w:rPr>
        <w:t xml:space="preserve"> aloud</w:t>
      </w:r>
      <w:r w:rsidR="00521049">
        <w:rPr>
          <w:szCs w:val="22"/>
        </w:rPr>
        <w:t>”</w:t>
      </w:r>
      <w:r w:rsidR="00A43B7A">
        <w:rPr>
          <w:szCs w:val="22"/>
        </w:rPr>
        <w:t xml:space="preserve"> if it created an antitrust case.</w:t>
      </w:r>
      <w:r>
        <w:rPr>
          <w:rStyle w:val="FootnoteReference"/>
          <w:szCs w:val="22"/>
        </w:rPr>
        <w:footnoteReference w:id="42"/>
      </w:r>
      <w:r w:rsidR="00A43B7A">
        <w:rPr>
          <w:szCs w:val="22"/>
        </w:rPr>
        <w:t xml:space="preserve">  Upon learning of Mr</w:t>
      </w:r>
      <w:r w:rsidR="00B648B6">
        <w:rPr>
          <w:szCs w:val="22"/>
        </w:rPr>
        <w:t>. Antenna’s claims</w:t>
      </w:r>
      <w:r w:rsidR="00286F1F">
        <w:rPr>
          <w:szCs w:val="22"/>
        </w:rPr>
        <w:t>,</w:t>
      </w:r>
      <w:r w:rsidR="00B648B6">
        <w:rPr>
          <w:szCs w:val="22"/>
        </w:rPr>
        <w:t xml:space="preserve"> KVVU General Manager, Michael </w:t>
      </w:r>
      <w:r w:rsidR="00B648B6">
        <w:rPr>
          <w:szCs w:val="22"/>
        </w:rPr>
        <w:t>Korr</w:t>
      </w:r>
      <w:r w:rsidR="00B648B6">
        <w:rPr>
          <w:szCs w:val="22"/>
        </w:rPr>
        <w:t xml:space="preserve">, </w:t>
      </w:r>
      <w:r w:rsidR="00C11E8D">
        <w:rPr>
          <w:szCs w:val="22"/>
        </w:rPr>
        <w:t xml:space="preserve">determined that a miscommunication had caused his sales staff to think they </w:t>
      </w:r>
      <w:r w:rsidR="00D83963">
        <w:rPr>
          <w:szCs w:val="22"/>
        </w:rPr>
        <w:t>could no longer</w:t>
      </w:r>
      <w:r w:rsidR="00C11E8D">
        <w:rPr>
          <w:szCs w:val="22"/>
        </w:rPr>
        <w:t xml:space="preserve"> air Mr. Antenna’s advertisements.</w:t>
      </w:r>
      <w:r>
        <w:rPr>
          <w:rStyle w:val="FootnoteReference"/>
          <w:szCs w:val="22"/>
        </w:rPr>
        <w:footnoteReference w:id="43"/>
      </w:r>
      <w:r w:rsidR="00C11E8D">
        <w:rPr>
          <w:szCs w:val="22"/>
        </w:rPr>
        <w:t xml:space="preserve">  </w:t>
      </w:r>
      <w:r w:rsidR="006372C9">
        <w:rPr>
          <w:szCs w:val="22"/>
        </w:rPr>
        <w:t xml:space="preserve">Mr. </w:t>
      </w:r>
      <w:r w:rsidR="006372C9">
        <w:rPr>
          <w:szCs w:val="22"/>
        </w:rPr>
        <w:t>Korr</w:t>
      </w:r>
      <w:r w:rsidR="006372C9">
        <w:rPr>
          <w:szCs w:val="22"/>
        </w:rPr>
        <w:t>, realizing this to be an error, contacted Mr. Antenna</w:t>
      </w:r>
      <w:r w:rsidR="009C4A13">
        <w:rPr>
          <w:szCs w:val="22"/>
        </w:rPr>
        <w:t xml:space="preserve"> to inform him of the misunderstanding, explain to him that no such policy existed, and </w:t>
      </w:r>
      <w:r w:rsidR="00DC4574">
        <w:rPr>
          <w:szCs w:val="22"/>
        </w:rPr>
        <w:t>offer to air his advertising on KVVU.</w:t>
      </w:r>
      <w:r>
        <w:rPr>
          <w:rStyle w:val="FootnoteReference"/>
          <w:szCs w:val="22"/>
        </w:rPr>
        <w:footnoteReference w:id="44"/>
      </w:r>
      <w:r w:rsidR="00DC4574">
        <w:rPr>
          <w:szCs w:val="22"/>
        </w:rPr>
        <w:t xml:space="preserve"> </w:t>
      </w:r>
      <w:r w:rsidR="00322F48">
        <w:rPr>
          <w:szCs w:val="22"/>
        </w:rPr>
        <w:t xml:space="preserve"> </w:t>
      </w:r>
      <w:r w:rsidR="008D1608">
        <w:rPr>
          <w:szCs w:val="22"/>
        </w:rPr>
        <w:t>In addition, on July 14, 2021, prior to contacting Mr. Basile, Mr. Antenna contacted Meredith station KPHO-TV, Phoenix, Arizona</w:t>
      </w:r>
      <w:r w:rsidR="00B46F9E">
        <w:rPr>
          <w:szCs w:val="22"/>
        </w:rPr>
        <w:t>,</w:t>
      </w:r>
      <w:r w:rsidR="008D1608">
        <w:rPr>
          <w:szCs w:val="22"/>
        </w:rPr>
        <w:t xml:space="preserve"> (KPHO) requesting advertising on th</w:t>
      </w:r>
      <w:r w:rsidR="00286F1F">
        <w:rPr>
          <w:szCs w:val="22"/>
        </w:rPr>
        <w:t>at</w:t>
      </w:r>
      <w:r w:rsidR="008D1608">
        <w:rPr>
          <w:szCs w:val="22"/>
        </w:rPr>
        <w:t xml:space="preserve"> station</w:t>
      </w:r>
      <w:r w:rsidR="00286F1F">
        <w:rPr>
          <w:szCs w:val="22"/>
        </w:rPr>
        <w:t>,</w:t>
      </w:r>
      <w:r w:rsidR="008D1608">
        <w:rPr>
          <w:szCs w:val="22"/>
        </w:rPr>
        <w:t xml:space="preserve"> and KPHO staff responded </w:t>
      </w:r>
      <w:r w:rsidR="00286F1F">
        <w:rPr>
          <w:szCs w:val="22"/>
        </w:rPr>
        <w:t>by</w:t>
      </w:r>
      <w:r w:rsidR="008D1608">
        <w:rPr>
          <w:szCs w:val="22"/>
        </w:rPr>
        <w:t xml:space="preserve"> attempt</w:t>
      </w:r>
      <w:r w:rsidR="00286F1F">
        <w:rPr>
          <w:szCs w:val="22"/>
        </w:rPr>
        <w:t>ing</w:t>
      </w:r>
      <w:r w:rsidR="008D1608">
        <w:rPr>
          <w:szCs w:val="22"/>
        </w:rPr>
        <w:t xml:space="preserve"> to sell him advertising.</w:t>
      </w:r>
      <w:r>
        <w:rPr>
          <w:rStyle w:val="FootnoteReference"/>
          <w:szCs w:val="22"/>
        </w:rPr>
        <w:footnoteReference w:id="45"/>
      </w:r>
      <w:r w:rsidR="006F0DEE">
        <w:rPr>
          <w:szCs w:val="22"/>
        </w:rPr>
        <w:t xml:space="preserve">  </w:t>
      </w:r>
      <w:r w:rsidRPr="007633C6" w:rsidR="006F0DEE">
        <w:rPr>
          <w:szCs w:val="22"/>
        </w:rPr>
        <w:t xml:space="preserve">Meredith </w:t>
      </w:r>
      <w:r w:rsidR="00286F1F">
        <w:rPr>
          <w:szCs w:val="22"/>
        </w:rPr>
        <w:t>contend</w:t>
      </w:r>
      <w:r w:rsidRPr="007633C6" w:rsidR="006F0DEE">
        <w:rPr>
          <w:szCs w:val="22"/>
        </w:rPr>
        <w:t>s that</w:t>
      </w:r>
      <w:r w:rsidR="006F0DEE">
        <w:rPr>
          <w:szCs w:val="22"/>
        </w:rPr>
        <w:t xml:space="preserve"> </w:t>
      </w:r>
      <w:r w:rsidRPr="007633C6" w:rsidR="006F0DEE">
        <w:rPr>
          <w:szCs w:val="22"/>
        </w:rPr>
        <w:t>the Mr. Antenna Objection is based on false premises</w:t>
      </w:r>
      <w:r w:rsidR="00286F1F">
        <w:rPr>
          <w:szCs w:val="22"/>
        </w:rPr>
        <w:t>, asserting that</w:t>
      </w:r>
      <w:r w:rsidRPr="007633C6" w:rsidR="006F0DEE">
        <w:rPr>
          <w:szCs w:val="22"/>
        </w:rPr>
        <w:t xml:space="preserve"> Meredith has never had a policy against advertising that promotes cord-cutting</w:t>
      </w:r>
      <w:r w:rsidR="00286F1F">
        <w:rPr>
          <w:szCs w:val="22"/>
        </w:rPr>
        <w:t>,</w:t>
      </w:r>
      <w:r w:rsidRPr="007633C6" w:rsidR="006F0DEE">
        <w:rPr>
          <w:szCs w:val="22"/>
        </w:rPr>
        <w:t xml:space="preserve"> nor has Gray pressured it to adopt one, and, without these underlying premises </w:t>
      </w:r>
      <w:r w:rsidR="00286F1F">
        <w:rPr>
          <w:szCs w:val="22"/>
        </w:rPr>
        <w:t>the Mr. Antenna</w:t>
      </w:r>
      <w:r w:rsidRPr="007633C6" w:rsidR="006F0DEE">
        <w:rPr>
          <w:szCs w:val="22"/>
        </w:rPr>
        <w:t xml:space="preserve"> arguments “collapse into nonsense.”</w:t>
      </w:r>
      <w:r>
        <w:rPr>
          <w:rStyle w:val="FootnoteReference"/>
          <w:szCs w:val="22"/>
        </w:rPr>
        <w:footnoteReference w:id="46"/>
      </w:r>
      <w:r w:rsidR="006F0DEE">
        <w:rPr>
          <w:szCs w:val="22"/>
        </w:rPr>
        <w:t xml:space="preserve">  </w:t>
      </w:r>
    </w:p>
    <w:p w:rsidR="00682747" w:rsidP="00E41EB0" w14:paraId="0C21A430" w14:textId="610FF846">
      <w:pPr>
        <w:pStyle w:val="ParaNum"/>
        <w:widowControl/>
        <w:ind w:firstLine="720"/>
        <w:rPr>
          <w:szCs w:val="22"/>
        </w:rPr>
      </w:pPr>
      <w:r>
        <w:rPr>
          <w:szCs w:val="22"/>
        </w:rPr>
        <w:t>G</w:t>
      </w:r>
      <w:r w:rsidR="004B385C">
        <w:rPr>
          <w:szCs w:val="22"/>
        </w:rPr>
        <w:t xml:space="preserve">ray </w:t>
      </w:r>
      <w:r w:rsidR="00AE5CB7">
        <w:rPr>
          <w:szCs w:val="22"/>
        </w:rPr>
        <w:t>filed a separate r</w:t>
      </w:r>
      <w:r w:rsidR="007703A4">
        <w:rPr>
          <w:szCs w:val="22"/>
        </w:rPr>
        <w:t>esponse to the Mr. Antenna Objection</w:t>
      </w:r>
      <w:r w:rsidR="00AE5CB7">
        <w:rPr>
          <w:szCs w:val="22"/>
        </w:rPr>
        <w:t xml:space="preserve"> that</w:t>
      </w:r>
      <w:r w:rsidR="009508C1">
        <w:rPr>
          <w:szCs w:val="22"/>
        </w:rPr>
        <w:t xml:space="preserve"> reiterates </w:t>
      </w:r>
      <w:r w:rsidR="00D16AD8">
        <w:rPr>
          <w:szCs w:val="22"/>
        </w:rPr>
        <w:t xml:space="preserve">Meredith’s </w:t>
      </w:r>
      <w:r w:rsidR="009508C1">
        <w:rPr>
          <w:szCs w:val="22"/>
        </w:rPr>
        <w:t xml:space="preserve">factual rebuttal </w:t>
      </w:r>
      <w:r w:rsidR="006F0F05">
        <w:rPr>
          <w:szCs w:val="22"/>
        </w:rPr>
        <w:t xml:space="preserve">and </w:t>
      </w:r>
      <w:r w:rsidR="00286F1F">
        <w:rPr>
          <w:szCs w:val="22"/>
        </w:rPr>
        <w:t>contend</w:t>
      </w:r>
      <w:r w:rsidR="006F0F05">
        <w:rPr>
          <w:szCs w:val="22"/>
        </w:rPr>
        <w:t xml:space="preserve">s </w:t>
      </w:r>
      <w:r w:rsidR="00B050E4">
        <w:rPr>
          <w:szCs w:val="22"/>
        </w:rPr>
        <w:t xml:space="preserve">that </w:t>
      </w:r>
      <w:r w:rsidR="00C42F04">
        <w:rPr>
          <w:szCs w:val="22"/>
        </w:rPr>
        <w:t xml:space="preserve">even if the policy existed </w:t>
      </w:r>
      <w:r w:rsidR="004066E0">
        <w:rPr>
          <w:szCs w:val="22"/>
        </w:rPr>
        <w:t xml:space="preserve">it would be improper for the Commission to </w:t>
      </w:r>
      <w:r w:rsidR="0045647B">
        <w:rPr>
          <w:szCs w:val="22"/>
        </w:rPr>
        <w:t xml:space="preserve">“bootstrap general policy-related concerns” </w:t>
      </w:r>
      <w:r w:rsidR="00C42F04">
        <w:rPr>
          <w:szCs w:val="22"/>
        </w:rPr>
        <w:t>to this Transaction</w:t>
      </w:r>
      <w:r w:rsidR="009D4038">
        <w:rPr>
          <w:szCs w:val="22"/>
        </w:rPr>
        <w:t xml:space="preserve"> instead of addressing </w:t>
      </w:r>
      <w:r w:rsidR="006E1D9B">
        <w:rPr>
          <w:szCs w:val="22"/>
        </w:rPr>
        <w:t>them</w:t>
      </w:r>
      <w:r w:rsidR="009D4038">
        <w:rPr>
          <w:szCs w:val="22"/>
        </w:rPr>
        <w:t xml:space="preserve"> in a rulemaking</w:t>
      </w:r>
      <w:r w:rsidR="005A03CF">
        <w:rPr>
          <w:szCs w:val="22"/>
        </w:rPr>
        <w:t>.  It also notes</w:t>
      </w:r>
      <w:r w:rsidR="00C42F04">
        <w:rPr>
          <w:szCs w:val="22"/>
        </w:rPr>
        <w:t xml:space="preserve"> that </w:t>
      </w:r>
      <w:r w:rsidR="00C5379E">
        <w:rPr>
          <w:szCs w:val="22"/>
        </w:rPr>
        <w:t>Mr. Antenna’s remedy is not transaction specific</w:t>
      </w:r>
      <w:r w:rsidR="00D749C8">
        <w:rPr>
          <w:szCs w:val="22"/>
        </w:rPr>
        <w:t>.</w:t>
      </w:r>
      <w:r>
        <w:rPr>
          <w:rStyle w:val="FootnoteReference"/>
          <w:szCs w:val="22"/>
        </w:rPr>
        <w:footnoteReference w:id="47"/>
      </w:r>
      <w:r w:rsidR="00192D61">
        <w:rPr>
          <w:szCs w:val="22"/>
        </w:rPr>
        <w:t xml:space="preserve">  </w:t>
      </w:r>
      <w:r w:rsidR="009B4434">
        <w:rPr>
          <w:szCs w:val="22"/>
        </w:rPr>
        <w:t>After Gray and Meredith filed their responses, Mr. Antenna filed a brief supplement to its informal objection.</w:t>
      </w:r>
      <w:r w:rsidR="001A3E46">
        <w:rPr>
          <w:szCs w:val="22"/>
        </w:rPr>
        <w:t xml:space="preserve">  </w:t>
      </w:r>
      <w:r w:rsidR="00B74ABC">
        <w:rPr>
          <w:szCs w:val="22"/>
        </w:rPr>
        <w:t xml:space="preserve">The supplemental objection does not </w:t>
      </w:r>
      <w:r w:rsidR="0066234F">
        <w:rPr>
          <w:szCs w:val="22"/>
        </w:rPr>
        <w:t xml:space="preserve">deny the additional context provided in Meredith’s </w:t>
      </w:r>
      <w:r w:rsidR="00B47DBB">
        <w:rPr>
          <w:szCs w:val="22"/>
        </w:rPr>
        <w:t>r</w:t>
      </w:r>
      <w:r w:rsidR="00FE158B">
        <w:rPr>
          <w:szCs w:val="22"/>
        </w:rPr>
        <w:t xml:space="preserve">esponse </w:t>
      </w:r>
      <w:r w:rsidR="00B47DBB">
        <w:rPr>
          <w:szCs w:val="22"/>
        </w:rPr>
        <w:t>or explain why this context was not provided in Mr. Antenna’s initial objection.</w:t>
      </w:r>
      <w:r>
        <w:rPr>
          <w:rStyle w:val="FootnoteReference"/>
          <w:szCs w:val="22"/>
        </w:rPr>
        <w:footnoteReference w:id="48"/>
      </w:r>
      <w:r w:rsidR="00A10803">
        <w:rPr>
          <w:szCs w:val="22"/>
        </w:rPr>
        <w:t xml:space="preserve">  Rather, Mr. Antenna </w:t>
      </w:r>
      <w:r w:rsidR="00AA73D4">
        <w:rPr>
          <w:szCs w:val="22"/>
        </w:rPr>
        <w:t xml:space="preserve">principally </w:t>
      </w:r>
      <w:r w:rsidR="00A10803">
        <w:rPr>
          <w:szCs w:val="22"/>
        </w:rPr>
        <w:t>a</w:t>
      </w:r>
      <w:r w:rsidR="00286F1F">
        <w:rPr>
          <w:szCs w:val="22"/>
        </w:rPr>
        <w:t>ssert</w:t>
      </w:r>
      <w:r w:rsidR="00A10803">
        <w:rPr>
          <w:szCs w:val="22"/>
        </w:rPr>
        <w:t xml:space="preserve">s that </w:t>
      </w:r>
      <w:r w:rsidR="00AA73D4">
        <w:rPr>
          <w:szCs w:val="22"/>
        </w:rPr>
        <w:t xml:space="preserve">Meredith’s explanation </w:t>
      </w:r>
      <w:r w:rsidR="008F1346">
        <w:rPr>
          <w:szCs w:val="22"/>
        </w:rPr>
        <w:t>is implausible</w:t>
      </w:r>
      <w:r w:rsidR="001F41AC">
        <w:rPr>
          <w:szCs w:val="22"/>
        </w:rPr>
        <w:t>,</w:t>
      </w:r>
      <w:r w:rsidR="008F1346">
        <w:rPr>
          <w:szCs w:val="22"/>
        </w:rPr>
        <w:t xml:space="preserve"> </w:t>
      </w:r>
      <w:r w:rsidR="002A30F5">
        <w:rPr>
          <w:szCs w:val="22"/>
        </w:rPr>
        <w:t>lacking in detai</w:t>
      </w:r>
      <w:r w:rsidR="006753E0">
        <w:rPr>
          <w:szCs w:val="22"/>
        </w:rPr>
        <w:t>l</w:t>
      </w:r>
      <w:r w:rsidR="000627C4">
        <w:rPr>
          <w:szCs w:val="22"/>
        </w:rPr>
        <w:t>,</w:t>
      </w:r>
      <w:r>
        <w:rPr>
          <w:rStyle w:val="FootnoteReference"/>
          <w:szCs w:val="22"/>
        </w:rPr>
        <w:footnoteReference w:id="49"/>
      </w:r>
      <w:r w:rsidR="00CF4510">
        <w:rPr>
          <w:szCs w:val="22"/>
        </w:rPr>
        <w:t xml:space="preserve"> and</w:t>
      </w:r>
      <w:r w:rsidR="009A38C0">
        <w:rPr>
          <w:szCs w:val="22"/>
        </w:rPr>
        <w:t xml:space="preserve">, without providing </w:t>
      </w:r>
      <w:r w:rsidR="00322C22">
        <w:rPr>
          <w:szCs w:val="22"/>
        </w:rPr>
        <w:t xml:space="preserve">any </w:t>
      </w:r>
      <w:r w:rsidR="009A38C0">
        <w:rPr>
          <w:szCs w:val="22"/>
        </w:rPr>
        <w:t>evidence,</w:t>
      </w:r>
      <w:r w:rsidR="00CF4510">
        <w:rPr>
          <w:szCs w:val="22"/>
        </w:rPr>
        <w:t xml:space="preserve"> speculates that </w:t>
      </w:r>
      <w:r w:rsidR="009A38C0">
        <w:rPr>
          <w:szCs w:val="22"/>
        </w:rPr>
        <w:t xml:space="preserve">Meredith may have directed the </w:t>
      </w:r>
      <w:r w:rsidR="004421FE">
        <w:rPr>
          <w:szCs w:val="22"/>
        </w:rPr>
        <w:t>General Manager</w:t>
      </w:r>
      <w:r w:rsidR="009A38C0">
        <w:rPr>
          <w:szCs w:val="22"/>
        </w:rPr>
        <w:t xml:space="preserve"> of KVVU </w:t>
      </w:r>
      <w:r w:rsidR="004421FE">
        <w:rPr>
          <w:szCs w:val="22"/>
        </w:rPr>
        <w:t>to make false statements in his declaration</w:t>
      </w:r>
      <w:r w:rsidR="00FA2C4C">
        <w:rPr>
          <w:szCs w:val="22"/>
        </w:rPr>
        <w:t>.</w:t>
      </w:r>
      <w:r>
        <w:rPr>
          <w:rStyle w:val="FootnoteReference"/>
          <w:szCs w:val="22"/>
        </w:rPr>
        <w:footnoteReference w:id="50"/>
      </w:r>
    </w:p>
    <w:p w:rsidR="00F25916" w:rsidRPr="00645FB7" w:rsidP="00F25916" w14:paraId="6C74E2E2" w14:textId="77777777">
      <w:pPr>
        <w:pStyle w:val="ParaNum"/>
        <w:ind w:firstLine="720"/>
      </w:pPr>
      <w:r>
        <w:rPr>
          <w:i/>
          <w:iCs/>
          <w:szCs w:val="22"/>
        </w:rPr>
        <w:t>Standard of Review.</w:t>
      </w:r>
      <w:r>
        <w:rPr>
          <w:i/>
          <w:iCs/>
          <w:szCs w:val="22"/>
        </w:rPr>
        <w:t xml:space="preserve">  </w:t>
      </w:r>
      <w:r w:rsidRPr="00F25916">
        <w:rPr>
          <w:szCs w:val="22"/>
        </w:rPr>
        <w:t>Section</w:t>
      </w:r>
      <w:r w:rsidRPr="00645FB7">
        <w:rPr>
          <w:bCs/>
          <w:color w:val="000000"/>
          <w:szCs w:val="22"/>
        </w:rPr>
        <w:t xml:space="preserve"> 310(d) of the Act provides that no station license shall be transferred or assigned unless the Commission, on application, determines that the public interest, convenience, and necessity will be served thereby.</w:t>
      </w:r>
      <w:r>
        <w:rPr>
          <w:bCs/>
          <w:sz w:val="20"/>
          <w:szCs w:val="22"/>
          <w:vertAlign w:val="superscript"/>
        </w:rPr>
        <w:footnoteReference w:id="51"/>
      </w:r>
      <w:r w:rsidRPr="00645FB7">
        <w:rPr>
          <w:bCs/>
          <w:color w:val="000000"/>
          <w:szCs w:val="22"/>
        </w:rPr>
        <w:t xml:space="preserve">  In making this assessment, the Commission must first determine whether the proposed transaction would comply with the specific provisions of the Act, other applicable statutes, and the Commission’s rules.</w:t>
      </w:r>
      <w:r>
        <w:rPr>
          <w:bCs/>
          <w:sz w:val="20"/>
          <w:szCs w:val="22"/>
          <w:vertAlign w:val="superscript"/>
        </w:rPr>
        <w:footnoteReference w:id="52"/>
      </w:r>
      <w:r w:rsidRPr="00645FB7">
        <w:rPr>
          <w:bCs/>
          <w:color w:val="000000"/>
          <w:szCs w:val="22"/>
        </w:rPr>
        <w:t xml:space="preserve">  If the </w:t>
      </w:r>
      <w:r w:rsidRPr="00A35B2B">
        <w:rPr>
          <w:szCs w:val="22"/>
        </w:rPr>
        <w:t>transaction</w:t>
      </w:r>
      <w:r w:rsidRPr="00645FB7">
        <w:rPr>
          <w:bCs/>
          <w:color w:val="000000"/>
          <w:szCs w:val="22"/>
        </w:rPr>
        <w:t xml:space="preserve"> would not violate a statute or rule, the Commission considers whether it could result in public interest harms by substantially frustrating or impairing the objectives or implementation of the Act or related statutes.</w:t>
      </w:r>
      <w:r>
        <w:rPr>
          <w:bCs/>
          <w:sz w:val="20"/>
          <w:szCs w:val="22"/>
          <w:vertAlign w:val="superscript"/>
        </w:rPr>
        <w:footnoteReference w:id="53"/>
      </w:r>
      <w:r w:rsidRPr="00645FB7">
        <w:rPr>
          <w:bCs/>
          <w:color w:val="000000"/>
          <w:szCs w:val="22"/>
        </w:rPr>
        <w:t xml:space="preserve">  </w:t>
      </w:r>
      <w:r w:rsidRPr="00645FB7">
        <w:t xml:space="preserve">If the Commission is unable to find that the proposed transaction serves the public interest, or if the record presents a </w:t>
      </w:r>
      <w:bookmarkStart w:id="8" w:name="_Hlk16759503"/>
      <w:r w:rsidRPr="00645FB7">
        <w:t xml:space="preserve">substantial and material question of fact </w:t>
      </w:r>
      <w:bookmarkEnd w:id="8"/>
      <w:r w:rsidRPr="00645FB7">
        <w:t xml:space="preserve">as to whether the transaction serves the public interest, </w:t>
      </w:r>
      <w:r>
        <w:t>s</w:t>
      </w:r>
      <w:r w:rsidRPr="00645FB7">
        <w:t>ection 309(e) of the Act requires that the applications be designated for hearing.</w:t>
      </w:r>
      <w:r>
        <w:rPr>
          <w:vertAlign w:val="superscript"/>
        </w:rPr>
        <w:footnoteReference w:id="54"/>
      </w:r>
    </w:p>
    <w:p w:rsidR="00604DCB" w:rsidRPr="00F25916" w:rsidP="00F25916" w14:paraId="3DBEBD27" w14:textId="4FDECBF1">
      <w:pPr>
        <w:pStyle w:val="ParaNum"/>
        <w:ind w:firstLine="720"/>
      </w:pPr>
      <w:bookmarkStart w:id="9" w:name="co_fnRef_FN_F44_ID0EVBAE_1"/>
      <w:bookmarkStart w:id="10" w:name="co_fnRef_FN_F45_ID0E3BAE_1"/>
      <w:bookmarkStart w:id="11" w:name="co_fnRef_FN_F46_ID0EDCAE_1"/>
      <w:bookmarkStart w:id="12" w:name="co_fnRef_FN_F47_ID0EKCAE_1"/>
      <w:bookmarkEnd w:id="9"/>
      <w:bookmarkEnd w:id="10"/>
      <w:bookmarkEnd w:id="11"/>
      <w:bookmarkEnd w:id="12"/>
      <w:r w:rsidRPr="00645FB7">
        <w:rPr>
          <w:color w:val="000000"/>
          <w:szCs w:val="22"/>
        </w:rPr>
        <w:t xml:space="preserve">The </w:t>
      </w:r>
      <w:r w:rsidRPr="00F25916">
        <w:rPr>
          <w:szCs w:val="22"/>
        </w:rPr>
        <w:t>Commission</w:t>
      </w:r>
      <w:r w:rsidRPr="00645FB7">
        <w:rPr>
          <w:color w:val="000000"/>
          <w:szCs w:val="22"/>
        </w:rPr>
        <w:t xml:space="preserve"> applies a two-part test when evaluating a</w:t>
      </w:r>
      <w:r w:rsidR="00180345">
        <w:rPr>
          <w:color w:val="000000"/>
          <w:szCs w:val="22"/>
        </w:rPr>
        <w:t xml:space="preserve">n informal objection </w:t>
      </w:r>
      <w:r w:rsidRPr="00645FB7">
        <w:rPr>
          <w:color w:val="000000"/>
          <w:szCs w:val="22"/>
        </w:rPr>
        <w:t xml:space="preserve">under the public interest standard. </w:t>
      </w:r>
      <w:r w:rsidRPr="00645FB7">
        <w:rPr>
          <w:color w:val="000000"/>
        </w:rPr>
        <w:t xml:space="preserve"> </w:t>
      </w:r>
      <w:r w:rsidRPr="00645FB7">
        <w:rPr>
          <w:color w:val="000000"/>
          <w:szCs w:val="22"/>
        </w:rPr>
        <w:t xml:space="preserve">First, the </w:t>
      </w:r>
      <w:r w:rsidRPr="00A35B2B">
        <w:rPr>
          <w:szCs w:val="22"/>
        </w:rPr>
        <w:t>Commission</w:t>
      </w:r>
      <w:r w:rsidRPr="00645FB7">
        <w:rPr>
          <w:color w:val="000000"/>
          <w:szCs w:val="22"/>
        </w:rPr>
        <w:t xml:space="preserve"> must determine whether the </w:t>
      </w:r>
      <w:r w:rsidR="00180345">
        <w:rPr>
          <w:color w:val="000000"/>
          <w:szCs w:val="22"/>
        </w:rPr>
        <w:t>informal objection</w:t>
      </w:r>
      <w:r w:rsidRPr="00645FB7">
        <w:rPr>
          <w:color w:val="000000"/>
          <w:szCs w:val="22"/>
        </w:rPr>
        <w:t xml:space="preserve"> contains specific allegations of fact sufficient to show that granting the application would be </w:t>
      </w:r>
      <w:r w:rsidRPr="00645FB7">
        <w:rPr>
          <w:i/>
          <w:iCs/>
          <w:color w:val="000000"/>
          <w:szCs w:val="22"/>
        </w:rPr>
        <w:t>prima facie</w:t>
      </w:r>
      <w:r w:rsidRPr="00645FB7">
        <w:rPr>
          <w:color w:val="000000"/>
          <w:szCs w:val="22"/>
        </w:rPr>
        <w:t xml:space="preserve"> inconsistent with the public interest.</w:t>
      </w:r>
      <w:bookmarkStart w:id="13" w:name="co_fnRef_FN_F49_ID0EGDAE_1"/>
      <w:bookmarkEnd w:id="13"/>
      <w:r>
        <w:rPr>
          <w:sz w:val="20"/>
          <w:szCs w:val="22"/>
          <w:vertAlign w:val="superscript"/>
        </w:rPr>
        <w:footnoteReference w:id="55"/>
      </w:r>
      <w:r w:rsidRPr="00645FB7">
        <w:rPr>
          <w:color w:val="000000"/>
          <w:szCs w:val="22"/>
        </w:rPr>
        <w:t xml:space="preserve">  The first step “is much like that performed by a trial judge considering a motion for directed verdict:</w:t>
      </w:r>
      <w:r w:rsidR="00C12357">
        <w:rPr>
          <w:color w:val="000000"/>
          <w:szCs w:val="22"/>
        </w:rPr>
        <w:t xml:space="preserve"> </w:t>
      </w:r>
      <w:r w:rsidRPr="00645FB7">
        <w:rPr>
          <w:color w:val="000000"/>
          <w:szCs w:val="22"/>
        </w:rPr>
        <w:t xml:space="preserve"> if all the supporting facts alleged in the [petition] were true, could a reasonable fact </w:t>
      </w:r>
      <w:r w:rsidRPr="00645FB7">
        <w:rPr>
          <w:color w:val="000000"/>
          <w:szCs w:val="22"/>
        </w:rPr>
        <w:t>finder conclude that the ultimate fact in dispute had been established.”</w:t>
      </w:r>
      <w:bookmarkStart w:id="14" w:name="co_fnRef_FN_F50_ID0EWDAE_1"/>
      <w:bookmarkEnd w:id="14"/>
      <w:r>
        <w:rPr>
          <w:sz w:val="20"/>
          <w:szCs w:val="22"/>
          <w:vertAlign w:val="superscript"/>
        </w:rPr>
        <w:footnoteReference w:id="56"/>
      </w:r>
      <w:r w:rsidRPr="00645FB7">
        <w:rPr>
          <w:color w:val="000000"/>
        </w:rPr>
        <w:t xml:space="preserve"> </w:t>
      </w:r>
      <w:r w:rsidRPr="00645FB7">
        <w:rPr>
          <w:color w:val="000000"/>
          <w:szCs w:val="22"/>
        </w:rPr>
        <w:t xml:space="preserve"> Second, the Commission must then determine whether, “on the basis of the application, the pleadings filed, or </w:t>
      </w:r>
      <w:r w:rsidRPr="00A35B2B">
        <w:t>other</w:t>
      </w:r>
      <w:r w:rsidRPr="00645FB7">
        <w:rPr>
          <w:color w:val="000000"/>
          <w:szCs w:val="22"/>
        </w:rPr>
        <w:t xml:space="preserve"> matters which [the Commission] may officially notice,” a substantial and material question of fact has been raised as to whether</w:t>
      </w:r>
      <w:r>
        <w:rPr>
          <w:color w:val="000000"/>
          <w:szCs w:val="22"/>
        </w:rPr>
        <w:t xml:space="preserve"> grant of</w:t>
      </w:r>
      <w:r w:rsidRPr="00645FB7">
        <w:rPr>
          <w:color w:val="000000"/>
          <w:szCs w:val="22"/>
        </w:rPr>
        <w:t xml:space="preserve"> the application would serve the public interest.</w:t>
      </w:r>
      <w:bookmarkStart w:id="15" w:name="co_fnRef_FN_F51_ID0EGEAE_1"/>
      <w:bookmarkEnd w:id="15"/>
      <w:r>
        <w:rPr>
          <w:sz w:val="20"/>
          <w:szCs w:val="22"/>
          <w:vertAlign w:val="superscript"/>
        </w:rPr>
        <w:footnoteReference w:id="57"/>
      </w:r>
      <w:r w:rsidRPr="00645FB7">
        <w:rPr>
          <w:color w:val="000000"/>
        </w:rPr>
        <w:t xml:space="preserve"> </w:t>
      </w:r>
      <w:r w:rsidRPr="00645FB7">
        <w:rPr>
          <w:color w:val="000000"/>
          <w:szCs w:val="22"/>
        </w:rPr>
        <w:t xml:space="preserve"> The DC Circuit has made clear that the two steps of the statutory inquiry “are typically made concurrently.”</w:t>
      </w:r>
      <w:bookmarkStart w:id="16" w:name="co_fnRef_FN_F52_ID0ENEAE_1"/>
      <w:bookmarkEnd w:id="16"/>
      <w:r>
        <w:rPr>
          <w:sz w:val="20"/>
          <w:szCs w:val="22"/>
          <w:vertAlign w:val="superscript"/>
        </w:rPr>
        <w:footnoteReference w:id="58"/>
      </w:r>
      <w:r w:rsidRPr="00645FB7">
        <w:rPr>
          <w:color w:val="000000"/>
        </w:rPr>
        <w:t xml:space="preserve"> </w:t>
      </w:r>
      <w:r w:rsidRPr="00645FB7">
        <w:rPr>
          <w:color w:val="000000"/>
          <w:szCs w:val="22"/>
        </w:rPr>
        <w:t xml:space="preserve"> That is, the Commission ordinarily does not consider separately whether a petition makes out a </w:t>
      </w:r>
      <w:r w:rsidRPr="00645FB7">
        <w:rPr>
          <w:i/>
          <w:iCs/>
          <w:color w:val="000000"/>
          <w:szCs w:val="22"/>
        </w:rPr>
        <w:t>prima facie</w:t>
      </w:r>
      <w:r w:rsidRPr="00645FB7">
        <w:rPr>
          <w:color w:val="000000"/>
          <w:szCs w:val="22"/>
        </w:rPr>
        <w:t xml:space="preserve"> case for denial of the application because “a negative resolution of the second question alone [whether the record presents a substantial and material question of fact that warrants further inquiry in a hearing] makes the first question moot.”</w:t>
      </w:r>
      <w:r>
        <w:rPr>
          <w:sz w:val="20"/>
          <w:szCs w:val="22"/>
          <w:vertAlign w:val="superscript"/>
        </w:rPr>
        <w:footnoteReference w:id="59"/>
      </w:r>
    </w:p>
    <w:p w:rsidR="00996E52" w:rsidP="00072E19" w14:paraId="5BE8A571" w14:textId="0DAEC891">
      <w:pPr>
        <w:pStyle w:val="ParaNum"/>
        <w:ind w:firstLine="720"/>
      </w:pPr>
      <w:r w:rsidRPr="002051FD">
        <w:rPr>
          <w:i/>
          <w:iCs/>
          <w:szCs w:val="22"/>
        </w:rPr>
        <w:t xml:space="preserve">Discussion.  </w:t>
      </w:r>
      <w:r w:rsidR="00AC3740">
        <w:t>W</w:t>
      </w:r>
      <w:r w:rsidR="00AC3740">
        <w:rPr>
          <w:szCs w:val="22"/>
        </w:rPr>
        <w:t xml:space="preserve">e have reviewed the information submitted by the Applicants </w:t>
      </w:r>
      <w:r w:rsidR="00610B5F">
        <w:rPr>
          <w:szCs w:val="22"/>
        </w:rPr>
        <w:t xml:space="preserve">and </w:t>
      </w:r>
      <w:r w:rsidR="00AC2B19">
        <w:rPr>
          <w:szCs w:val="22"/>
        </w:rPr>
        <w:t xml:space="preserve">find that the </w:t>
      </w:r>
      <w:r w:rsidR="003B60BE">
        <w:rPr>
          <w:szCs w:val="22"/>
        </w:rPr>
        <w:t>Transaction will</w:t>
      </w:r>
      <w:r w:rsidR="00AC2B19">
        <w:rPr>
          <w:szCs w:val="22"/>
        </w:rPr>
        <w:t xml:space="preserve"> comply with the Act</w:t>
      </w:r>
      <w:r w:rsidR="00D61DB5">
        <w:rPr>
          <w:szCs w:val="22"/>
        </w:rPr>
        <w:t>, other applicable statutes,</w:t>
      </w:r>
      <w:r w:rsidR="00AC2B19">
        <w:rPr>
          <w:szCs w:val="22"/>
        </w:rPr>
        <w:t xml:space="preserve"> and the Commission’s rules, including the </w:t>
      </w:r>
      <w:r w:rsidRPr="00C75DE1" w:rsidR="00AC2B19">
        <w:rPr>
          <w:szCs w:val="22"/>
        </w:rPr>
        <w:t xml:space="preserve">Local Television Ownership Rule </w:t>
      </w:r>
      <w:r w:rsidR="00AC2B19">
        <w:rPr>
          <w:szCs w:val="22"/>
        </w:rPr>
        <w:t xml:space="preserve">and the </w:t>
      </w:r>
      <w:r w:rsidRPr="00C75DE1" w:rsidR="00AC2B19">
        <w:rPr>
          <w:szCs w:val="22"/>
        </w:rPr>
        <w:t>National Television Ownership Rule</w:t>
      </w:r>
      <w:r w:rsidR="00AC2B19">
        <w:rPr>
          <w:szCs w:val="22"/>
        </w:rPr>
        <w:t xml:space="preserve">.  </w:t>
      </w:r>
      <w:r>
        <w:rPr>
          <w:szCs w:val="22"/>
        </w:rPr>
        <w:t xml:space="preserve">For the reasons discussed below, </w:t>
      </w:r>
      <w:r>
        <w:t>w</w:t>
      </w:r>
      <w:r w:rsidR="00C524A1">
        <w:t>e</w:t>
      </w:r>
      <w:r>
        <w:t xml:space="preserve"> also</w:t>
      </w:r>
      <w:r w:rsidR="00C524A1">
        <w:t xml:space="preserve"> </w:t>
      </w:r>
      <w:r w:rsidR="00E0007A">
        <w:t>deny</w:t>
      </w:r>
      <w:r w:rsidRPr="00A30604" w:rsidR="00072E19">
        <w:t xml:space="preserve"> the </w:t>
      </w:r>
      <w:r w:rsidR="00EA1D18">
        <w:t>informal object</w:t>
      </w:r>
      <w:r w:rsidR="00E0007A">
        <w:t>ions</w:t>
      </w:r>
      <w:r w:rsidR="00C77597">
        <w:t xml:space="preserve"> and find that </w:t>
      </w:r>
      <w:r w:rsidR="00A354EE">
        <w:t>the Transactio</w:t>
      </w:r>
      <w:r w:rsidR="00610E41">
        <w:t>n is in the public interest consisten</w:t>
      </w:r>
      <w:r w:rsidR="00A0616B">
        <w:t>t</w:t>
      </w:r>
      <w:r w:rsidR="00610E41">
        <w:t xml:space="preserve"> with section 310(d) of the Act.</w:t>
      </w:r>
      <w:r w:rsidR="00DF1AF6">
        <w:t xml:space="preserve">  Accordingly</w:t>
      </w:r>
      <w:r w:rsidR="00E72AAD">
        <w:t xml:space="preserve">, </w:t>
      </w:r>
      <w:r w:rsidR="00DF1AF6">
        <w:t>we</w:t>
      </w:r>
      <w:r w:rsidR="00E72AAD">
        <w:t xml:space="preserve"> grant the Applications listed in the Attachment.</w:t>
      </w:r>
    </w:p>
    <w:p w:rsidR="00C524A1" w:rsidP="00072E19" w14:paraId="220DFFD5" w14:textId="12763554">
      <w:pPr>
        <w:pStyle w:val="ParaNum"/>
        <w:ind w:firstLine="720"/>
      </w:pPr>
      <w:r>
        <w:t>First</w:t>
      </w:r>
      <w:r w:rsidR="00442F51">
        <w:t>, we reject the</w:t>
      </w:r>
      <w:r w:rsidR="00E45711">
        <w:t xml:space="preserve"> Mattoon Objection </w:t>
      </w:r>
      <w:r w:rsidR="00442F51">
        <w:t xml:space="preserve">as </w:t>
      </w:r>
      <w:r>
        <w:t>it does not</w:t>
      </w:r>
      <w:r w:rsidR="00442F51">
        <w:t xml:space="preserve"> provide </w:t>
      </w:r>
      <w:r w:rsidR="00C77597">
        <w:t xml:space="preserve">any </w:t>
      </w:r>
      <w:r w:rsidR="00E45711">
        <w:t>specific factual allegations to show th</w:t>
      </w:r>
      <w:r w:rsidR="00442F51">
        <w:t>is</w:t>
      </w:r>
      <w:r w:rsidR="00E45711">
        <w:t xml:space="preserve"> Transaction would be</w:t>
      </w:r>
      <w:r>
        <w:t xml:space="preserve"> </w:t>
      </w:r>
      <w:r>
        <w:rPr>
          <w:i/>
          <w:iCs/>
        </w:rPr>
        <w:t>prima facie</w:t>
      </w:r>
      <w:r w:rsidR="00E45711">
        <w:t xml:space="preserve"> inconsistent with the public interes</w:t>
      </w:r>
      <w:r>
        <w:t xml:space="preserve">t.  Merely </w:t>
      </w:r>
      <w:r w:rsidR="00C77597">
        <w:t>making anecdotal</w:t>
      </w:r>
      <w:r w:rsidR="00DA1024">
        <w:t xml:space="preserve"> and</w:t>
      </w:r>
      <w:r w:rsidR="00C77597">
        <w:t xml:space="preserve"> </w:t>
      </w:r>
      <w:r w:rsidR="00DA1024">
        <w:t>vague</w:t>
      </w:r>
      <w:r w:rsidR="00C77597">
        <w:t xml:space="preserve"> observations about the media industry while </w:t>
      </w:r>
      <w:r>
        <w:t xml:space="preserve">rhetorically </w:t>
      </w:r>
      <w:r w:rsidR="00DA1024">
        <w:t>question</w:t>
      </w:r>
      <w:r>
        <w:t>ing whether the Transaction would favor the “self-serving interests”</w:t>
      </w:r>
      <w:r w:rsidR="00180345">
        <w:t xml:space="preserve"> of an applican</w:t>
      </w:r>
      <w:r w:rsidR="00C77597">
        <w:t>t is not enough to satisfy even the first step of the Commission’s two-part test under the public interest standard</w:t>
      </w:r>
      <w:r w:rsidR="00180345">
        <w:t>.</w:t>
      </w:r>
      <w:r>
        <w:rPr>
          <w:rStyle w:val="FootnoteReference"/>
        </w:rPr>
        <w:footnoteReference w:id="60"/>
      </w:r>
      <w:r w:rsidR="002E51E2">
        <w:t xml:space="preserve">  </w:t>
      </w:r>
    </w:p>
    <w:p w:rsidR="002540C4" w:rsidP="00BD05CD" w14:paraId="4E314339" w14:textId="3E0FAE0F">
      <w:pPr>
        <w:pStyle w:val="ParaNum"/>
        <w:ind w:firstLine="720"/>
      </w:pPr>
      <w:r>
        <w:t>Second, we deny Mr. Antenna</w:t>
      </w:r>
      <w:r w:rsidR="00FA789C">
        <w:t>’s objections</w:t>
      </w:r>
      <w:r>
        <w:t>,</w:t>
      </w:r>
      <w:r>
        <w:rPr>
          <w:rStyle w:val="FootnoteReference"/>
        </w:rPr>
        <w:footnoteReference w:id="61"/>
      </w:r>
      <w:r w:rsidR="00FA789C">
        <w:t xml:space="preserve"> as they fail to raise a substantial and material question of fact as to whether grant of the Applications would serve the public interest.  </w:t>
      </w:r>
      <w:r w:rsidR="003545D8">
        <w:t>W</w:t>
      </w:r>
      <w:r w:rsidR="00C77597">
        <w:t>e note that</w:t>
      </w:r>
      <w:r>
        <w:t xml:space="preserve"> </w:t>
      </w:r>
      <w:r w:rsidR="006D24F3">
        <w:t xml:space="preserve">for purposes of </w:t>
      </w:r>
      <w:r>
        <w:t xml:space="preserve">determining </w:t>
      </w:r>
      <w:r w:rsidR="006D24F3">
        <w:t>whether there exists “</w:t>
      </w:r>
      <w:r w:rsidRPr="00CC5A90" w:rsidR="00CC5A90">
        <w:t>a substantial and material question of fact</w:t>
      </w:r>
      <w:r w:rsidR="006F76E0">
        <w:t xml:space="preserve"> </w:t>
      </w:r>
      <w:r w:rsidR="008E5B19">
        <w:t>. . .</w:t>
      </w:r>
      <w:r w:rsidR="006D24F3">
        <w:t xml:space="preserve"> </w:t>
      </w:r>
      <w:r w:rsidRPr="00CC5A90" w:rsidR="00CC5A90">
        <w:t>the Commission may, and indeed must, weigh against the allegations of the petition the other evidence before it, including opposing affidavits</w:t>
      </w:r>
      <w:r w:rsidR="0036161B">
        <w:t xml:space="preserve"> . . . </w:t>
      </w:r>
      <w:r>
        <w:t>.</w:t>
      </w:r>
      <w:r w:rsidR="006D24F3">
        <w:t xml:space="preserve"> </w:t>
      </w:r>
      <w:r w:rsidR="008A5A60">
        <w:t xml:space="preserve"> </w:t>
      </w:r>
      <w:r w:rsidRPr="00CC5A90" w:rsidR="00CC5A90">
        <w:t xml:space="preserve">On the basis of </w:t>
      </w:r>
      <w:r w:rsidRPr="00CC5A90" w:rsidR="00CC5A90">
        <w:rPr>
          <w:i/>
          <w:iCs/>
        </w:rPr>
        <w:t>all</w:t>
      </w:r>
      <w:r w:rsidRPr="00CC5A90" w:rsidR="00CC5A90">
        <w:t xml:space="preserve"> those materials it must decide</w:t>
      </w:r>
      <w:r>
        <w:t xml:space="preserve"> </w:t>
      </w:r>
      <w:r w:rsidR="0036161B">
        <w:t>. . .</w:t>
      </w:r>
      <w:r w:rsidRPr="00CC5A90" w:rsidR="00CC5A90">
        <w:t xml:space="preserve"> whether the totality of the evidence arouses a sufficient doubt on the point that further inquiry is called for.</w:t>
      </w:r>
      <w:r w:rsidR="00274A59">
        <w:t>”</w:t>
      </w:r>
      <w:r>
        <w:rPr>
          <w:rStyle w:val="FootnoteReference"/>
        </w:rPr>
        <w:footnoteReference w:id="62"/>
      </w:r>
      <w:r w:rsidR="006F0DEE">
        <w:t xml:space="preserve">  </w:t>
      </w:r>
    </w:p>
    <w:p w:rsidR="006F0DEE" w:rsidP="00BD05CD" w14:paraId="57C9E6FA" w14:textId="3E37A178">
      <w:pPr>
        <w:pStyle w:val="ParaNum"/>
        <w:ind w:firstLine="720"/>
      </w:pPr>
      <w:r>
        <w:t xml:space="preserve">The arguments </w:t>
      </w:r>
      <w:r w:rsidR="004E5049">
        <w:t xml:space="preserve">raised </w:t>
      </w:r>
      <w:r>
        <w:t xml:space="preserve">by </w:t>
      </w:r>
      <w:r w:rsidR="006E14FE">
        <w:t xml:space="preserve">Mr. Antenna </w:t>
      </w:r>
      <w:r w:rsidR="00F610D1">
        <w:t xml:space="preserve">rest on </w:t>
      </w:r>
      <w:r w:rsidR="00A76119">
        <w:t xml:space="preserve">his </w:t>
      </w:r>
      <w:r w:rsidR="00F610D1">
        <w:t xml:space="preserve">allegation </w:t>
      </w:r>
      <w:r w:rsidR="00420F69">
        <w:t>that Meredith has a cor</w:t>
      </w:r>
      <w:r w:rsidR="00A76119">
        <w:t xml:space="preserve">porate policy </w:t>
      </w:r>
      <w:r w:rsidR="0095013D">
        <w:t xml:space="preserve">against advertisements that </w:t>
      </w:r>
      <w:r w:rsidR="00AD3148">
        <w:t>promote</w:t>
      </w:r>
      <w:r w:rsidR="0095013D">
        <w:t xml:space="preserve"> cord-cutting and that </w:t>
      </w:r>
      <w:r w:rsidR="00671178">
        <w:t xml:space="preserve">such a policy </w:t>
      </w:r>
      <w:r w:rsidR="00751B08">
        <w:t>would continue under Gray’s ownership.</w:t>
      </w:r>
      <w:r>
        <w:rPr>
          <w:rStyle w:val="FootnoteReference"/>
        </w:rPr>
        <w:footnoteReference w:id="63"/>
      </w:r>
      <w:r w:rsidR="008D758D">
        <w:t xml:space="preserve">  </w:t>
      </w:r>
      <w:r w:rsidR="000F45F8">
        <w:t xml:space="preserve">Upon review of the record, we </w:t>
      </w:r>
      <w:r w:rsidR="00D85729">
        <w:t>cannot conclude</w:t>
      </w:r>
      <w:r w:rsidR="002540C4">
        <w:t>,</w:t>
      </w:r>
      <w:r w:rsidR="00D85729">
        <w:t xml:space="preserve"> as Mr. Antenna </w:t>
      </w:r>
      <w:r w:rsidR="002540C4">
        <w:t>sugge</w:t>
      </w:r>
      <w:r w:rsidR="00D85729">
        <w:t>sts</w:t>
      </w:r>
      <w:r w:rsidR="002540C4">
        <w:t>,</w:t>
      </w:r>
      <w:r w:rsidR="000F45F8">
        <w:t xml:space="preserve"> that </w:t>
      </w:r>
      <w:r w:rsidR="00E4147F">
        <w:t>such</w:t>
      </w:r>
      <w:r w:rsidR="00D85729">
        <w:t xml:space="preserve"> a</w:t>
      </w:r>
      <w:r w:rsidR="00D6079E">
        <w:t xml:space="preserve"> policy exi</w:t>
      </w:r>
      <w:r w:rsidR="00060122">
        <w:t>sts, or ever existed, at Gray or Meredith.</w:t>
      </w:r>
      <w:r>
        <w:rPr>
          <w:rStyle w:val="FootnoteReference"/>
        </w:rPr>
        <w:footnoteReference w:id="64"/>
      </w:r>
      <w:r w:rsidR="00EA0B00">
        <w:t xml:space="preserve"> </w:t>
      </w:r>
      <w:r w:rsidR="00A43015">
        <w:t xml:space="preserve"> </w:t>
      </w:r>
      <w:r w:rsidR="002540C4">
        <w:t>Indeed</w:t>
      </w:r>
      <w:r w:rsidR="00A0616B">
        <w:t>,</w:t>
      </w:r>
      <w:r w:rsidR="002540C4">
        <w:t xml:space="preserve"> r</w:t>
      </w:r>
      <w:r w:rsidR="008E38CB">
        <w:t>elevan</w:t>
      </w:r>
      <w:r w:rsidR="00D87955">
        <w:t xml:space="preserve">t </w:t>
      </w:r>
      <w:r w:rsidR="0043401E">
        <w:t>Gray and Meredith executives</w:t>
      </w:r>
      <w:r w:rsidR="00BC0F12">
        <w:t>, as well as the General Manager of KVVU</w:t>
      </w:r>
      <w:r w:rsidR="00110FA7">
        <w:t>,</w:t>
      </w:r>
      <w:r w:rsidR="0043401E">
        <w:t xml:space="preserve"> have submitted declarations under penalty of perjury stating unequivocally that </w:t>
      </w:r>
      <w:r w:rsidR="00492F63">
        <w:t xml:space="preserve">no corporate policy </w:t>
      </w:r>
      <w:r w:rsidR="00861826">
        <w:t>regarding cord-cutting</w:t>
      </w:r>
      <w:r w:rsidR="00492F63">
        <w:t xml:space="preserve"> </w:t>
      </w:r>
      <w:r w:rsidR="00530DDA">
        <w:t xml:space="preserve">advertisements </w:t>
      </w:r>
      <w:r w:rsidR="00760536">
        <w:t>has ever existed</w:t>
      </w:r>
      <w:r w:rsidR="00110FA7">
        <w:t xml:space="preserve"> at their </w:t>
      </w:r>
      <w:r w:rsidR="00110FA7">
        <w:t>companies</w:t>
      </w:r>
      <w:r w:rsidR="00530DDA">
        <w:t xml:space="preserve"> and that Gray has never sought to influence Meredith’s advertising policies.</w:t>
      </w:r>
      <w:r>
        <w:rPr>
          <w:rStyle w:val="FootnoteReference"/>
        </w:rPr>
        <w:footnoteReference w:id="65"/>
      </w:r>
      <w:r w:rsidR="001A19ED">
        <w:t xml:space="preserve">  In addition, </w:t>
      </w:r>
      <w:r w:rsidR="00BE7A29">
        <w:t>Mr. Antenna did not provide the full context of his interactions with Meredith</w:t>
      </w:r>
      <w:r w:rsidR="00FD417F">
        <w:t xml:space="preserve"> in his initial objection</w:t>
      </w:r>
      <w:r w:rsidR="00CF6FEB">
        <w:t>—</w:t>
      </w:r>
      <w:r w:rsidR="00BE7A29">
        <w:t>context</w:t>
      </w:r>
      <w:r w:rsidR="00CF6FEB">
        <w:t xml:space="preserve"> that</w:t>
      </w:r>
      <w:r w:rsidR="00BE7A29">
        <w:t xml:space="preserve"> undercut</w:t>
      </w:r>
      <w:r w:rsidR="00703649">
        <w:t>s</w:t>
      </w:r>
      <w:r w:rsidR="00BE7A29">
        <w:t xml:space="preserve"> </w:t>
      </w:r>
      <w:r w:rsidR="00F60565">
        <w:t>the</w:t>
      </w:r>
      <w:r w:rsidR="00BE7A29">
        <w:t xml:space="preserve"> allegation th</w:t>
      </w:r>
      <w:r w:rsidR="00F60565">
        <w:t>at</w:t>
      </w:r>
      <w:r w:rsidR="00BE7A29">
        <w:t xml:space="preserve"> Meredith </w:t>
      </w:r>
      <w:r w:rsidR="001A0236">
        <w:t>ha</w:t>
      </w:r>
      <w:r w:rsidR="000E1DC9">
        <w:t>s or ha</w:t>
      </w:r>
      <w:r w:rsidR="001A0236">
        <w:t xml:space="preserve">d a corporate policy </w:t>
      </w:r>
      <w:r w:rsidR="009608AE">
        <w:t>banning</w:t>
      </w:r>
      <w:r w:rsidR="00CD4B93">
        <w:t xml:space="preserve"> cord-cutting</w:t>
      </w:r>
      <w:r w:rsidR="009608AE">
        <w:t xml:space="preserve"> advertisements</w:t>
      </w:r>
      <w:r w:rsidR="00CD4B93">
        <w:t>.</w:t>
      </w:r>
      <w:r>
        <w:rPr>
          <w:rStyle w:val="FootnoteReference"/>
        </w:rPr>
        <w:footnoteReference w:id="66"/>
      </w:r>
      <w:r w:rsidR="00A42A85">
        <w:t xml:space="preserve">  </w:t>
      </w:r>
      <w:r w:rsidR="00897C1B">
        <w:t>Thus, on the basis of all the materials submitted by Mr. Antenna, Gray, and Meredith, we find that no substantial and material question of fact remains as to whether grant of the Applications would serve the public interest</w:t>
      </w:r>
      <w:r w:rsidR="00C86454">
        <w:t xml:space="preserve"> and deny </w:t>
      </w:r>
      <w:r w:rsidR="0047460B">
        <w:t>Mr. Antenna’s</w:t>
      </w:r>
      <w:r w:rsidR="00C86454">
        <w:t xml:space="preserve"> </w:t>
      </w:r>
      <w:r w:rsidR="00DE6E1C">
        <w:t xml:space="preserve">objections and </w:t>
      </w:r>
      <w:r w:rsidR="00942547">
        <w:t xml:space="preserve">its </w:t>
      </w:r>
      <w:r w:rsidR="00C86454">
        <w:t>request to attach a condition to the Transaction</w:t>
      </w:r>
      <w:r w:rsidR="00897C1B">
        <w:t>.</w:t>
      </w:r>
      <w:r>
        <w:rPr>
          <w:rStyle w:val="FootnoteReference"/>
        </w:rPr>
        <w:footnoteReference w:id="67"/>
      </w:r>
    </w:p>
    <w:p w:rsidR="009B1ECB" w:rsidRPr="00442F51" w:rsidP="00651338" w14:paraId="61128BCA" w14:textId="1A228F05">
      <w:pPr>
        <w:pStyle w:val="ParaNum"/>
        <w:widowControl/>
        <w:ind w:firstLine="720"/>
      </w:pPr>
      <w:r>
        <w:t>Lastly,</w:t>
      </w:r>
      <w:r w:rsidR="009F2FC7">
        <w:t xml:space="preserve"> </w:t>
      </w:r>
      <w:r w:rsidR="00EA1D18">
        <w:t>we find that</w:t>
      </w:r>
      <w:r w:rsidR="00184441">
        <w:t xml:space="preserve"> </w:t>
      </w:r>
      <w:r w:rsidRPr="00B65FAD" w:rsidR="00240449">
        <w:rPr>
          <w:szCs w:val="22"/>
        </w:rPr>
        <w:t>access to reporting from Gray’s Washington, DC news bureau</w:t>
      </w:r>
      <w:r w:rsidR="00930A58">
        <w:rPr>
          <w:szCs w:val="22"/>
        </w:rPr>
        <w:t xml:space="preserve"> and national investigative unit,</w:t>
      </w:r>
      <w:r w:rsidR="00AA22DB">
        <w:rPr>
          <w:szCs w:val="22"/>
        </w:rPr>
        <w:t xml:space="preserve"> </w:t>
      </w:r>
      <w:r w:rsidR="00D8412D">
        <w:rPr>
          <w:szCs w:val="22"/>
        </w:rPr>
        <w:t>the</w:t>
      </w:r>
      <w:r w:rsidR="001A571C">
        <w:rPr>
          <w:szCs w:val="22"/>
        </w:rPr>
        <w:t xml:space="preserve"> </w:t>
      </w:r>
      <w:r w:rsidR="00016209">
        <w:rPr>
          <w:szCs w:val="22"/>
        </w:rPr>
        <w:t>ability</w:t>
      </w:r>
      <w:r w:rsidR="00094E5B">
        <w:rPr>
          <w:szCs w:val="22"/>
        </w:rPr>
        <w:t xml:space="preserve"> </w:t>
      </w:r>
      <w:r w:rsidR="001A571C">
        <w:rPr>
          <w:szCs w:val="22"/>
        </w:rPr>
        <w:t xml:space="preserve">to </w:t>
      </w:r>
      <w:r w:rsidRPr="00857EC8" w:rsidR="00857EC8">
        <w:rPr>
          <w:szCs w:val="22"/>
        </w:rPr>
        <w:t xml:space="preserve">leverage </w:t>
      </w:r>
      <w:r w:rsidR="00094E5B">
        <w:rPr>
          <w:szCs w:val="22"/>
        </w:rPr>
        <w:t xml:space="preserve">the </w:t>
      </w:r>
      <w:r w:rsidRPr="00857EC8" w:rsidR="00857EC8">
        <w:rPr>
          <w:szCs w:val="22"/>
        </w:rPr>
        <w:t xml:space="preserve">reporting of </w:t>
      </w:r>
      <w:r w:rsidR="00295DF4">
        <w:rPr>
          <w:szCs w:val="22"/>
        </w:rPr>
        <w:t>same-state stations</w:t>
      </w:r>
      <w:r w:rsidR="009F2FC7">
        <w:rPr>
          <w:szCs w:val="22"/>
        </w:rPr>
        <w:t>,</w:t>
      </w:r>
      <w:r w:rsidR="00094E5B">
        <w:rPr>
          <w:szCs w:val="22"/>
        </w:rPr>
        <w:t xml:space="preserve"> </w:t>
      </w:r>
      <w:r w:rsidR="00E6278C">
        <w:rPr>
          <w:szCs w:val="22"/>
        </w:rPr>
        <w:t xml:space="preserve">as well as </w:t>
      </w:r>
      <w:r w:rsidR="00826100">
        <w:rPr>
          <w:szCs w:val="22"/>
        </w:rPr>
        <w:t>the</w:t>
      </w:r>
      <w:r w:rsidR="00770EA1">
        <w:rPr>
          <w:szCs w:val="22"/>
        </w:rPr>
        <w:t xml:space="preserve"> potential for</w:t>
      </w:r>
      <w:r w:rsidR="00826100">
        <w:rPr>
          <w:szCs w:val="22"/>
        </w:rPr>
        <w:t xml:space="preserve"> </w:t>
      </w:r>
      <w:r w:rsidR="00E6278C">
        <w:rPr>
          <w:szCs w:val="22"/>
        </w:rPr>
        <w:t xml:space="preserve">operational synergies </w:t>
      </w:r>
      <w:r w:rsidR="003168F5">
        <w:rPr>
          <w:szCs w:val="22"/>
        </w:rPr>
        <w:t>and greater investment</w:t>
      </w:r>
      <w:r w:rsidR="00E6278C">
        <w:rPr>
          <w:szCs w:val="22"/>
        </w:rPr>
        <w:t xml:space="preserve"> </w:t>
      </w:r>
      <w:r w:rsidR="000E0ACE">
        <w:rPr>
          <w:szCs w:val="22"/>
        </w:rPr>
        <w:t xml:space="preserve">as </w:t>
      </w:r>
      <w:r w:rsidR="00826100">
        <w:rPr>
          <w:szCs w:val="22"/>
        </w:rPr>
        <w:t>described</w:t>
      </w:r>
      <w:r w:rsidR="000E0ACE">
        <w:rPr>
          <w:szCs w:val="22"/>
        </w:rPr>
        <w:t xml:space="preserve"> by the Applicants</w:t>
      </w:r>
      <w:r w:rsidR="00826100">
        <w:rPr>
          <w:szCs w:val="22"/>
        </w:rPr>
        <w:t xml:space="preserve"> in the record</w:t>
      </w:r>
      <w:r w:rsidR="00E6278C">
        <w:rPr>
          <w:szCs w:val="22"/>
        </w:rPr>
        <w:t xml:space="preserve">, </w:t>
      </w:r>
      <w:r w:rsidR="000E1DC9">
        <w:rPr>
          <w:szCs w:val="22"/>
        </w:rPr>
        <w:t>should</w:t>
      </w:r>
      <w:r w:rsidR="0041328D">
        <w:rPr>
          <w:szCs w:val="22"/>
        </w:rPr>
        <w:t xml:space="preserve"> </w:t>
      </w:r>
      <w:r w:rsidRPr="00B65FAD" w:rsidR="00240449">
        <w:rPr>
          <w:szCs w:val="22"/>
        </w:rPr>
        <w:t xml:space="preserve">provide transaction-specific, public interest benefits to Gray and </w:t>
      </w:r>
      <w:r w:rsidR="00375236">
        <w:rPr>
          <w:szCs w:val="22"/>
        </w:rPr>
        <w:t>Meredith</w:t>
      </w:r>
      <w:r w:rsidRPr="00B65FAD" w:rsidR="00240449">
        <w:rPr>
          <w:szCs w:val="22"/>
        </w:rPr>
        <w:t xml:space="preserve"> viewers</w:t>
      </w:r>
      <w:r w:rsidR="00240449">
        <w:rPr>
          <w:szCs w:val="22"/>
        </w:rPr>
        <w:t>.</w:t>
      </w:r>
      <w:r>
        <w:rPr>
          <w:rStyle w:val="FootnoteReference"/>
          <w:szCs w:val="22"/>
        </w:rPr>
        <w:footnoteReference w:id="68"/>
      </w:r>
      <w:r w:rsidR="00240449">
        <w:rPr>
          <w:szCs w:val="22"/>
        </w:rPr>
        <w:t xml:space="preserve">  </w:t>
      </w:r>
      <w:r w:rsidR="00240449">
        <w:t xml:space="preserve">Accordingly, we conclude that the </w:t>
      </w:r>
      <w:r w:rsidR="00F32815">
        <w:t>T</w:t>
      </w:r>
      <w:r w:rsidR="00240449">
        <w:t xml:space="preserve">ransaction serves the </w:t>
      </w:r>
      <w:r w:rsidRPr="00D80D15" w:rsidR="00240449">
        <w:t>public interest, convenience, and necessity</w:t>
      </w:r>
      <w:r w:rsidR="00240449">
        <w:t xml:space="preserve"> and grant the Applications</w:t>
      </w:r>
      <w:r w:rsidR="00F32815">
        <w:t xml:space="preserve"> listed in </w:t>
      </w:r>
      <w:r w:rsidR="00A73595">
        <w:t xml:space="preserve">the </w:t>
      </w:r>
      <w:r w:rsidR="00062729">
        <w:t>Attachment</w:t>
      </w:r>
      <w:r w:rsidR="00240449">
        <w:t>.</w:t>
      </w:r>
      <w:r>
        <w:rPr>
          <w:rStyle w:val="FootnoteReference"/>
        </w:rPr>
        <w:footnoteReference w:id="69"/>
      </w:r>
    </w:p>
    <w:p w:rsidR="00D36CFD" w:rsidRPr="00B33430" w:rsidP="000C7C2D" w14:paraId="21A1E034" w14:textId="37DBC295">
      <w:pPr>
        <w:pStyle w:val="ParaNum"/>
        <w:widowControl/>
        <w:ind w:firstLine="720"/>
        <w:rPr>
          <w:szCs w:val="22"/>
        </w:rPr>
      </w:pPr>
      <w:r>
        <w:rPr>
          <w:i/>
          <w:iCs/>
          <w:szCs w:val="22"/>
        </w:rPr>
        <w:t xml:space="preserve">Conclusion.  </w:t>
      </w:r>
      <w:r w:rsidR="009447F8">
        <w:t>After reviewing</w:t>
      </w:r>
      <w:r w:rsidRPr="00D80D15" w:rsidR="009447F8">
        <w:t xml:space="preserve"> the </w:t>
      </w:r>
      <w:r w:rsidR="009447F8">
        <w:t xml:space="preserve">record, we </w:t>
      </w:r>
      <w:r w:rsidRPr="00D80D15" w:rsidR="009447F8">
        <w:t xml:space="preserve">conclude that grant of the </w:t>
      </w:r>
      <w:r w:rsidR="009447F8">
        <w:t>A</w:t>
      </w:r>
      <w:r w:rsidRPr="00D80D15" w:rsidR="009447F8">
        <w:t xml:space="preserve">pplications </w:t>
      </w:r>
      <w:r w:rsidR="00A0616B">
        <w:t>is consistent</w:t>
      </w:r>
      <w:r w:rsidR="009447F8">
        <w:t xml:space="preserve"> with </w:t>
      </w:r>
      <w:r w:rsidR="00A0616B">
        <w:t>s</w:t>
      </w:r>
      <w:r w:rsidRPr="00D80D15" w:rsidR="009447F8">
        <w:t>ection 310(d) of the Act</w:t>
      </w:r>
      <w:r w:rsidR="0092297D">
        <w:t>.</w:t>
      </w:r>
      <w:r>
        <w:rPr>
          <w:rStyle w:val="FootnoteReference"/>
        </w:rPr>
        <w:footnoteReference w:id="70"/>
      </w:r>
      <w:r w:rsidR="0092297D">
        <w:t xml:space="preserve">  </w:t>
      </w:r>
      <w:r w:rsidR="000D2A84">
        <w:t>In addition, w</w:t>
      </w:r>
      <w:r w:rsidR="0092297D">
        <w:rPr>
          <w:szCs w:val="22"/>
        </w:rPr>
        <w:t xml:space="preserve">e find that the Applications comply with the Act and the Commission’s rules.  Furthermore, </w:t>
      </w:r>
      <w:r w:rsidR="00C524A1">
        <w:rPr>
          <w:szCs w:val="22"/>
        </w:rPr>
        <w:t xml:space="preserve">and </w:t>
      </w:r>
      <w:r w:rsidR="0092297D">
        <w:rPr>
          <w:szCs w:val="22"/>
        </w:rPr>
        <w:t>i</w:t>
      </w:r>
      <w:r w:rsidRPr="00EC564C" w:rsidR="0092297D">
        <w:rPr>
          <w:szCs w:val="22"/>
        </w:rPr>
        <w:t>n light of the above discussion</w:t>
      </w:r>
      <w:r w:rsidR="0092297D">
        <w:rPr>
          <w:szCs w:val="22"/>
        </w:rPr>
        <w:t>,</w:t>
      </w:r>
      <w:r w:rsidRPr="00EC564C" w:rsidR="0092297D">
        <w:rPr>
          <w:szCs w:val="22"/>
        </w:rPr>
        <w:t xml:space="preserve"> we find that the </w:t>
      </w:r>
      <w:r w:rsidR="00CB6148">
        <w:rPr>
          <w:szCs w:val="22"/>
        </w:rPr>
        <w:t>A</w:t>
      </w:r>
      <w:r w:rsidRPr="00EC564C" w:rsidR="0092297D">
        <w:rPr>
          <w:szCs w:val="22"/>
        </w:rPr>
        <w:t>pplican</w:t>
      </w:r>
      <w:r w:rsidR="0092297D">
        <w:rPr>
          <w:szCs w:val="22"/>
        </w:rPr>
        <w:t xml:space="preserve">ts are </w:t>
      </w:r>
      <w:r w:rsidR="0092297D">
        <w:rPr>
          <w:szCs w:val="22"/>
        </w:rPr>
        <w:t>fully qualified and conclude</w:t>
      </w:r>
      <w:r w:rsidRPr="00EC564C" w:rsidR="0092297D">
        <w:rPr>
          <w:szCs w:val="22"/>
        </w:rPr>
        <w:t xml:space="preserve"> that the grant of the </w:t>
      </w:r>
      <w:r w:rsidR="0092297D">
        <w:rPr>
          <w:szCs w:val="22"/>
        </w:rPr>
        <w:t>Applications</w:t>
      </w:r>
      <w:r w:rsidRPr="00EC564C" w:rsidR="0092297D">
        <w:rPr>
          <w:szCs w:val="22"/>
        </w:rPr>
        <w:t xml:space="preserve"> would serve the public interest</w:t>
      </w:r>
      <w:r w:rsidR="007E7051">
        <w:rPr>
          <w:szCs w:val="22"/>
        </w:rPr>
        <w:t>, convenience, and necessity</w:t>
      </w:r>
      <w:r w:rsidRPr="00EC564C" w:rsidR="0092297D">
        <w:rPr>
          <w:szCs w:val="22"/>
        </w:rPr>
        <w:t>.</w:t>
      </w:r>
    </w:p>
    <w:p w:rsidR="00D36CFD" w:rsidP="0083036E" w14:paraId="0A9C2114" w14:textId="542E517E">
      <w:pPr>
        <w:pStyle w:val="ParaNum"/>
        <w:keepNext/>
        <w:keepLines/>
        <w:widowControl/>
        <w:ind w:firstLine="720"/>
        <w:rPr>
          <w:szCs w:val="22"/>
        </w:rPr>
      </w:pPr>
      <w:r w:rsidRPr="00E332A1">
        <w:rPr>
          <w:szCs w:val="22"/>
        </w:rPr>
        <w:t>Accordingly</w:t>
      </w:r>
      <w:r>
        <w:rPr>
          <w:szCs w:val="22"/>
        </w:rPr>
        <w:t xml:space="preserve">, </w:t>
      </w:r>
      <w:r w:rsidRPr="00604DCB" w:rsidR="00604DCB">
        <w:rPr>
          <w:b/>
          <w:bCs/>
          <w:szCs w:val="22"/>
        </w:rPr>
        <w:t>IT IS</w:t>
      </w:r>
      <w:r w:rsidRPr="00604DCB">
        <w:rPr>
          <w:b/>
          <w:szCs w:val="22"/>
        </w:rPr>
        <w:t xml:space="preserve"> </w:t>
      </w:r>
      <w:r w:rsidRPr="000924B7" w:rsidR="000924B7">
        <w:rPr>
          <w:b/>
          <w:bCs/>
          <w:szCs w:val="22"/>
        </w:rPr>
        <w:t>ORDERED</w:t>
      </w:r>
      <w:r w:rsidR="00615629">
        <w:rPr>
          <w:b/>
          <w:bCs/>
          <w:szCs w:val="22"/>
        </w:rPr>
        <w:t xml:space="preserve"> </w:t>
      </w:r>
      <w:r w:rsidR="00615629">
        <w:rPr>
          <w:szCs w:val="22"/>
        </w:rPr>
        <w:t xml:space="preserve">that the informal objections filed by </w:t>
      </w:r>
      <w:r w:rsidRPr="00B167F0" w:rsidR="00B167F0">
        <w:rPr>
          <w:szCs w:val="22"/>
        </w:rPr>
        <w:t>Rick Mattoon</w:t>
      </w:r>
      <w:r w:rsidR="00615629">
        <w:rPr>
          <w:szCs w:val="22"/>
        </w:rPr>
        <w:t xml:space="preserve"> and </w:t>
      </w:r>
      <w:r w:rsidRPr="00B167F0" w:rsidR="00B167F0">
        <w:rPr>
          <w:szCs w:val="22"/>
        </w:rPr>
        <w:t>Mr. Antenna Las Vegas LLC</w:t>
      </w:r>
      <w:r w:rsidR="000B2E63">
        <w:rPr>
          <w:szCs w:val="22"/>
        </w:rPr>
        <w:t xml:space="preserve"> </w:t>
      </w:r>
      <w:r w:rsidRPr="000B2E63" w:rsidR="000B2E63">
        <w:rPr>
          <w:b/>
          <w:bCs/>
          <w:szCs w:val="22"/>
        </w:rPr>
        <w:t>ARE DENIED</w:t>
      </w:r>
      <w:r w:rsidR="000B2E63">
        <w:rPr>
          <w:szCs w:val="22"/>
        </w:rPr>
        <w:t xml:space="preserve">. </w:t>
      </w:r>
      <w:r w:rsidR="000924B7">
        <w:rPr>
          <w:b/>
          <w:bCs/>
          <w:szCs w:val="22"/>
        </w:rPr>
        <w:t xml:space="preserve"> </w:t>
      </w:r>
      <w:r w:rsidR="00615629">
        <w:rPr>
          <w:b/>
          <w:bCs/>
          <w:szCs w:val="22"/>
        </w:rPr>
        <w:t xml:space="preserve">IT IS FURTHER ORDERED </w:t>
      </w:r>
      <w:r w:rsidR="000924B7">
        <w:rPr>
          <w:szCs w:val="22"/>
        </w:rPr>
        <w:t xml:space="preserve">that the applications for assignment of the licenses of the television stations listed in </w:t>
      </w:r>
      <w:r w:rsidR="003A3B36">
        <w:rPr>
          <w:szCs w:val="22"/>
        </w:rPr>
        <w:t xml:space="preserve">the </w:t>
      </w:r>
      <w:r w:rsidR="000924B7">
        <w:rPr>
          <w:szCs w:val="22"/>
        </w:rPr>
        <w:t xml:space="preserve">Attachment hereto </w:t>
      </w:r>
      <w:r w:rsidR="000924B7">
        <w:rPr>
          <w:b/>
          <w:bCs/>
          <w:szCs w:val="22"/>
        </w:rPr>
        <w:t>ARE GRANTED</w:t>
      </w:r>
      <w:r w:rsidR="000924B7">
        <w:rPr>
          <w:szCs w:val="22"/>
        </w:rPr>
        <w:t>.</w:t>
      </w:r>
      <w:r>
        <w:rPr>
          <w:rStyle w:val="FootnoteReference"/>
          <w:szCs w:val="22"/>
        </w:rPr>
        <w:footnoteReference w:id="71"/>
      </w:r>
    </w:p>
    <w:p w:rsidR="00D05090" w:rsidRPr="00EC564C" w:rsidP="000C7C2D" w14:paraId="618A1EE4" w14:textId="77777777">
      <w:pPr>
        <w:keepNext/>
        <w:keepLines/>
        <w:ind w:left="5040" w:firstLine="720"/>
        <w:rPr>
          <w:sz w:val="22"/>
          <w:szCs w:val="22"/>
        </w:rPr>
      </w:pPr>
      <w:r w:rsidRPr="00EC564C">
        <w:rPr>
          <w:sz w:val="22"/>
          <w:szCs w:val="22"/>
        </w:rPr>
        <w:t>Sincerely,</w:t>
      </w:r>
    </w:p>
    <w:p w:rsidR="00D05090" w:rsidRPr="00EC564C" w:rsidP="000C7C2D" w14:paraId="0ACFEB6C" w14:textId="77777777">
      <w:pPr>
        <w:keepNext/>
        <w:keepLines/>
        <w:ind w:left="1440"/>
        <w:rPr>
          <w:b/>
          <w:sz w:val="22"/>
          <w:szCs w:val="22"/>
        </w:rPr>
      </w:pPr>
    </w:p>
    <w:p w:rsidR="00D05090" w:rsidRPr="004043F9" w:rsidP="000C7C2D" w14:paraId="6587327F" w14:textId="7DDBC563">
      <w:pPr>
        <w:keepNext/>
        <w:keepLines/>
        <w:ind w:left="1440"/>
        <w:rPr>
          <w:bCs/>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4043F9">
        <w:rPr>
          <w:bCs/>
          <w:sz w:val="22"/>
          <w:szCs w:val="22"/>
        </w:rPr>
        <w:t>/s/</w:t>
      </w:r>
    </w:p>
    <w:p w:rsidR="00D05090" w:rsidRPr="00EC564C" w:rsidP="000C7C2D" w14:paraId="0EA92F0C" w14:textId="77777777">
      <w:pPr>
        <w:keepNext/>
        <w:keepLines/>
        <w:ind w:left="1440"/>
        <w:rPr>
          <w:b/>
          <w:sz w:val="22"/>
          <w:szCs w:val="22"/>
        </w:rPr>
      </w:pPr>
      <w:r w:rsidRPr="00EC564C">
        <w:rPr>
          <w:b/>
          <w:sz w:val="22"/>
          <w:szCs w:val="22"/>
        </w:rPr>
        <w:tab/>
      </w:r>
    </w:p>
    <w:p w:rsidR="00D05090" w:rsidRPr="00EC564C" w:rsidP="000C7C2D" w14:paraId="0B7E8AF9" w14:textId="77777777">
      <w:pPr>
        <w:keepNext/>
        <w:keepLines/>
        <w:ind w:lef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Barbara A. Kreisman</w:t>
      </w:r>
      <w:r w:rsidRPr="00EC564C">
        <w:rPr>
          <w:sz w:val="22"/>
          <w:szCs w:val="22"/>
        </w:rPr>
        <w:tab/>
      </w:r>
    </w:p>
    <w:p w:rsidR="00D05090" w:rsidP="000C7C2D" w14:paraId="10A61AFF" w14:textId="77777777">
      <w:pPr>
        <w:keepNext/>
        <w:keepLines/>
        <w:ind w:lef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Chief, Video Division</w:t>
      </w:r>
    </w:p>
    <w:p w:rsidR="00D05090" w:rsidP="000C7C2D" w14:paraId="4F666661" w14:textId="66DE5033">
      <w:pPr>
        <w:keepNext/>
        <w:keepLines/>
        <w:ind w:lef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Media Bureau</w:t>
      </w:r>
    </w:p>
    <w:p w:rsidR="002F6DA7" w:rsidP="0083036E" w14:paraId="79B78F30" w14:textId="11FD1C67">
      <w:pPr>
        <w:keepNext/>
        <w:keepLines/>
        <w:rPr>
          <w:sz w:val="22"/>
          <w:szCs w:val="22"/>
        </w:rPr>
      </w:pPr>
    </w:p>
    <w:p w:rsidR="002F6DA7" w:rsidP="0083036E" w14:paraId="3637478D" w14:textId="1777D433">
      <w:pPr>
        <w:keepNext/>
        <w:keepLines/>
        <w:rPr>
          <w:sz w:val="22"/>
          <w:szCs w:val="22"/>
        </w:rPr>
      </w:pPr>
      <w:r>
        <w:rPr>
          <w:sz w:val="22"/>
          <w:szCs w:val="22"/>
        </w:rPr>
        <w:t xml:space="preserve">cc (via electronic mail): </w:t>
      </w:r>
    </w:p>
    <w:p w:rsidR="00417699" w:rsidP="0083036E" w14:paraId="6B14710E" w14:textId="0A421FB3">
      <w:pPr>
        <w:keepNext/>
        <w:keepLines/>
        <w:rPr>
          <w:sz w:val="22"/>
          <w:szCs w:val="22"/>
        </w:rPr>
      </w:pPr>
    </w:p>
    <w:p w:rsidR="00B10E0F" w:rsidP="0083036E" w14:paraId="630216D1" w14:textId="77777777">
      <w:pPr>
        <w:keepNext/>
        <w:keepLines/>
        <w:rPr>
          <w:sz w:val="22"/>
          <w:szCs w:val="22"/>
        </w:rPr>
      </w:pPr>
      <w:r>
        <w:rPr>
          <w:sz w:val="22"/>
          <w:szCs w:val="22"/>
        </w:rPr>
        <w:t>Barry D. Wood</w:t>
      </w:r>
      <w:r>
        <w:rPr>
          <w:sz w:val="22"/>
          <w:szCs w:val="22"/>
        </w:rPr>
        <w:t xml:space="preserve"> </w:t>
      </w:r>
    </w:p>
    <w:p w:rsidR="00A722E1" w:rsidP="0083036E" w14:paraId="36EC7BFF" w14:textId="416F4A50">
      <w:pPr>
        <w:keepNext/>
        <w:keepLines/>
        <w:rPr>
          <w:sz w:val="22"/>
          <w:szCs w:val="22"/>
        </w:rPr>
      </w:pPr>
      <w:r>
        <w:rPr>
          <w:sz w:val="22"/>
          <w:szCs w:val="22"/>
        </w:rPr>
        <w:t>(Counsel for Mr. Antenna)</w:t>
      </w:r>
    </w:p>
    <w:p w:rsidR="00B10E0F" w:rsidP="0083036E" w14:paraId="602A03BE" w14:textId="77777777">
      <w:pPr>
        <w:keepNext/>
        <w:keepLines/>
        <w:rPr>
          <w:sz w:val="22"/>
          <w:szCs w:val="22"/>
        </w:rPr>
      </w:pPr>
    </w:p>
    <w:p w:rsidR="00A722E1" w:rsidRPr="00EC564C" w:rsidP="0083036E" w14:paraId="1F93E336" w14:textId="55D351E5">
      <w:pPr>
        <w:keepNext/>
        <w:keepLines/>
        <w:rPr>
          <w:sz w:val="22"/>
          <w:szCs w:val="22"/>
        </w:rPr>
      </w:pPr>
      <w:r>
        <w:rPr>
          <w:sz w:val="22"/>
          <w:szCs w:val="22"/>
        </w:rPr>
        <w:t>Rick Mattoon</w:t>
      </w:r>
    </w:p>
    <w:p w:rsidR="003A0016" w:rsidRPr="003A0016" w:rsidP="003A0016" w14:paraId="305304D8" w14:textId="66190F60">
      <w:pPr>
        <w:spacing w:after="160" w:line="259" w:lineRule="auto"/>
        <w:jc w:val="center"/>
        <w:rPr>
          <w:rFonts w:eastAsia="Calibri"/>
          <w:b/>
          <w:bCs/>
          <w:sz w:val="22"/>
          <w:szCs w:val="22"/>
        </w:rPr>
      </w:pPr>
      <w:r>
        <w:rPr>
          <w:sz w:val="22"/>
          <w:szCs w:val="22"/>
        </w:rPr>
        <w:br w:type="page"/>
      </w:r>
      <w:r w:rsidRPr="003A0016">
        <w:rPr>
          <w:rFonts w:eastAsia="Calibri"/>
          <w:b/>
          <w:bCs/>
          <w:sz w:val="22"/>
          <w:szCs w:val="22"/>
        </w:rPr>
        <w:t>ATTACHMENT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gridCol w:w="990"/>
        <w:gridCol w:w="3240"/>
        <w:gridCol w:w="1615"/>
      </w:tblGrid>
      <w:tr w14:paraId="68A1B381" w14:textId="77777777" w:rsidTr="003A001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blHeader/>
          <w:jc w:val="center"/>
        </w:trPr>
        <w:tc>
          <w:tcPr>
            <w:tcW w:w="3505" w:type="dxa"/>
            <w:shd w:val="pct15" w:color="auto" w:fill="auto"/>
            <w:vAlign w:val="center"/>
            <w:hideMark/>
          </w:tcPr>
          <w:p w:rsidR="003A0016" w:rsidRPr="003A0016" w:rsidP="003A0016" w14:paraId="63B99541" w14:textId="77777777">
            <w:pPr>
              <w:spacing w:line="259" w:lineRule="auto"/>
              <w:jc w:val="center"/>
              <w:rPr>
                <w:rFonts w:eastAsia="Calibri"/>
                <w:b/>
                <w:bCs/>
                <w:sz w:val="22"/>
                <w:szCs w:val="22"/>
              </w:rPr>
            </w:pPr>
            <w:r w:rsidRPr="003A0016">
              <w:rPr>
                <w:rFonts w:eastAsia="Calibri"/>
                <w:b/>
                <w:bCs/>
                <w:sz w:val="22"/>
                <w:szCs w:val="22"/>
              </w:rPr>
              <w:t>Call Sign/Community of License</w:t>
            </w:r>
          </w:p>
        </w:tc>
        <w:tc>
          <w:tcPr>
            <w:tcW w:w="990" w:type="dxa"/>
            <w:shd w:val="pct15" w:color="auto" w:fill="auto"/>
            <w:vAlign w:val="center"/>
            <w:hideMark/>
          </w:tcPr>
          <w:p w:rsidR="003A0016" w:rsidRPr="003A0016" w:rsidP="003A0016" w14:paraId="619FCF3B" w14:textId="77777777">
            <w:pPr>
              <w:spacing w:line="259" w:lineRule="auto"/>
              <w:jc w:val="center"/>
              <w:rPr>
                <w:rFonts w:eastAsia="Calibri"/>
                <w:b/>
                <w:bCs/>
                <w:sz w:val="22"/>
                <w:szCs w:val="22"/>
              </w:rPr>
            </w:pPr>
            <w:r w:rsidRPr="003A0016">
              <w:rPr>
                <w:rFonts w:eastAsia="Calibri"/>
                <w:b/>
                <w:bCs/>
                <w:sz w:val="22"/>
                <w:szCs w:val="22"/>
              </w:rPr>
              <w:t>Fac ID.</w:t>
            </w:r>
          </w:p>
        </w:tc>
        <w:tc>
          <w:tcPr>
            <w:tcW w:w="3240" w:type="dxa"/>
            <w:shd w:val="pct15" w:color="auto" w:fill="auto"/>
            <w:vAlign w:val="center"/>
            <w:hideMark/>
          </w:tcPr>
          <w:p w:rsidR="003A0016" w:rsidRPr="003A0016" w:rsidP="003A0016" w14:paraId="4ADDE47F" w14:textId="77777777">
            <w:pPr>
              <w:spacing w:line="259" w:lineRule="auto"/>
              <w:jc w:val="center"/>
              <w:rPr>
                <w:rFonts w:eastAsia="Calibri"/>
                <w:b/>
                <w:bCs/>
                <w:sz w:val="22"/>
                <w:szCs w:val="22"/>
              </w:rPr>
            </w:pPr>
            <w:r w:rsidRPr="003A0016">
              <w:rPr>
                <w:rFonts w:eastAsia="Calibri"/>
                <w:b/>
                <w:bCs/>
                <w:sz w:val="22"/>
                <w:szCs w:val="22"/>
              </w:rPr>
              <w:t>Licensee</w:t>
            </w:r>
          </w:p>
        </w:tc>
        <w:tc>
          <w:tcPr>
            <w:tcW w:w="1615" w:type="dxa"/>
            <w:shd w:val="pct15" w:color="auto" w:fill="auto"/>
            <w:vAlign w:val="center"/>
            <w:hideMark/>
          </w:tcPr>
          <w:p w:rsidR="003A0016" w:rsidRPr="003A0016" w:rsidP="003A0016" w14:paraId="3D93C2B7" w14:textId="77777777">
            <w:pPr>
              <w:spacing w:line="259" w:lineRule="auto"/>
              <w:jc w:val="center"/>
              <w:rPr>
                <w:rFonts w:eastAsia="Calibri"/>
                <w:b/>
                <w:bCs/>
                <w:sz w:val="22"/>
                <w:szCs w:val="22"/>
              </w:rPr>
            </w:pPr>
            <w:r w:rsidRPr="003A0016">
              <w:rPr>
                <w:rFonts w:eastAsia="Calibri"/>
                <w:b/>
                <w:bCs/>
                <w:sz w:val="22"/>
                <w:szCs w:val="22"/>
              </w:rPr>
              <w:t>File Number</w:t>
            </w:r>
          </w:p>
        </w:tc>
      </w:tr>
      <w:tr w14:paraId="31C487EB"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1E705194" w14:textId="77777777">
            <w:pPr>
              <w:spacing w:line="259" w:lineRule="auto"/>
              <w:jc w:val="center"/>
              <w:rPr>
                <w:rFonts w:eastAsia="Calibri"/>
                <w:sz w:val="22"/>
                <w:szCs w:val="22"/>
              </w:rPr>
            </w:pPr>
            <w:r w:rsidRPr="003A0016">
              <w:rPr>
                <w:rFonts w:eastAsia="Calibri"/>
                <w:sz w:val="22"/>
                <w:szCs w:val="22"/>
              </w:rPr>
              <w:t>WGCL-TV, Atlanta, GA</w:t>
            </w:r>
          </w:p>
        </w:tc>
        <w:tc>
          <w:tcPr>
            <w:tcW w:w="990" w:type="dxa"/>
            <w:shd w:val="clear" w:color="auto" w:fill="auto"/>
            <w:noWrap/>
            <w:vAlign w:val="center"/>
            <w:hideMark/>
          </w:tcPr>
          <w:p w:rsidR="003A0016" w:rsidRPr="003A0016" w:rsidP="003A0016" w14:paraId="55F65BF4" w14:textId="77777777">
            <w:pPr>
              <w:spacing w:line="259" w:lineRule="auto"/>
              <w:jc w:val="center"/>
              <w:rPr>
                <w:rFonts w:eastAsia="Calibri"/>
                <w:sz w:val="22"/>
                <w:szCs w:val="22"/>
              </w:rPr>
            </w:pPr>
            <w:r w:rsidRPr="003A0016">
              <w:rPr>
                <w:rFonts w:eastAsia="Calibri"/>
                <w:sz w:val="22"/>
                <w:szCs w:val="22"/>
              </w:rPr>
              <w:t>72120</w:t>
            </w:r>
          </w:p>
        </w:tc>
        <w:tc>
          <w:tcPr>
            <w:tcW w:w="3240" w:type="dxa"/>
            <w:shd w:val="clear" w:color="auto" w:fill="auto"/>
            <w:noWrap/>
            <w:vAlign w:val="center"/>
            <w:hideMark/>
          </w:tcPr>
          <w:p w:rsidR="003A0016" w:rsidRPr="003A0016" w:rsidP="003A0016" w14:paraId="67327A87"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1693738C" w14:textId="77777777">
            <w:pPr>
              <w:spacing w:line="259" w:lineRule="auto"/>
              <w:jc w:val="center"/>
              <w:rPr>
                <w:rFonts w:eastAsia="Calibri"/>
                <w:sz w:val="22"/>
                <w:szCs w:val="22"/>
              </w:rPr>
            </w:pPr>
            <w:r w:rsidRPr="003A0016">
              <w:rPr>
                <w:rFonts w:eastAsia="Calibri"/>
                <w:sz w:val="22"/>
                <w:szCs w:val="22"/>
              </w:rPr>
              <w:t>0000145590</w:t>
            </w:r>
          </w:p>
        </w:tc>
      </w:tr>
      <w:tr w14:paraId="6FEC99E1"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5B9F15D7" w14:textId="77777777">
            <w:pPr>
              <w:spacing w:line="259" w:lineRule="auto"/>
              <w:jc w:val="center"/>
              <w:rPr>
                <w:rFonts w:eastAsia="Calibri"/>
                <w:sz w:val="22"/>
                <w:szCs w:val="22"/>
              </w:rPr>
            </w:pPr>
            <w:r w:rsidRPr="003A0016">
              <w:rPr>
                <w:rFonts w:eastAsia="Calibri"/>
                <w:sz w:val="22"/>
                <w:szCs w:val="22"/>
              </w:rPr>
              <w:t>WPCH-TV, Atlanta, GA</w:t>
            </w:r>
          </w:p>
        </w:tc>
        <w:tc>
          <w:tcPr>
            <w:tcW w:w="990" w:type="dxa"/>
            <w:shd w:val="clear" w:color="auto" w:fill="auto"/>
            <w:noWrap/>
            <w:vAlign w:val="center"/>
            <w:hideMark/>
          </w:tcPr>
          <w:p w:rsidR="003A0016" w:rsidRPr="003A0016" w:rsidP="003A0016" w14:paraId="0115C049" w14:textId="77777777">
            <w:pPr>
              <w:spacing w:line="259" w:lineRule="auto"/>
              <w:jc w:val="center"/>
              <w:rPr>
                <w:rFonts w:eastAsia="Calibri"/>
                <w:sz w:val="22"/>
                <w:szCs w:val="22"/>
              </w:rPr>
            </w:pPr>
            <w:r w:rsidRPr="003A0016">
              <w:rPr>
                <w:rFonts w:eastAsia="Calibri"/>
                <w:sz w:val="22"/>
                <w:szCs w:val="22"/>
              </w:rPr>
              <w:t>64033</w:t>
            </w:r>
          </w:p>
        </w:tc>
        <w:tc>
          <w:tcPr>
            <w:tcW w:w="3240" w:type="dxa"/>
            <w:shd w:val="clear" w:color="auto" w:fill="auto"/>
            <w:noWrap/>
            <w:vAlign w:val="center"/>
            <w:hideMark/>
          </w:tcPr>
          <w:p w:rsidR="003A0016" w:rsidRPr="003A0016" w:rsidP="003A0016" w14:paraId="3A7E6891"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1E7E576C" w14:textId="77777777">
            <w:pPr>
              <w:spacing w:line="259" w:lineRule="auto"/>
              <w:jc w:val="center"/>
              <w:rPr>
                <w:rFonts w:eastAsia="Calibri"/>
                <w:sz w:val="22"/>
                <w:szCs w:val="22"/>
              </w:rPr>
            </w:pPr>
            <w:r w:rsidRPr="003A0016">
              <w:rPr>
                <w:rFonts w:eastAsia="Calibri"/>
                <w:sz w:val="22"/>
                <w:szCs w:val="22"/>
              </w:rPr>
              <w:t>0000145577</w:t>
            </w:r>
          </w:p>
        </w:tc>
      </w:tr>
      <w:tr w14:paraId="2C1CE3BA" w14:textId="77777777" w:rsidTr="003A0016">
        <w:tblPrEx>
          <w:tblW w:w="0" w:type="auto"/>
          <w:jc w:val="center"/>
          <w:tblLook w:val="04A0"/>
        </w:tblPrEx>
        <w:trPr>
          <w:cantSplit/>
          <w:trHeight w:val="315"/>
          <w:jc w:val="center"/>
        </w:trPr>
        <w:tc>
          <w:tcPr>
            <w:tcW w:w="3505" w:type="dxa"/>
            <w:shd w:val="clear" w:color="auto" w:fill="auto"/>
            <w:noWrap/>
            <w:vAlign w:val="center"/>
            <w:hideMark/>
          </w:tcPr>
          <w:p w:rsidR="003A0016" w:rsidRPr="003A0016" w:rsidP="003A0016" w14:paraId="62D85029" w14:textId="77777777">
            <w:pPr>
              <w:spacing w:line="259" w:lineRule="auto"/>
              <w:jc w:val="center"/>
              <w:rPr>
                <w:rFonts w:eastAsia="Calibri"/>
                <w:sz w:val="22"/>
                <w:szCs w:val="22"/>
              </w:rPr>
            </w:pPr>
            <w:r w:rsidRPr="003A0016">
              <w:rPr>
                <w:rFonts w:eastAsia="Calibri"/>
                <w:sz w:val="22"/>
                <w:szCs w:val="22"/>
              </w:rPr>
              <w:t>KMOV(TV), St. Louis, MO</w:t>
            </w:r>
          </w:p>
        </w:tc>
        <w:tc>
          <w:tcPr>
            <w:tcW w:w="990" w:type="dxa"/>
            <w:shd w:val="clear" w:color="auto" w:fill="auto"/>
            <w:noWrap/>
            <w:vAlign w:val="center"/>
            <w:hideMark/>
          </w:tcPr>
          <w:p w:rsidR="003A0016" w:rsidRPr="003A0016" w:rsidP="003A0016" w14:paraId="1F8825D0" w14:textId="77777777">
            <w:pPr>
              <w:spacing w:line="259" w:lineRule="auto"/>
              <w:jc w:val="center"/>
              <w:rPr>
                <w:rFonts w:eastAsia="Calibri"/>
                <w:sz w:val="22"/>
                <w:szCs w:val="22"/>
              </w:rPr>
            </w:pPr>
            <w:r w:rsidRPr="003A0016">
              <w:rPr>
                <w:rFonts w:eastAsia="Calibri"/>
                <w:sz w:val="22"/>
                <w:szCs w:val="22"/>
              </w:rPr>
              <w:t>70034</w:t>
            </w:r>
          </w:p>
        </w:tc>
        <w:tc>
          <w:tcPr>
            <w:tcW w:w="3240" w:type="dxa"/>
            <w:shd w:val="clear" w:color="auto" w:fill="auto"/>
            <w:noWrap/>
            <w:vAlign w:val="center"/>
            <w:hideMark/>
          </w:tcPr>
          <w:p w:rsidR="003A0016" w:rsidRPr="003A0016" w:rsidP="003A0016" w14:paraId="451F6C23"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618450CE" w14:textId="77777777">
            <w:pPr>
              <w:spacing w:line="259" w:lineRule="auto"/>
              <w:jc w:val="center"/>
              <w:rPr>
                <w:rFonts w:eastAsia="Calibri"/>
                <w:sz w:val="22"/>
                <w:szCs w:val="22"/>
              </w:rPr>
            </w:pPr>
            <w:r w:rsidRPr="003A0016">
              <w:rPr>
                <w:rFonts w:eastAsia="Calibri"/>
                <w:sz w:val="22"/>
                <w:szCs w:val="22"/>
              </w:rPr>
              <w:t>0000145586</w:t>
            </w:r>
          </w:p>
        </w:tc>
      </w:tr>
      <w:tr w14:paraId="1EB7F62C"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6B5917D5" w14:textId="77777777">
            <w:pPr>
              <w:spacing w:line="259" w:lineRule="auto"/>
              <w:jc w:val="center"/>
              <w:rPr>
                <w:rFonts w:eastAsia="Calibri"/>
                <w:sz w:val="22"/>
                <w:szCs w:val="22"/>
              </w:rPr>
            </w:pPr>
            <w:r w:rsidRPr="003A0016">
              <w:rPr>
                <w:rFonts w:eastAsia="Calibri"/>
                <w:sz w:val="22"/>
                <w:szCs w:val="22"/>
              </w:rPr>
              <w:t>WSMV-TV, Nashville, TN</w:t>
            </w:r>
          </w:p>
        </w:tc>
        <w:tc>
          <w:tcPr>
            <w:tcW w:w="990" w:type="dxa"/>
            <w:shd w:val="clear" w:color="auto" w:fill="auto"/>
            <w:noWrap/>
            <w:vAlign w:val="center"/>
            <w:hideMark/>
          </w:tcPr>
          <w:p w:rsidR="003A0016" w:rsidRPr="003A0016" w:rsidP="003A0016" w14:paraId="53F4283C" w14:textId="77777777">
            <w:pPr>
              <w:spacing w:line="259" w:lineRule="auto"/>
              <w:jc w:val="center"/>
              <w:rPr>
                <w:rFonts w:eastAsia="Calibri"/>
                <w:sz w:val="22"/>
                <w:szCs w:val="22"/>
              </w:rPr>
            </w:pPr>
            <w:r w:rsidRPr="003A0016">
              <w:rPr>
                <w:rFonts w:eastAsia="Calibri"/>
                <w:sz w:val="22"/>
                <w:szCs w:val="22"/>
              </w:rPr>
              <w:t>41232</w:t>
            </w:r>
          </w:p>
        </w:tc>
        <w:tc>
          <w:tcPr>
            <w:tcW w:w="3240" w:type="dxa"/>
            <w:shd w:val="clear" w:color="auto" w:fill="auto"/>
            <w:noWrap/>
            <w:vAlign w:val="center"/>
            <w:hideMark/>
          </w:tcPr>
          <w:p w:rsidR="003A0016" w:rsidRPr="003A0016" w:rsidP="003A0016" w14:paraId="58B86854"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358732E3" w14:textId="77777777">
            <w:pPr>
              <w:spacing w:line="259" w:lineRule="auto"/>
              <w:jc w:val="center"/>
              <w:rPr>
                <w:rFonts w:eastAsia="Calibri"/>
                <w:sz w:val="22"/>
                <w:szCs w:val="22"/>
              </w:rPr>
            </w:pPr>
            <w:r w:rsidRPr="003A0016">
              <w:rPr>
                <w:rFonts w:eastAsia="Calibri"/>
                <w:sz w:val="22"/>
                <w:szCs w:val="22"/>
              </w:rPr>
              <w:t>0000145610</w:t>
            </w:r>
          </w:p>
        </w:tc>
      </w:tr>
      <w:tr w14:paraId="762DADDB"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126BC94F" w14:textId="77777777">
            <w:pPr>
              <w:spacing w:line="259" w:lineRule="auto"/>
              <w:jc w:val="center"/>
              <w:rPr>
                <w:rFonts w:eastAsia="Calibri"/>
                <w:sz w:val="22"/>
                <w:szCs w:val="22"/>
              </w:rPr>
            </w:pPr>
            <w:r w:rsidRPr="003A0016">
              <w:rPr>
                <w:rFonts w:eastAsia="Calibri"/>
                <w:sz w:val="22"/>
                <w:szCs w:val="22"/>
              </w:rPr>
              <w:t>WFSB(TV), Hartford, CT</w:t>
            </w:r>
          </w:p>
        </w:tc>
        <w:tc>
          <w:tcPr>
            <w:tcW w:w="990" w:type="dxa"/>
            <w:shd w:val="clear" w:color="auto" w:fill="auto"/>
            <w:noWrap/>
            <w:vAlign w:val="center"/>
            <w:hideMark/>
          </w:tcPr>
          <w:p w:rsidR="003A0016" w:rsidRPr="003A0016" w:rsidP="003A0016" w14:paraId="4C168E93" w14:textId="77777777">
            <w:pPr>
              <w:spacing w:line="259" w:lineRule="auto"/>
              <w:jc w:val="center"/>
              <w:rPr>
                <w:rFonts w:eastAsia="Calibri"/>
                <w:sz w:val="22"/>
                <w:szCs w:val="22"/>
              </w:rPr>
            </w:pPr>
            <w:r w:rsidRPr="003A0016">
              <w:rPr>
                <w:rFonts w:eastAsia="Calibri"/>
                <w:sz w:val="22"/>
                <w:szCs w:val="22"/>
              </w:rPr>
              <w:t>53115</w:t>
            </w:r>
          </w:p>
        </w:tc>
        <w:tc>
          <w:tcPr>
            <w:tcW w:w="3240" w:type="dxa"/>
            <w:shd w:val="clear" w:color="auto" w:fill="auto"/>
            <w:noWrap/>
            <w:vAlign w:val="center"/>
            <w:hideMark/>
          </w:tcPr>
          <w:p w:rsidR="003A0016" w:rsidRPr="003A0016" w:rsidP="003A0016" w14:paraId="1868840F"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7C9EE114" w14:textId="77777777">
            <w:pPr>
              <w:spacing w:line="259" w:lineRule="auto"/>
              <w:jc w:val="center"/>
              <w:rPr>
                <w:rFonts w:eastAsia="Calibri"/>
                <w:sz w:val="22"/>
                <w:szCs w:val="22"/>
              </w:rPr>
            </w:pPr>
            <w:r w:rsidRPr="003A0016">
              <w:rPr>
                <w:rFonts w:eastAsia="Calibri"/>
                <w:sz w:val="22"/>
                <w:szCs w:val="22"/>
              </w:rPr>
              <w:t>0000145533</w:t>
            </w:r>
          </w:p>
        </w:tc>
      </w:tr>
      <w:tr w14:paraId="4B12E98B"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5173927C" w14:textId="77777777">
            <w:pPr>
              <w:spacing w:line="259" w:lineRule="auto"/>
              <w:jc w:val="center"/>
              <w:rPr>
                <w:rFonts w:eastAsia="Calibri"/>
                <w:sz w:val="22"/>
                <w:szCs w:val="22"/>
              </w:rPr>
            </w:pPr>
            <w:r w:rsidRPr="003A0016">
              <w:rPr>
                <w:rFonts w:eastAsia="Calibri"/>
                <w:sz w:val="22"/>
                <w:szCs w:val="22"/>
              </w:rPr>
              <w:t>WSHM-LD, Springfield, MA</w:t>
            </w:r>
          </w:p>
        </w:tc>
        <w:tc>
          <w:tcPr>
            <w:tcW w:w="990" w:type="dxa"/>
            <w:shd w:val="clear" w:color="auto" w:fill="auto"/>
            <w:noWrap/>
            <w:vAlign w:val="center"/>
            <w:hideMark/>
          </w:tcPr>
          <w:p w:rsidR="003A0016" w:rsidRPr="003A0016" w:rsidP="003A0016" w14:paraId="59C7767D" w14:textId="77777777">
            <w:pPr>
              <w:spacing w:line="259" w:lineRule="auto"/>
              <w:jc w:val="center"/>
              <w:rPr>
                <w:rFonts w:eastAsia="Calibri"/>
                <w:sz w:val="22"/>
                <w:szCs w:val="22"/>
              </w:rPr>
            </w:pPr>
            <w:r w:rsidRPr="003A0016">
              <w:rPr>
                <w:rFonts w:eastAsia="Calibri"/>
                <w:sz w:val="22"/>
                <w:szCs w:val="22"/>
              </w:rPr>
              <w:t>67980</w:t>
            </w:r>
          </w:p>
        </w:tc>
        <w:tc>
          <w:tcPr>
            <w:tcW w:w="3240" w:type="dxa"/>
            <w:shd w:val="clear" w:color="auto" w:fill="auto"/>
            <w:noWrap/>
            <w:vAlign w:val="center"/>
            <w:hideMark/>
          </w:tcPr>
          <w:p w:rsidR="003A0016" w:rsidRPr="003A0016" w:rsidP="003A0016" w14:paraId="54197246"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6F41D19A" w14:textId="77777777">
            <w:pPr>
              <w:spacing w:line="259" w:lineRule="auto"/>
              <w:jc w:val="center"/>
              <w:rPr>
                <w:rFonts w:eastAsia="Calibri"/>
                <w:sz w:val="22"/>
                <w:szCs w:val="22"/>
              </w:rPr>
            </w:pPr>
            <w:r w:rsidRPr="003A0016">
              <w:rPr>
                <w:rFonts w:eastAsia="Calibri"/>
                <w:sz w:val="22"/>
                <w:szCs w:val="22"/>
              </w:rPr>
              <w:t>0000145534</w:t>
            </w:r>
          </w:p>
        </w:tc>
      </w:tr>
      <w:tr w14:paraId="2ACB99A8"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2F966937" w14:textId="77777777">
            <w:pPr>
              <w:spacing w:line="259" w:lineRule="auto"/>
              <w:jc w:val="center"/>
              <w:rPr>
                <w:rFonts w:eastAsia="Calibri"/>
                <w:sz w:val="22"/>
                <w:szCs w:val="22"/>
              </w:rPr>
            </w:pPr>
            <w:r w:rsidRPr="003A0016">
              <w:rPr>
                <w:rFonts w:eastAsia="Calibri"/>
                <w:sz w:val="22"/>
                <w:szCs w:val="22"/>
              </w:rPr>
              <w:t>KCTV(TV), Kansas City, MO</w:t>
            </w:r>
          </w:p>
        </w:tc>
        <w:tc>
          <w:tcPr>
            <w:tcW w:w="990" w:type="dxa"/>
            <w:shd w:val="clear" w:color="auto" w:fill="auto"/>
            <w:noWrap/>
            <w:vAlign w:val="center"/>
            <w:hideMark/>
          </w:tcPr>
          <w:p w:rsidR="003A0016" w:rsidRPr="003A0016" w:rsidP="003A0016" w14:paraId="384F3627" w14:textId="77777777">
            <w:pPr>
              <w:spacing w:line="259" w:lineRule="auto"/>
              <w:jc w:val="center"/>
              <w:rPr>
                <w:rFonts w:eastAsia="Calibri"/>
                <w:sz w:val="22"/>
                <w:szCs w:val="22"/>
              </w:rPr>
            </w:pPr>
            <w:r w:rsidRPr="003A0016">
              <w:rPr>
                <w:rFonts w:eastAsia="Calibri"/>
                <w:sz w:val="22"/>
                <w:szCs w:val="22"/>
              </w:rPr>
              <w:t>41230</w:t>
            </w:r>
          </w:p>
        </w:tc>
        <w:tc>
          <w:tcPr>
            <w:tcW w:w="3240" w:type="dxa"/>
            <w:shd w:val="clear" w:color="auto" w:fill="auto"/>
            <w:noWrap/>
            <w:vAlign w:val="center"/>
            <w:hideMark/>
          </w:tcPr>
          <w:p w:rsidR="003A0016" w:rsidRPr="003A0016" w:rsidP="003A0016" w14:paraId="51DD4178"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3025877D" w14:textId="77777777">
            <w:pPr>
              <w:spacing w:line="259" w:lineRule="auto"/>
              <w:jc w:val="center"/>
              <w:rPr>
                <w:rFonts w:eastAsia="Calibri"/>
                <w:sz w:val="22"/>
                <w:szCs w:val="22"/>
              </w:rPr>
            </w:pPr>
            <w:r w:rsidRPr="003A0016">
              <w:rPr>
                <w:rFonts w:eastAsia="Calibri"/>
                <w:sz w:val="22"/>
                <w:szCs w:val="22"/>
              </w:rPr>
              <w:t>0000145511</w:t>
            </w:r>
          </w:p>
        </w:tc>
      </w:tr>
      <w:tr w14:paraId="4DE7507D"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5FD2944D" w14:textId="77777777">
            <w:pPr>
              <w:spacing w:line="259" w:lineRule="auto"/>
              <w:jc w:val="center"/>
              <w:rPr>
                <w:rFonts w:eastAsia="Calibri"/>
                <w:sz w:val="22"/>
                <w:szCs w:val="22"/>
              </w:rPr>
            </w:pPr>
            <w:r w:rsidRPr="003A0016">
              <w:rPr>
                <w:rFonts w:eastAsia="Calibri"/>
                <w:sz w:val="22"/>
                <w:szCs w:val="22"/>
              </w:rPr>
              <w:t>KSMO-TV, Kansas City, MO</w:t>
            </w:r>
          </w:p>
        </w:tc>
        <w:tc>
          <w:tcPr>
            <w:tcW w:w="990" w:type="dxa"/>
            <w:shd w:val="clear" w:color="auto" w:fill="auto"/>
            <w:noWrap/>
            <w:vAlign w:val="center"/>
            <w:hideMark/>
          </w:tcPr>
          <w:p w:rsidR="003A0016" w:rsidRPr="003A0016" w:rsidP="003A0016" w14:paraId="2C9038BF" w14:textId="77777777">
            <w:pPr>
              <w:spacing w:line="259" w:lineRule="auto"/>
              <w:jc w:val="center"/>
              <w:rPr>
                <w:rFonts w:eastAsia="Calibri"/>
                <w:sz w:val="22"/>
                <w:szCs w:val="22"/>
              </w:rPr>
            </w:pPr>
            <w:r w:rsidRPr="003A0016">
              <w:rPr>
                <w:rFonts w:eastAsia="Calibri"/>
                <w:sz w:val="22"/>
                <w:szCs w:val="22"/>
              </w:rPr>
              <w:t>33336</w:t>
            </w:r>
          </w:p>
        </w:tc>
        <w:tc>
          <w:tcPr>
            <w:tcW w:w="3240" w:type="dxa"/>
            <w:shd w:val="clear" w:color="auto" w:fill="auto"/>
            <w:noWrap/>
            <w:vAlign w:val="center"/>
            <w:hideMark/>
          </w:tcPr>
          <w:p w:rsidR="003A0016" w:rsidRPr="003A0016" w:rsidP="003A0016" w14:paraId="33DDCB02"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5EC1DA7A" w14:textId="77777777">
            <w:pPr>
              <w:spacing w:line="259" w:lineRule="auto"/>
              <w:jc w:val="center"/>
              <w:rPr>
                <w:rFonts w:eastAsia="Calibri"/>
                <w:sz w:val="22"/>
                <w:szCs w:val="22"/>
              </w:rPr>
            </w:pPr>
            <w:r w:rsidRPr="003A0016">
              <w:rPr>
                <w:rFonts w:eastAsia="Calibri"/>
                <w:sz w:val="22"/>
                <w:szCs w:val="22"/>
              </w:rPr>
              <w:t>0000145619</w:t>
            </w:r>
          </w:p>
        </w:tc>
      </w:tr>
      <w:tr w14:paraId="1F9E2C8C"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3E07A0E7" w14:textId="77777777">
            <w:pPr>
              <w:spacing w:line="259" w:lineRule="auto"/>
              <w:jc w:val="center"/>
              <w:rPr>
                <w:rFonts w:eastAsia="Calibri"/>
                <w:sz w:val="22"/>
                <w:szCs w:val="22"/>
              </w:rPr>
            </w:pPr>
            <w:r w:rsidRPr="003A0016">
              <w:rPr>
                <w:rFonts w:eastAsia="Calibri"/>
                <w:sz w:val="22"/>
                <w:szCs w:val="22"/>
              </w:rPr>
              <w:t>WHNS(TV), Greenville, SC</w:t>
            </w:r>
          </w:p>
        </w:tc>
        <w:tc>
          <w:tcPr>
            <w:tcW w:w="990" w:type="dxa"/>
            <w:shd w:val="clear" w:color="auto" w:fill="auto"/>
            <w:noWrap/>
            <w:vAlign w:val="center"/>
            <w:hideMark/>
          </w:tcPr>
          <w:p w:rsidR="003A0016" w:rsidRPr="003A0016" w:rsidP="003A0016" w14:paraId="45B4A16C" w14:textId="77777777">
            <w:pPr>
              <w:spacing w:line="259" w:lineRule="auto"/>
              <w:jc w:val="center"/>
              <w:rPr>
                <w:rFonts w:eastAsia="Calibri"/>
                <w:sz w:val="22"/>
                <w:szCs w:val="22"/>
              </w:rPr>
            </w:pPr>
            <w:r w:rsidRPr="003A0016">
              <w:rPr>
                <w:rFonts w:eastAsia="Calibri"/>
                <w:sz w:val="22"/>
                <w:szCs w:val="22"/>
              </w:rPr>
              <w:t>72300</w:t>
            </w:r>
          </w:p>
        </w:tc>
        <w:tc>
          <w:tcPr>
            <w:tcW w:w="3240" w:type="dxa"/>
            <w:shd w:val="clear" w:color="auto" w:fill="auto"/>
            <w:noWrap/>
            <w:vAlign w:val="center"/>
            <w:hideMark/>
          </w:tcPr>
          <w:p w:rsidR="003A0016" w:rsidRPr="003A0016" w:rsidP="003A0016" w14:paraId="3DA18E77"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79E34A16" w14:textId="77777777">
            <w:pPr>
              <w:spacing w:line="259" w:lineRule="auto"/>
              <w:jc w:val="center"/>
              <w:rPr>
                <w:rFonts w:eastAsia="Calibri"/>
                <w:sz w:val="22"/>
                <w:szCs w:val="22"/>
              </w:rPr>
            </w:pPr>
            <w:r w:rsidRPr="003A0016">
              <w:rPr>
                <w:rFonts w:eastAsia="Calibri"/>
                <w:sz w:val="22"/>
                <w:szCs w:val="22"/>
              </w:rPr>
              <w:t>0000145484</w:t>
            </w:r>
          </w:p>
        </w:tc>
      </w:tr>
      <w:tr w14:paraId="328C88B9"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121FC8C2" w14:textId="77777777">
            <w:pPr>
              <w:spacing w:line="259" w:lineRule="auto"/>
              <w:jc w:val="center"/>
              <w:rPr>
                <w:rFonts w:eastAsia="Calibri"/>
                <w:sz w:val="22"/>
                <w:szCs w:val="22"/>
              </w:rPr>
            </w:pPr>
            <w:r w:rsidRPr="003A0016">
              <w:rPr>
                <w:rFonts w:eastAsia="Calibri"/>
                <w:sz w:val="22"/>
                <w:szCs w:val="22"/>
              </w:rPr>
              <w:t>W15CW-D, Franklin, NC</w:t>
            </w:r>
          </w:p>
        </w:tc>
        <w:tc>
          <w:tcPr>
            <w:tcW w:w="990" w:type="dxa"/>
            <w:shd w:val="clear" w:color="auto" w:fill="auto"/>
            <w:noWrap/>
            <w:vAlign w:val="center"/>
            <w:hideMark/>
          </w:tcPr>
          <w:p w:rsidR="003A0016" w:rsidRPr="003A0016" w:rsidP="003A0016" w14:paraId="68658268" w14:textId="77777777">
            <w:pPr>
              <w:spacing w:line="259" w:lineRule="auto"/>
              <w:jc w:val="center"/>
              <w:rPr>
                <w:rFonts w:eastAsia="Calibri"/>
                <w:sz w:val="22"/>
                <w:szCs w:val="22"/>
              </w:rPr>
            </w:pPr>
            <w:r w:rsidRPr="003A0016">
              <w:rPr>
                <w:rFonts w:eastAsia="Calibri"/>
                <w:sz w:val="22"/>
                <w:szCs w:val="22"/>
              </w:rPr>
              <w:t>72305</w:t>
            </w:r>
          </w:p>
        </w:tc>
        <w:tc>
          <w:tcPr>
            <w:tcW w:w="3240" w:type="dxa"/>
            <w:shd w:val="clear" w:color="auto" w:fill="auto"/>
            <w:noWrap/>
            <w:vAlign w:val="center"/>
            <w:hideMark/>
          </w:tcPr>
          <w:p w:rsidR="003A0016" w:rsidRPr="003A0016" w:rsidP="003A0016" w14:paraId="1948B802"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15C7F19B" w14:textId="77777777">
            <w:pPr>
              <w:spacing w:line="259" w:lineRule="auto"/>
              <w:jc w:val="center"/>
              <w:rPr>
                <w:rFonts w:eastAsia="Calibri"/>
                <w:sz w:val="22"/>
                <w:szCs w:val="22"/>
              </w:rPr>
            </w:pPr>
            <w:r w:rsidRPr="003A0016">
              <w:rPr>
                <w:rFonts w:eastAsia="Calibri"/>
                <w:sz w:val="22"/>
                <w:szCs w:val="22"/>
              </w:rPr>
              <w:t>0000145485</w:t>
            </w:r>
          </w:p>
        </w:tc>
      </w:tr>
      <w:tr w14:paraId="6B7FD9AF"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5465EAA3" w14:textId="77777777">
            <w:pPr>
              <w:spacing w:line="259" w:lineRule="auto"/>
              <w:jc w:val="center"/>
              <w:rPr>
                <w:rFonts w:eastAsia="Calibri"/>
                <w:sz w:val="22"/>
                <w:szCs w:val="22"/>
              </w:rPr>
            </w:pPr>
            <w:r w:rsidRPr="003A0016">
              <w:rPr>
                <w:rFonts w:eastAsia="Calibri"/>
                <w:sz w:val="22"/>
                <w:szCs w:val="22"/>
              </w:rPr>
              <w:t>W21DV-D, Bryson City, NC</w:t>
            </w:r>
          </w:p>
        </w:tc>
        <w:tc>
          <w:tcPr>
            <w:tcW w:w="990" w:type="dxa"/>
            <w:shd w:val="clear" w:color="auto" w:fill="auto"/>
            <w:noWrap/>
            <w:vAlign w:val="center"/>
            <w:hideMark/>
          </w:tcPr>
          <w:p w:rsidR="003A0016" w:rsidRPr="003A0016" w:rsidP="003A0016" w14:paraId="64E7495A" w14:textId="77777777">
            <w:pPr>
              <w:spacing w:line="259" w:lineRule="auto"/>
              <w:jc w:val="center"/>
              <w:rPr>
                <w:rFonts w:eastAsia="Calibri"/>
                <w:sz w:val="22"/>
                <w:szCs w:val="22"/>
              </w:rPr>
            </w:pPr>
            <w:r w:rsidRPr="003A0016">
              <w:rPr>
                <w:rFonts w:eastAsia="Calibri"/>
                <w:sz w:val="22"/>
                <w:szCs w:val="22"/>
              </w:rPr>
              <w:t>72306</w:t>
            </w:r>
          </w:p>
        </w:tc>
        <w:tc>
          <w:tcPr>
            <w:tcW w:w="3240" w:type="dxa"/>
            <w:shd w:val="clear" w:color="auto" w:fill="auto"/>
            <w:noWrap/>
            <w:vAlign w:val="center"/>
            <w:hideMark/>
          </w:tcPr>
          <w:p w:rsidR="003A0016" w:rsidRPr="003A0016" w:rsidP="003A0016" w14:paraId="17F5EF3E"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50E7E66E" w14:textId="77777777">
            <w:pPr>
              <w:spacing w:line="259" w:lineRule="auto"/>
              <w:jc w:val="center"/>
              <w:rPr>
                <w:rFonts w:eastAsia="Calibri"/>
                <w:sz w:val="22"/>
                <w:szCs w:val="22"/>
              </w:rPr>
            </w:pPr>
            <w:r w:rsidRPr="003A0016">
              <w:rPr>
                <w:rFonts w:eastAsia="Calibri"/>
                <w:sz w:val="22"/>
                <w:szCs w:val="22"/>
              </w:rPr>
              <w:t>0000145486</w:t>
            </w:r>
          </w:p>
        </w:tc>
      </w:tr>
      <w:tr w14:paraId="05C72D71"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22CEF29B" w14:textId="77777777">
            <w:pPr>
              <w:spacing w:line="259" w:lineRule="auto"/>
              <w:jc w:val="center"/>
              <w:rPr>
                <w:rFonts w:eastAsia="Calibri"/>
                <w:sz w:val="22"/>
                <w:szCs w:val="22"/>
              </w:rPr>
            </w:pPr>
            <w:r w:rsidRPr="003A0016">
              <w:rPr>
                <w:rFonts w:eastAsia="Calibri"/>
                <w:sz w:val="22"/>
                <w:szCs w:val="22"/>
              </w:rPr>
              <w:t>W23EZ-D, Sylva, NC</w:t>
            </w:r>
          </w:p>
        </w:tc>
        <w:tc>
          <w:tcPr>
            <w:tcW w:w="990" w:type="dxa"/>
            <w:shd w:val="clear" w:color="auto" w:fill="auto"/>
            <w:noWrap/>
            <w:vAlign w:val="center"/>
            <w:hideMark/>
          </w:tcPr>
          <w:p w:rsidR="003A0016" w:rsidRPr="003A0016" w:rsidP="003A0016" w14:paraId="783DEAAA" w14:textId="77777777">
            <w:pPr>
              <w:spacing w:line="259" w:lineRule="auto"/>
              <w:jc w:val="center"/>
              <w:rPr>
                <w:rFonts w:eastAsia="Calibri"/>
                <w:sz w:val="22"/>
                <w:szCs w:val="22"/>
              </w:rPr>
            </w:pPr>
            <w:r w:rsidRPr="003A0016">
              <w:rPr>
                <w:rFonts w:eastAsia="Calibri"/>
                <w:sz w:val="22"/>
                <w:szCs w:val="22"/>
              </w:rPr>
              <w:t>72301</w:t>
            </w:r>
          </w:p>
        </w:tc>
        <w:tc>
          <w:tcPr>
            <w:tcW w:w="3240" w:type="dxa"/>
            <w:shd w:val="clear" w:color="auto" w:fill="auto"/>
            <w:noWrap/>
            <w:vAlign w:val="center"/>
            <w:hideMark/>
          </w:tcPr>
          <w:p w:rsidR="003A0016" w:rsidRPr="003A0016" w:rsidP="003A0016" w14:paraId="7A606B19"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5FF99B49" w14:textId="77777777">
            <w:pPr>
              <w:spacing w:line="259" w:lineRule="auto"/>
              <w:jc w:val="center"/>
              <w:rPr>
                <w:rFonts w:eastAsia="Calibri"/>
                <w:sz w:val="22"/>
                <w:szCs w:val="22"/>
              </w:rPr>
            </w:pPr>
            <w:r w:rsidRPr="003A0016">
              <w:rPr>
                <w:rFonts w:eastAsia="Calibri"/>
                <w:sz w:val="22"/>
                <w:szCs w:val="22"/>
              </w:rPr>
              <w:t>0000145487</w:t>
            </w:r>
          </w:p>
        </w:tc>
      </w:tr>
      <w:tr w14:paraId="50E40A1A"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45270D6F" w14:textId="77777777">
            <w:pPr>
              <w:spacing w:line="259" w:lineRule="auto"/>
              <w:jc w:val="center"/>
              <w:rPr>
                <w:rFonts w:eastAsia="Calibri"/>
                <w:sz w:val="22"/>
                <w:szCs w:val="22"/>
              </w:rPr>
            </w:pPr>
            <w:r w:rsidRPr="003A0016">
              <w:rPr>
                <w:rFonts w:eastAsia="Calibri"/>
                <w:sz w:val="22"/>
                <w:szCs w:val="22"/>
              </w:rPr>
              <w:t>W26FB-D, Canton/Waynesville, NC</w:t>
            </w:r>
          </w:p>
        </w:tc>
        <w:tc>
          <w:tcPr>
            <w:tcW w:w="990" w:type="dxa"/>
            <w:shd w:val="clear" w:color="auto" w:fill="auto"/>
            <w:noWrap/>
            <w:vAlign w:val="center"/>
            <w:hideMark/>
          </w:tcPr>
          <w:p w:rsidR="003A0016" w:rsidRPr="003A0016" w:rsidP="003A0016" w14:paraId="063B3CCF" w14:textId="77777777">
            <w:pPr>
              <w:spacing w:line="259" w:lineRule="auto"/>
              <w:jc w:val="center"/>
              <w:rPr>
                <w:rFonts w:eastAsia="Calibri"/>
                <w:sz w:val="22"/>
                <w:szCs w:val="22"/>
              </w:rPr>
            </w:pPr>
            <w:r w:rsidRPr="003A0016">
              <w:rPr>
                <w:rFonts w:eastAsia="Calibri"/>
                <w:sz w:val="22"/>
                <w:szCs w:val="22"/>
              </w:rPr>
              <w:t>72304</w:t>
            </w:r>
          </w:p>
        </w:tc>
        <w:tc>
          <w:tcPr>
            <w:tcW w:w="3240" w:type="dxa"/>
            <w:shd w:val="clear" w:color="auto" w:fill="auto"/>
            <w:noWrap/>
            <w:vAlign w:val="center"/>
            <w:hideMark/>
          </w:tcPr>
          <w:p w:rsidR="003A0016" w:rsidRPr="003A0016" w:rsidP="003A0016" w14:paraId="299890BD"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5CF57DB2" w14:textId="77777777">
            <w:pPr>
              <w:spacing w:line="259" w:lineRule="auto"/>
              <w:jc w:val="center"/>
              <w:rPr>
                <w:rFonts w:eastAsia="Calibri"/>
                <w:sz w:val="22"/>
                <w:szCs w:val="22"/>
              </w:rPr>
            </w:pPr>
            <w:r w:rsidRPr="003A0016">
              <w:rPr>
                <w:rFonts w:eastAsia="Calibri"/>
                <w:sz w:val="22"/>
                <w:szCs w:val="22"/>
              </w:rPr>
              <w:t>0000145489</w:t>
            </w:r>
          </w:p>
        </w:tc>
      </w:tr>
      <w:tr w14:paraId="14C03338"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57646BA0" w14:textId="77777777">
            <w:pPr>
              <w:spacing w:line="259" w:lineRule="auto"/>
              <w:jc w:val="center"/>
              <w:rPr>
                <w:rFonts w:eastAsia="Calibri"/>
                <w:sz w:val="22"/>
                <w:szCs w:val="22"/>
              </w:rPr>
            </w:pPr>
            <w:r w:rsidRPr="003A0016">
              <w:rPr>
                <w:rFonts w:eastAsia="Calibri"/>
                <w:sz w:val="22"/>
                <w:szCs w:val="22"/>
              </w:rPr>
              <w:t>W34DX-D, West Asheville, NC</w:t>
            </w:r>
          </w:p>
        </w:tc>
        <w:tc>
          <w:tcPr>
            <w:tcW w:w="990" w:type="dxa"/>
            <w:shd w:val="clear" w:color="auto" w:fill="auto"/>
            <w:noWrap/>
            <w:vAlign w:val="center"/>
            <w:hideMark/>
          </w:tcPr>
          <w:p w:rsidR="003A0016" w:rsidRPr="003A0016" w:rsidP="003A0016" w14:paraId="4281AD58" w14:textId="77777777">
            <w:pPr>
              <w:spacing w:line="259" w:lineRule="auto"/>
              <w:jc w:val="center"/>
              <w:rPr>
                <w:rFonts w:eastAsia="Calibri"/>
                <w:sz w:val="22"/>
                <w:szCs w:val="22"/>
              </w:rPr>
            </w:pPr>
            <w:r w:rsidRPr="003A0016">
              <w:rPr>
                <w:rFonts w:eastAsia="Calibri"/>
                <w:sz w:val="22"/>
                <w:szCs w:val="22"/>
              </w:rPr>
              <w:t>72302</w:t>
            </w:r>
          </w:p>
        </w:tc>
        <w:tc>
          <w:tcPr>
            <w:tcW w:w="3240" w:type="dxa"/>
            <w:shd w:val="clear" w:color="auto" w:fill="auto"/>
            <w:noWrap/>
            <w:vAlign w:val="center"/>
            <w:hideMark/>
          </w:tcPr>
          <w:p w:rsidR="003A0016" w:rsidRPr="003A0016" w:rsidP="003A0016" w14:paraId="03E3E91B"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59726602" w14:textId="77777777">
            <w:pPr>
              <w:spacing w:line="259" w:lineRule="auto"/>
              <w:jc w:val="center"/>
              <w:rPr>
                <w:rFonts w:eastAsia="Calibri"/>
                <w:sz w:val="22"/>
                <w:szCs w:val="22"/>
              </w:rPr>
            </w:pPr>
            <w:r w:rsidRPr="003A0016">
              <w:rPr>
                <w:rFonts w:eastAsia="Calibri"/>
                <w:sz w:val="22"/>
                <w:szCs w:val="22"/>
              </w:rPr>
              <w:t>0000145488</w:t>
            </w:r>
          </w:p>
        </w:tc>
      </w:tr>
      <w:tr w14:paraId="2E4466EE"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2C79B2AD" w14:textId="77777777">
            <w:pPr>
              <w:spacing w:line="259" w:lineRule="auto"/>
              <w:jc w:val="center"/>
              <w:rPr>
                <w:rFonts w:eastAsia="Calibri"/>
                <w:sz w:val="22"/>
                <w:szCs w:val="22"/>
              </w:rPr>
            </w:pPr>
            <w:r w:rsidRPr="003A0016">
              <w:rPr>
                <w:rFonts w:eastAsia="Calibri"/>
                <w:sz w:val="22"/>
                <w:szCs w:val="22"/>
              </w:rPr>
              <w:t>WALA-TV, Mobile, AL</w:t>
            </w:r>
          </w:p>
        </w:tc>
        <w:tc>
          <w:tcPr>
            <w:tcW w:w="990" w:type="dxa"/>
            <w:shd w:val="clear" w:color="auto" w:fill="auto"/>
            <w:noWrap/>
            <w:vAlign w:val="center"/>
            <w:hideMark/>
          </w:tcPr>
          <w:p w:rsidR="003A0016" w:rsidRPr="003A0016" w:rsidP="003A0016" w14:paraId="53C86DB0" w14:textId="77777777">
            <w:pPr>
              <w:spacing w:line="259" w:lineRule="auto"/>
              <w:jc w:val="center"/>
              <w:rPr>
                <w:rFonts w:eastAsia="Calibri"/>
                <w:sz w:val="22"/>
                <w:szCs w:val="22"/>
              </w:rPr>
            </w:pPr>
            <w:r w:rsidRPr="003A0016">
              <w:rPr>
                <w:rFonts w:eastAsia="Calibri"/>
                <w:sz w:val="22"/>
                <w:szCs w:val="22"/>
              </w:rPr>
              <w:t>4143</w:t>
            </w:r>
          </w:p>
        </w:tc>
        <w:tc>
          <w:tcPr>
            <w:tcW w:w="3240" w:type="dxa"/>
            <w:shd w:val="clear" w:color="auto" w:fill="auto"/>
            <w:noWrap/>
            <w:vAlign w:val="center"/>
            <w:hideMark/>
          </w:tcPr>
          <w:p w:rsidR="003A0016" w:rsidRPr="003A0016" w:rsidP="003A0016" w14:paraId="4B24E6C8"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61B66B6F" w14:textId="77777777">
            <w:pPr>
              <w:spacing w:line="259" w:lineRule="auto"/>
              <w:jc w:val="center"/>
              <w:rPr>
                <w:rFonts w:eastAsia="Calibri"/>
                <w:sz w:val="22"/>
                <w:szCs w:val="22"/>
              </w:rPr>
            </w:pPr>
            <w:r w:rsidRPr="003A0016">
              <w:rPr>
                <w:rFonts w:eastAsia="Calibri"/>
                <w:sz w:val="22"/>
                <w:szCs w:val="22"/>
              </w:rPr>
              <w:t>0000145582</w:t>
            </w:r>
          </w:p>
        </w:tc>
      </w:tr>
      <w:tr w14:paraId="6CDA3B32"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112D77A1" w14:textId="77777777">
            <w:pPr>
              <w:spacing w:line="259" w:lineRule="auto"/>
              <w:jc w:val="center"/>
              <w:rPr>
                <w:rFonts w:eastAsia="Calibri"/>
                <w:sz w:val="22"/>
                <w:szCs w:val="22"/>
              </w:rPr>
            </w:pPr>
            <w:r w:rsidRPr="003A0016">
              <w:rPr>
                <w:rFonts w:eastAsia="Calibri"/>
                <w:sz w:val="22"/>
                <w:szCs w:val="22"/>
              </w:rPr>
              <w:t>WNEM-TV, Flint, MI</w:t>
            </w:r>
          </w:p>
        </w:tc>
        <w:tc>
          <w:tcPr>
            <w:tcW w:w="990" w:type="dxa"/>
            <w:shd w:val="clear" w:color="auto" w:fill="auto"/>
            <w:noWrap/>
            <w:vAlign w:val="center"/>
            <w:hideMark/>
          </w:tcPr>
          <w:p w:rsidR="003A0016" w:rsidRPr="003A0016" w:rsidP="003A0016" w14:paraId="185313B0" w14:textId="77777777">
            <w:pPr>
              <w:spacing w:line="259" w:lineRule="auto"/>
              <w:jc w:val="center"/>
              <w:rPr>
                <w:rFonts w:eastAsia="Calibri"/>
                <w:sz w:val="22"/>
                <w:szCs w:val="22"/>
              </w:rPr>
            </w:pPr>
            <w:r w:rsidRPr="003A0016">
              <w:rPr>
                <w:rFonts w:eastAsia="Calibri"/>
                <w:sz w:val="22"/>
                <w:szCs w:val="22"/>
              </w:rPr>
              <w:t>41221</w:t>
            </w:r>
          </w:p>
        </w:tc>
        <w:tc>
          <w:tcPr>
            <w:tcW w:w="3240" w:type="dxa"/>
            <w:shd w:val="clear" w:color="auto" w:fill="auto"/>
            <w:noWrap/>
            <w:vAlign w:val="center"/>
            <w:hideMark/>
          </w:tcPr>
          <w:p w:rsidR="003A0016" w:rsidRPr="003A0016" w:rsidP="003A0016" w14:paraId="46270341"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61B4B6EB" w14:textId="77777777">
            <w:pPr>
              <w:spacing w:line="259" w:lineRule="auto"/>
              <w:jc w:val="center"/>
              <w:rPr>
                <w:rFonts w:eastAsia="Calibri"/>
                <w:sz w:val="22"/>
                <w:szCs w:val="22"/>
              </w:rPr>
            </w:pPr>
            <w:r w:rsidRPr="003A0016">
              <w:rPr>
                <w:rFonts w:eastAsia="Calibri"/>
                <w:sz w:val="22"/>
                <w:szCs w:val="22"/>
              </w:rPr>
              <w:t>0000145592</w:t>
            </w:r>
          </w:p>
        </w:tc>
      </w:tr>
      <w:tr w14:paraId="713BC381"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0B1DE79A" w14:textId="77777777">
            <w:pPr>
              <w:spacing w:line="259" w:lineRule="auto"/>
              <w:jc w:val="center"/>
              <w:rPr>
                <w:rFonts w:eastAsia="Calibri"/>
                <w:sz w:val="22"/>
                <w:szCs w:val="22"/>
              </w:rPr>
            </w:pPr>
            <w:r w:rsidRPr="003A0016">
              <w:rPr>
                <w:rFonts w:eastAsia="Calibri"/>
                <w:sz w:val="22"/>
                <w:szCs w:val="22"/>
              </w:rPr>
              <w:t>WGGB-TV, Springfield, MA</w:t>
            </w:r>
          </w:p>
        </w:tc>
        <w:tc>
          <w:tcPr>
            <w:tcW w:w="990" w:type="dxa"/>
            <w:shd w:val="clear" w:color="auto" w:fill="auto"/>
            <w:noWrap/>
            <w:vAlign w:val="center"/>
            <w:hideMark/>
          </w:tcPr>
          <w:p w:rsidR="003A0016" w:rsidRPr="003A0016" w:rsidP="003A0016" w14:paraId="154AAAEE" w14:textId="77777777">
            <w:pPr>
              <w:spacing w:line="259" w:lineRule="auto"/>
              <w:jc w:val="center"/>
              <w:rPr>
                <w:rFonts w:eastAsia="Calibri"/>
                <w:sz w:val="22"/>
                <w:szCs w:val="22"/>
              </w:rPr>
            </w:pPr>
            <w:r w:rsidRPr="003A0016">
              <w:rPr>
                <w:rFonts w:eastAsia="Calibri"/>
                <w:sz w:val="22"/>
                <w:szCs w:val="22"/>
              </w:rPr>
              <w:t>25682</w:t>
            </w:r>
          </w:p>
        </w:tc>
        <w:tc>
          <w:tcPr>
            <w:tcW w:w="3240" w:type="dxa"/>
            <w:shd w:val="clear" w:color="auto" w:fill="auto"/>
            <w:noWrap/>
            <w:vAlign w:val="center"/>
            <w:hideMark/>
          </w:tcPr>
          <w:p w:rsidR="003A0016" w:rsidRPr="003A0016" w:rsidP="003A0016" w14:paraId="6C8C37D6" w14:textId="77777777">
            <w:pPr>
              <w:spacing w:line="259" w:lineRule="auto"/>
              <w:jc w:val="center"/>
              <w:rPr>
                <w:rFonts w:eastAsia="Calibri"/>
                <w:sz w:val="22"/>
                <w:szCs w:val="22"/>
              </w:rPr>
            </w:pPr>
            <w:r w:rsidRPr="003A0016">
              <w:rPr>
                <w:rFonts w:eastAsia="Calibri"/>
                <w:sz w:val="22"/>
                <w:szCs w:val="22"/>
              </w:rPr>
              <w:t>Meredith Corporation</w:t>
            </w:r>
          </w:p>
        </w:tc>
        <w:tc>
          <w:tcPr>
            <w:tcW w:w="1615" w:type="dxa"/>
            <w:shd w:val="clear" w:color="auto" w:fill="auto"/>
            <w:noWrap/>
            <w:vAlign w:val="center"/>
            <w:hideMark/>
          </w:tcPr>
          <w:p w:rsidR="003A0016" w:rsidRPr="003A0016" w:rsidP="003A0016" w14:paraId="5A47029A" w14:textId="77777777">
            <w:pPr>
              <w:spacing w:line="259" w:lineRule="auto"/>
              <w:jc w:val="center"/>
              <w:rPr>
                <w:rFonts w:eastAsia="Calibri"/>
                <w:sz w:val="22"/>
                <w:szCs w:val="22"/>
              </w:rPr>
            </w:pPr>
            <w:r w:rsidRPr="003A0016">
              <w:rPr>
                <w:rFonts w:eastAsia="Calibri"/>
                <w:sz w:val="22"/>
                <w:szCs w:val="22"/>
              </w:rPr>
              <w:t>0000145601</w:t>
            </w:r>
          </w:p>
        </w:tc>
      </w:tr>
      <w:tr w14:paraId="38389978"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1CC82BD8" w14:textId="77777777">
            <w:pPr>
              <w:spacing w:line="259" w:lineRule="auto"/>
              <w:jc w:val="center"/>
              <w:rPr>
                <w:rFonts w:eastAsia="Calibri"/>
                <w:sz w:val="22"/>
                <w:szCs w:val="22"/>
              </w:rPr>
            </w:pPr>
            <w:r w:rsidRPr="003A0016">
              <w:rPr>
                <w:rFonts w:eastAsia="Calibri"/>
                <w:sz w:val="22"/>
                <w:szCs w:val="22"/>
              </w:rPr>
              <w:t>KPHO-TV, Phoenix, AZ</w:t>
            </w:r>
          </w:p>
        </w:tc>
        <w:tc>
          <w:tcPr>
            <w:tcW w:w="990" w:type="dxa"/>
            <w:shd w:val="clear" w:color="auto" w:fill="auto"/>
            <w:noWrap/>
            <w:vAlign w:val="center"/>
            <w:hideMark/>
          </w:tcPr>
          <w:p w:rsidR="003A0016" w:rsidRPr="003A0016" w:rsidP="003A0016" w14:paraId="4646BA3C" w14:textId="77777777">
            <w:pPr>
              <w:spacing w:line="259" w:lineRule="auto"/>
              <w:jc w:val="center"/>
              <w:rPr>
                <w:rFonts w:eastAsia="Calibri"/>
                <w:sz w:val="22"/>
                <w:szCs w:val="22"/>
              </w:rPr>
            </w:pPr>
            <w:r w:rsidRPr="003A0016">
              <w:rPr>
                <w:rFonts w:eastAsia="Calibri"/>
                <w:sz w:val="22"/>
                <w:szCs w:val="22"/>
              </w:rPr>
              <w:t>41223</w:t>
            </w:r>
          </w:p>
        </w:tc>
        <w:tc>
          <w:tcPr>
            <w:tcW w:w="3240" w:type="dxa"/>
            <w:shd w:val="clear" w:color="auto" w:fill="auto"/>
            <w:noWrap/>
            <w:vAlign w:val="center"/>
            <w:hideMark/>
          </w:tcPr>
          <w:p w:rsidR="003A0016" w:rsidRPr="003A0016" w:rsidP="003A0016" w14:paraId="2263758D" w14:textId="77777777">
            <w:pPr>
              <w:spacing w:line="259" w:lineRule="auto"/>
              <w:jc w:val="center"/>
              <w:rPr>
                <w:rFonts w:eastAsia="Calibri"/>
                <w:sz w:val="22"/>
                <w:szCs w:val="22"/>
              </w:rPr>
            </w:pPr>
            <w:r w:rsidRPr="003A0016">
              <w:rPr>
                <w:rFonts w:eastAsia="Calibri"/>
                <w:sz w:val="22"/>
                <w:szCs w:val="22"/>
              </w:rPr>
              <w:t>KPHO Broadcasting Corporation</w:t>
            </w:r>
          </w:p>
        </w:tc>
        <w:tc>
          <w:tcPr>
            <w:tcW w:w="1615" w:type="dxa"/>
            <w:shd w:val="clear" w:color="auto" w:fill="auto"/>
            <w:noWrap/>
            <w:vAlign w:val="center"/>
            <w:hideMark/>
          </w:tcPr>
          <w:p w:rsidR="003A0016" w:rsidRPr="003A0016" w:rsidP="003A0016" w14:paraId="5CA16F53" w14:textId="77777777">
            <w:pPr>
              <w:spacing w:line="259" w:lineRule="auto"/>
              <w:jc w:val="center"/>
              <w:rPr>
                <w:rFonts w:eastAsia="Calibri"/>
                <w:sz w:val="22"/>
                <w:szCs w:val="22"/>
              </w:rPr>
            </w:pPr>
            <w:r w:rsidRPr="003A0016">
              <w:rPr>
                <w:rFonts w:eastAsia="Calibri"/>
                <w:sz w:val="22"/>
                <w:szCs w:val="22"/>
              </w:rPr>
              <w:t>0000145456</w:t>
            </w:r>
          </w:p>
        </w:tc>
      </w:tr>
      <w:tr w14:paraId="417A5F55"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6E647405" w14:textId="77777777">
            <w:pPr>
              <w:spacing w:line="259" w:lineRule="auto"/>
              <w:jc w:val="center"/>
              <w:rPr>
                <w:rFonts w:eastAsia="Calibri"/>
                <w:sz w:val="22"/>
                <w:szCs w:val="22"/>
              </w:rPr>
            </w:pPr>
            <w:r w:rsidRPr="003A0016">
              <w:rPr>
                <w:rFonts w:eastAsia="Calibri"/>
                <w:sz w:val="22"/>
                <w:szCs w:val="22"/>
              </w:rPr>
              <w:t>K17MO-D, Flagstaff, AZ</w:t>
            </w:r>
          </w:p>
        </w:tc>
        <w:tc>
          <w:tcPr>
            <w:tcW w:w="990" w:type="dxa"/>
            <w:shd w:val="clear" w:color="auto" w:fill="auto"/>
            <w:noWrap/>
            <w:vAlign w:val="center"/>
            <w:hideMark/>
          </w:tcPr>
          <w:p w:rsidR="003A0016" w:rsidRPr="003A0016" w:rsidP="003A0016" w14:paraId="1EC3E572" w14:textId="77777777">
            <w:pPr>
              <w:spacing w:line="259" w:lineRule="auto"/>
              <w:jc w:val="center"/>
              <w:rPr>
                <w:rFonts w:eastAsia="Calibri"/>
                <w:sz w:val="22"/>
                <w:szCs w:val="22"/>
              </w:rPr>
            </w:pPr>
            <w:r w:rsidRPr="003A0016">
              <w:rPr>
                <w:rFonts w:eastAsia="Calibri"/>
                <w:sz w:val="22"/>
                <w:szCs w:val="22"/>
              </w:rPr>
              <w:t>41227</w:t>
            </w:r>
          </w:p>
        </w:tc>
        <w:tc>
          <w:tcPr>
            <w:tcW w:w="3240" w:type="dxa"/>
            <w:shd w:val="clear" w:color="auto" w:fill="auto"/>
            <w:noWrap/>
            <w:vAlign w:val="center"/>
            <w:hideMark/>
          </w:tcPr>
          <w:p w:rsidR="003A0016" w:rsidRPr="003A0016" w:rsidP="003A0016" w14:paraId="5C46032E" w14:textId="77777777">
            <w:pPr>
              <w:spacing w:line="259" w:lineRule="auto"/>
              <w:jc w:val="center"/>
              <w:rPr>
                <w:rFonts w:eastAsia="Calibri"/>
                <w:sz w:val="22"/>
                <w:szCs w:val="22"/>
              </w:rPr>
            </w:pPr>
            <w:r w:rsidRPr="003A0016">
              <w:rPr>
                <w:rFonts w:eastAsia="Calibri"/>
                <w:sz w:val="22"/>
                <w:szCs w:val="22"/>
              </w:rPr>
              <w:t>KPHO Broadcasting Corporation</w:t>
            </w:r>
          </w:p>
        </w:tc>
        <w:tc>
          <w:tcPr>
            <w:tcW w:w="1615" w:type="dxa"/>
            <w:shd w:val="clear" w:color="auto" w:fill="auto"/>
            <w:noWrap/>
            <w:vAlign w:val="center"/>
            <w:hideMark/>
          </w:tcPr>
          <w:p w:rsidR="003A0016" w:rsidRPr="003A0016" w:rsidP="003A0016" w14:paraId="04F4E178" w14:textId="77777777">
            <w:pPr>
              <w:spacing w:line="259" w:lineRule="auto"/>
              <w:jc w:val="center"/>
              <w:rPr>
                <w:rFonts w:eastAsia="Calibri"/>
                <w:sz w:val="22"/>
                <w:szCs w:val="22"/>
              </w:rPr>
            </w:pPr>
            <w:r w:rsidRPr="003A0016">
              <w:rPr>
                <w:rFonts w:eastAsia="Calibri"/>
                <w:sz w:val="22"/>
                <w:szCs w:val="22"/>
              </w:rPr>
              <w:t>0000145464</w:t>
            </w:r>
          </w:p>
        </w:tc>
      </w:tr>
      <w:tr w14:paraId="5562CBA6"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0EA81633" w14:textId="77777777">
            <w:pPr>
              <w:spacing w:line="259" w:lineRule="auto"/>
              <w:jc w:val="center"/>
              <w:rPr>
                <w:rFonts w:eastAsia="Calibri"/>
                <w:sz w:val="22"/>
                <w:szCs w:val="22"/>
              </w:rPr>
            </w:pPr>
            <w:r w:rsidRPr="003A0016">
              <w:rPr>
                <w:rFonts w:eastAsia="Calibri"/>
                <w:sz w:val="22"/>
                <w:szCs w:val="22"/>
              </w:rPr>
              <w:t>K27KS-D, Globe/Miami, AZ</w:t>
            </w:r>
          </w:p>
        </w:tc>
        <w:tc>
          <w:tcPr>
            <w:tcW w:w="990" w:type="dxa"/>
            <w:shd w:val="clear" w:color="auto" w:fill="auto"/>
            <w:noWrap/>
            <w:vAlign w:val="center"/>
            <w:hideMark/>
          </w:tcPr>
          <w:p w:rsidR="003A0016" w:rsidRPr="003A0016" w:rsidP="003A0016" w14:paraId="61685F98" w14:textId="77777777">
            <w:pPr>
              <w:spacing w:line="259" w:lineRule="auto"/>
              <w:jc w:val="center"/>
              <w:rPr>
                <w:rFonts w:eastAsia="Calibri"/>
                <w:sz w:val="22"/>
                <w:szCs w:val="22"/>
              </w:rPr>
            </w:pPr>
            <w:r w:rsidRPr="003A0016">
              <w:rPr>
                <w:rFonts w:eastAsia="Calibri"/>
                <w:sz w:val="22"/>
                <w:szCs w:val="22"/>
              </w:rPr>
              <w:t>41216</w:t>
            </w:r>
          </w:p>
        </w:tc>
        <w:tc>
          <w:tcPr>
            <w:tcW w:w="3240" w:type="dxa"/>
            <w:shd w:val="clear" w:color="auto" w:fill="auto"/>
            <w:noWrap/>
            <w:vAlign w:val="center"/>
            <w:hideMark/>
          </w:tcPr>
          <w:p w:rsidR="003A0016" w:rsidRPr="003A0016" w:rsidP="003A0016" w14:paraId="7C28257A" w14:textId="77777777">
            <w:pPr>
              <w:spacing w:line="259" w:lineRule="auto"/>
              <w:jc w:val="center"/>
              <w:rPr>
                <w:rFonts w:eastAsia="Calibri"/>
                <w:sz w:val="22"/>
                <w:szCs w:val="22"/>
              </w:rPr>
            </w:pPr>
            <w:r w:rsidRPr="003A0016">
              <w:rPr>
                <w:rFonts w:eastAsia="Calibri"/>
                <w:sz w:val="22"/>
                <w:szCs w:val="22"/>
              </w:rPr>
              <w:t>KPHO Broadcasting Corporation</w:t>
            </w:r>
          </w:p>
        </w:tc>
        <w:tc>
          <w:tcPr>
            <w:tcW w:w="1615" w:type="dxa"/>
            <w:shd w:val="clear" w:color="auto" w:fill="auto"/>
            <w:noWrap/>
            <w:vAlign w:val="center"/>
            <w:hideMark/>
          </w:tcPr>
          <w:p w:rsidR="003A0016" w:rsidRPr="003A0016" w:rsidP="003A0016" w14:paraId="2B32C2AA" w14:textId="77777777">
            <w:pPr>
              <w:spacing w:line="259" w:lineRule="auto"/>
              <w:jc w:val="center"/>
              <w:rPr>
                <w:rFonts w:eastAsia="Calibri"/>
                <w:sz w:val="22"/>
                <w:szCs w:val="22"/>
              </w:rPr>
            </w:pPr>
            <w:r w:rsidRPr="003A0016">
              <w:rPr>
                <w:rFonts w:eastAsia="Calibri"/>
                <w:sz w:val="22"/>
                <w:szCs w:val="22"/>
              </w:rPr>
              <w:t>0000145461</w:t>
            </w:r>
          </w:p>
        </w:tc>
      </w:tr>
      <w:tr w14:paraId="356BE7B2"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4A2B7B9E" w14:textId="77777777">
            <w:pPr>
              <w:spacing w:line="259" w:lineRule="auto"/>
              <w:jc w:val="center"/>
              <w:rPr>
                <w:rFonts w:eastAsia="Calibri"/>
                <w:sz w:val="22"/>
                <w:szCs w:val="22"/>
              </w:rPr>
            </w:pPr>
            <w:r w:rsidRPr="003A0016">
              <w:rPr>
                <w:rFonts w:eastAsia="Calibri"/>
                <w:sz w:val="22"/>
                <w:szCs w:val="22"/>
              </w:rPr>
              <w:t>K29LM-D, Cottonwood, etc., AZ</w:t>
            </w:r>
          </w:p>
        </w:tc>
        <w:tc>
          <w:tcPr>
            <w:tcW w:w="990" w:type="dxa"/>
            <w:shd w:val="clear" w:color="auto" w:fill="auto"/>
            <w:noWrap/>
            <w:vAlign w:val="center"/>
            <w:hideMark/>
          </w:tcPr>
          <w:p w:rsidR="003A0016" w:rsidRPr="003A0016" w:rsidP="003A0016" w14:paraId="01322DDA" w14:textId="77777777">
            <w:pPr>
              <w:spacing w:line="259" w:lineRule="auto"/>
              <w:jc w:val="center"/>
              <w:rPr>
                <w:rFonts w:eastAsia="Calibri"/>
                <w:sz w:val="22"/>
                <w:szCs w:val="22"/>
              </w:rPr>
            </w:pPr>
            <w:r w:rsidRPr="003A0016">
              <w:rPr>
                <w:rFonts w:eastAsia="Calibri"/>
                <w:sz w:val="22"/>
                <w:szCs w:val="22"/>
              </w:rPr>
              <w:t>41224</w:t>
            </w:r>
          </w:p>
        </w:tc>
        <w:tc>
          <w:tcPr>
            <w:tcW w:w="3240" w:type="dxa"/>
            <w:shd w:val="clear" w:color="auto" w:fill="auto"/>
            <w:noWrap/>
            <w:vAlign w:val="center"/>
            <w:hideMark/>
          </w:tcPr>
          <w:p w:rsidR="003A0016" w:rsidRPr="003A0016" w:rsidP="003A0016" w14:paraId="7D15A250" w14:textId="77777777">
            <w:pPr>
              <w:spacing w:line="259" w:lineRule="auto"/>
              <w:jc w:val="center"/>
              <w:rPr>
                <w:rFonts w:eastAsia="Calibri"/>
                <w:sz w:val="22"/>
                <w:szCs w:val="22"/>
              </w:rPr>
            </w:pPr>
            <w:r w:rsidRPr="003A0016">
              <w:rPr>
                <w:rFonts w:eastAsia="Calibri"/>
                <w:sz w:val="22"/>
                <w:szCs w:val="22"/>
              </w:rPr>
              <w:t>KPHO Broadcasting Corporation</w:t>
            </w:r>
          </w:p>
        </w:tc>
        <w:tc>
          <w:tcPr>
            <w:tcW w:w="1615" w:type="dxa"/>
            <w:shd w:val="clear" w:color="auto" w:fill="auto"/>
            <w:noWrap/>
            <w:vAlign w:val="center"/>
            <w:hideMark/>
          </w:tcPr>
          <w:p w:rsidR="003A0016" w:rsidRPr="003A0016" w:rsidP="003A0016" w14:paraId="4200D804" w14:textId="77777777">
            <w:pPr>
              <w:spacing w:line="259" w:lineRule="auto"/>
              <w:jc w:val="center"/>
              <w:rPr>
                <w:rFonts w:eastAsia="Calibri"/>
                <w:sz w:val="22"/>
                <w:szCs w:val="22"/>
              </w:rPr>
            </w:pPr>
            <w:r w:rsidRPr="003A0016">
              <w:rPr>
                <w:rFonts w:eastAsia="Calibri"/>
                <w:sz w:val="22"/>
                <w:szCs w:val="22"/>
              </w:rPr>
              <w:t>0000145458</w:t>
            </w:r>
          </w:p>
        </w:tc>
      </w:tr>
      <w:tr w14:paraId="77DD51ED"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07A47421" w14:textId="77777777">
            <w:pPr>
              <w:spacing w:line="259" w:lineRule="auto"/>
              <w:jc w:val="center"/>
              <w:rPr>
                <w:rFonts w:eastAsia="Calibri"/>
                <w:sz w:val="22"/>
                <w:szCs w:val="22"/>
              </w:rPr>
            </w:pPr>
            <w:r w:rsidRPr="003A0016">
              <w:rPr>
                <w:rFonts w:eastAsia="Calibri"/>
                <w:sz w:val="22"/>
                <w:szCs w:val="22"/>
              </w:rPr>
              <w:t>K30JD-D, Prescott, AZ</w:t>
            </w:r>
          </w:p>
        </w:tc>
        <w:tc>
          <w:tcPr>
            <w:tcW w:w="990" w:type="dxa"/>
            <w:shd w:val="clear" w:color="auto" w:fill="auto"/>
            <w:noWrap/>
            <w:vAlign w:val="center"/>
            <w:hideMark/>
          </w:tcPr>
          <w:p w:rsidR="003A0016" w:rsidRPr="003A0016" w:rsidP="003A0016" w14:paraId="4B07CF02" w14:textId="77777777">
            <w:pPr>
              <w:spacing w:line="259" w:lineRule="auto"/>
              <w:jc w:val="center"/>
              <w:rPr>
                <w:rFonts w:eastAsia="Calibri"/>
                <w:sz w:val="22"/>
                <w:szCs w:val="22"/>
              </w:rPr>
            </w:pPr>
            <w:r w:rsidRPr="003A0016">
              <w:rPr>
                <w:rFonts w:eastAsia="Calibri"/>
                <w:sz w:val="22"/>
                <w:szCs w:val="22"/>
              </w:rPr>
              <w:t>41218</w:t>
            </w:r>
          </w:p>
        </w:tc>
        <w:tc>
          <w:tcPr>
            <w:tcW w:w="3240" w:type="dxa"/>
            <w:shd w:val="clear" w:color="auto" w:fill="auto"/>
            <w:noWrap/>
            <w:vAlign w:val="center"/>
            <w:hideMark/>
          </w:tcPr>
          <w:p w:rsidR="003A0016" w:rsidRPr="003A0016" w:rsidP="003A0016" w14:paraId="059D6256" w14:textId="77777777">
            <w:pPr>
              <w:spacing w:line="259" w:lineRule="auto"/>
              <w:jc w:val="center"/>
              <w:rPr>
                <w:rFonts w:eastAsia="Calibri"/>
                <w:sz w:val="22"/>
                <w:szCs w:val="22"/>
              </w:rPr>
            </w:pPr>
            <w:r w:rsidRPr="003A0016">
              <w:rPr>
                <w:rFonts w:eastAsia="Calibri"/>
                <w:sz w:val="22"/>
                <w:szCs w:val="22"/>
              </w:rPr>
              <w:t>KPHO Broadcasting Corporation</w:t>
            </w:r>
          </w:p>
        </w:tc>
        <w:tc>
          <w:tcPr>
            <w:tcW w:w="1615" w:type="dxa"/>
            <w:shd w:val="clear" w:color="auto" w:fill="auto"/>
            <w:noWrap/>
            <w:vAlign w:val="center"/>
            <w:hideMark/>
          </w:tcPr>
          <w:p w:rsidR="003A0016" w:rsidRPr="003A0016" w:rsidP="003A0016" w14:paraId="01D23238" w14:textId="77777777">
            <w:pPr>
              <w:spacing w:line="259" w:lineRule="auto"/>
              <w:jc w:val="center"/>
              <w:rPr>
                <w:rFonts w:eastAsia="Calibri"/>
                <w:sz w:val="22"/>
                <w:szCs w:val="22"/>
              </w:rPr>
            </w:pPr>
            <w:r w:rsidRPr="003A0016">
              <w:rPr>
                <w:rFonts w:eastAsia="Calibri"/>
                <w:sz w:val="22"/>
                <w:szCs w:val="22"/>
              </w:rPr>
              <w:t>0000145463</w:t>
            </w:r>
          </w:p>
        </w:tc>
      </w:tr>
      <w:tr w14:paraId="2463B7BE"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009CEB2A" w14:textId="77777777">
            <w:pPr>
              <w:spacing w:line="259" w:lineRule="auto"/>
              <w:jc w:val="center"/>
              <w:rPr>
                <w:rFonts w:eastAsia="Calibri"/>
                <w:sz w:val="22"/>
                <w:szCs w:val="22"/>
              </w:rPr>
            </w:pPr>
            <w:r w:rsidRPr="003A0016">
              <w:rPr>
                <w:rFonts w:eastAsia="Calibri"/>
                <w:sz w:val="22"/>
                <w:szCs w:val="22"/>
              </w:rPr>
              <w:t>KTVK(TV), Phoenix, AZ</w:t>
            </w:r>
          </w:p>
        </w:tc>
        <w:tc>
          <w:tcPr>
            <w:tcW w:w="990" w:type="dxa"/>
            <w:shd w:val="clear" w:color="auto" w:fill="auto"/>
            <w:noWrap/>
            <w:vAlign w:val="center"/>
            <w:hideMark/>
          </w:tcPr>
          <w:p w:rsidR="003A0016" w:rsidRPr="003A0016" w:rsidP="003A0016" w14:paraId="1EF64A41" w14:textId="77777777">
            <w:pPr>
              <w:spacing w:line="259" w:lineRule="auto"/>
              <w:jc w:val="center"/>
              <w:rPr>
                <w:rFonts w:eastAsia="Calibri"/>
                <w:sz w:val="22"/>
                <w:szCs w:val="22"/>
              </w:rPr>
            </w:pPr>
            <w:r w:rsidRPr="003A0016">
              <w:rPr>
                <w:rFonts w:eastAsia="Calibri"/>
                <w:sz w:val="22"/>
                <w:szCs w:val="22"/>
              </w:rPr>
              <w:t>40993</w:t>
            </w:r>
          </w:p>
        </w:tc>
        <w:tc>
          <w:tcPr>
            <w:tcW w:w="3240" w:type="dxa"/>
            <w:shd w:val="clear" w:color="auto" w:fill="auto"/>
            <w:noWrap/>
            <w:vAlign w:val="center"/>
            <w:hideMark/>
          </w:tcPr>
          <w:p w:rsidR="003A0016" w:rsidRPr="003A0016" w:rsidP="003A0016" w14:paraId="698B6898" w14:textId="77777777">
            <w:pPr>
              <w:spacing w:line="259" w:lineRule="auto"/>
              <w:jc w:val="center"/>
              <w:rPr>
                <w:rFonts w:eastAsia="Calibri"/>
                <w:sz w:val="22"/>
                <w:szCs w:val="22"/>
              </w:rPr>
            </w:pPr>
            <w:r w:rsidRPr="003A0016">
              <w:rPr>
                <w:rFonts w:eastAsia="Calibri"/>
                <w:sz w:val="22"/>
                <w:szCs w:val="22"/>
              </w:rPr>
              <w:t>KPHO Broadcasting Corporation</w:t>
            </w:r>
          </w:p>
        </w:tc>
        <w:tc>
          <w:tcPr>
            <w:tcW w:w="1615" w:type="dxa"/>
            <w:shd w:val="clear" w:color="auto" w:fill="auto"/>
            <w:noWrap/>
            <w:vAlign w:val="center"/>
            <w:hideMark/>
          </w:tcPr>
          <w:p w:rsidR="003A0016" w:rsidRPr="003A0016" w:rsidP="003A0016" w14:paraId="2438716A" w14:textId="77777777">
            <w:pPr>
              <w:spacing w:line="259" w:lineRule="auto"/>
              <w:jc w:val="center"/>
              <w:rPr>
                <w:rFonts w:eastAsia="Calibri"/>
                <w:sz w:val="22"/>
                <w:szCs w:val="22"/>
              </w:rPr>
            </w:pPr>
            <w:r w:rsidRPr="003A0016">
              <w:rPr>
                <w:rFonts w:eastAsia="Calibri"/>
                <w:sz w:val="22"/>
                <w:szCs w:val="22"/>
              </w:rPr>
              <w:t>0000145466</w:t>
            </w:r>
          </w:p>
        </w:tc>
      </w:tr>
      <w:tr w14:paraId="53394D62"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208CAB66" w14:textId="77777777">
            <w:pPr>
              <w:spacing w:line="259" w:lineRule="auto"/>
              <w:jc w:val="center"/>
              <w:rPr>
                <w:rFonts w:eastAsia="Calibri"/>
                <w:sz w:val="22"/>
                <w:szCs w:val="22"/>
              </w:rPr>
            </w:pPr>
            <w:r w:rsidRPr="003A0016">
              <w:rPr>
                <w:rFonts w:eastAsia="Calibri"/>
                <w:sz w:val="22"/>
                <w:szCs w:val="22"/>
              </w:rPr>
              <w:t>K11LC-D, Prescott, AZ</w:t>
            </w:r>
          </w:p>
        </w:tc>
        <w:tc>
          <w:tcPr>
            <w:tcW w:w="990" w:type="dxa"/>
            <w:shd w:val="clear" w:color="auto" w:fill="auto"/>
            <w:noWrap/>
            <w:vAlign w:val="center"/>
            <w:hideMark/>
          </w:tcPr>
          <w:p w:rsidR="003A0016" w:rsidRPr="003A0016" w:rsidP="003A0016" w14:paraId="4F982472" w14:textId="77777777">
            <w:pPr>
              <w:spacing w:line="259" w:lineRule="auto"/>
              <w:jc w:val="center"/>
              <w:rPr>
                <w:rFonts w:eastAsia="Calibri"/>
                <w:sz w:val="22"/>
                <w:szCs w:val="22"/>
              </w:rPr>
            </w:pPr>
            <w:r w:rsidRPr="003A0016">
              <w:rPr>
                <w:rFonts w:eastAsia="Calibri"/>
                <w:sz w:val="22"/>
                <w:szCs w:val="22"/>
              </w:rPr>
              <w:t>2756</w:t>
            </w:r>
          </w:p>
        </w:tc>
        <w:tc>
          <w:tcPr>
            <w:tcW w:w="3240" w:type="dxa"/>
            <w:shd w:val="clear" w:color="auto" w:fill="auto"/>
            <w:noWrap/>
            <w:vAlign w:val="center"/>
            <w:hideMark/>
          </w:tcPr>
          <w:p w:rsidR="003A0016" w:rsidRPr="003A0016" w:rsidP="003A0016" w14:paraId="1ABB12B1" w14:textId="77777777">
            <w:pPr>
              <w:spacing w:line="259" w:lineRule="auto"/>
              <w:jc w:val="center"/>
              <w:rPr>
                <w:rFonts w:eastAsia="Calibri"/>
                <w:sz w:val="22"/>
                <w:szCs w:val="22"/>
              </w:rPr>
            </w:pPr>
            <w:r w:rsidRPr="003A0016">
              <w:rPr>
                <w:rFonts w:eastAsia="Calibri"/>
                <w:sz w:val="22"/>
                <w:szCs w:val="22"/>
              </w:rPr>
              <w:t>KPHO Broadcasting Corporation</w:t>
            </w:r>
          </w:p>
        </w:tc>
        <w:tc>
          <w:tcPr>
            <w:tcW w:w="1615" w:type="dxa"/>
            <w:shd w:val="clear" w:color="auto" w:fill="auto"/>
            <w:noWrap/>
            <w:vAlign w:val="center"/>
            <w:hideMark/>
          </w:tcPr>
          <w:p w:rsidR="003A0016" w:rsidRPr="003A0016" w:rsidP="003A0016" w14:paraId="15C8CBA6" w14:textId="77777777">
            <w:pPr>
              <w:spacing w:line="259" w:lineRule="auto"/>
              <w:jc w:val="center"/>
              <w:rPr>
                <w:rFonts w:eastAsia="Calibri"/>
                <w:sz w:val="22"/>
                <w:szCs w:val="22"/>
              </w:rPr>
            </w:pPr>
            <w:r w:rsidRPr="003A0016">
              <w:rPr>
                <w:rFonts w:eastAsia="Calibri"/>
                <w:sz w:val="22"/>
                <w:szCs w:val="22"/>
              </w:rPr>
              <w:t>0000145462</w:t>
            </w:r>
          </w:p>
        </w:tc>
      </w:tr>
      <w:tr w14:paraId="3165A6F9"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585A9DA3" w14:textId="77777777">
            <w:pPr>
              <w:spacing w:line="259" w:lineRule="auto"/>
              <w:jc w:val="center"/>
              <w:rPr>
                <w:rFonts w:eastAsia="Calibri"/>
                <w:sz w:val="22"/>
                <w:szCs w:val="22"/>
              </w:rPr>
            </w:pPr>
            <w:r w:rsidRPr="003A0016">
              <w:rPr>
                <w:rFonts w:eastAsia="Calibri"/>
                <w:sz w:val="22"/>
                <w:szCs w:val="22"/>
              </w:rPr>
              <w:t xml:space="preserve">K14NA-D, </w:t>
            </w:r>
            <w:r w:rsidRPr="003A0016">
              <w:rPr>
                <w:rFonts w:eastAsia="Calibri"/>
                <w:sz w:val="22"/>
                <w:szCs w:val="22"/>
              </w:rPr>
              <w:t>Globe</w:t>
            </w:r>
            <w:r w:rsidRPr="003A0016">
              <w:rPr>
                <w:rFonts w:eastAsia="Calibri"/>
                <w:sz w:val="22"/>
                <w:szCs w:val="22"/>
              </w:rPr>
              <w:t xml:space="preserve"> &amp; Miami, AZ</w:t>
            </w:r>
          </w:p>
        </w:tc>
        <w:tc>
          <w:tcPr>
            <w:tcW w:w="990" w:type="dxa"/>
            <w:shd w:val="clear" w:color="auto" w:fill="auto"/>
            <w:noWrap/>
            <w:vAlign w:val="center"/>
            <w:hideMark/>
          </w:tcPr>
          <w:p w:rsidR="003A0016" w:rsidRPr="003A0016" w:rsidP="003A0016" w14:paraId="275E6BC7" w14:textId="77777777">
            <w:pPr>
              <w:spacing w:line="259" w:lineRule="auto"/>
              <w:jc w:val="center"/>
              <w:rPr>
                <w:rFonts w:eastAsia="Calibri"/>
                <w:sz w:val="22"/>
                <w:szCs w:val="22"/>
              </w:rPr>
            </w:pPr>
            <w:r w:rsidRPr="003A0016">
              <w:rPr>
                <w:rFonts w:eastAsia="Calibri"/>
                <w:sz w:val="22"/>
                <w:szCs w:val="22"/>
              </w:rPr>
              <w:t>13087</w:t>
            </w:r>
          </w:p>
        </w:tc>
        <w:tc>
          <w:tcPr>
            <w:tcW w:w="3240" w:type="dxa"/>
            <w:shd w:val="clear" w:color="auto" w:fill="auto"/>
            <w:noWrap/>
            <w:vAlign w:val="center"/>
            <w:hideMark/>
          </w:tcPr>
          <w:p w:rsidR="003A0016" w:rsidRPr="003A0016" w:rsidP="003A0016" w14:paraId="6C598AE8" w14:textId="77777777">
            <w:pPr>
              <w:spacing w:line="259" w:lineRule="auto"/>
              <w:jc w:val="center"/>
              <w:rPr>
                <w:rFonts w:eastAsia="Calibri"/>
                <w:sz w:val="22"/>
                <w:szCs w:val="22"/>
              </w:rPr>
            </w:pPr>
            <w:r w:rsidRPr="003A0016">
              <w:rPr>
                <w:rFonts w:eastAsia="Calibri"/>
                <w:sz w:val="22"/>
                <w:szCs w:val="22"/>
              </w:rPr>
              <w:t>KPHO Broadcasting Corporation</w:t>
            </w:r>
          </w:p>
        </w:tc>
        <w:tc>
          <w:tcPr>
            <w:tcW w:w="1615" w:type="dxa"/>
            <w:shd w:val="clear" w:color="auto" w:fill="auto"/>
            <w:noWrap/>
            <w:vAlign w:val="center"/>
            <w:hideMark/>
          </w:tcPr>
          <w:p w:rsidR="003A0016" w:rsidRPr="003A0016" w:rsidP="003A0016" w14:paraId="4232C969" w14:textId="77777777">
            <w:pPr>
              <w:spacing w:line="259" w:lineRule="auto"/>
              <w:jc w:val="center"/>
              <w:rPr>
                <w:rFonts w:eastAsia="Calibri"/>
                <w:sz w:val="22"/>
                <w:szCs w:val="22"/>
              </w:rPr>
            </w:pPr>
            <w:r w:rsidRPr="003A0016">
              <w:rPr>
                <w:rFonts w:eastAsia="Calibri"/>
                <w:sz w:val="22"/>
                <w:szCs w:val="22"/>
              </w:rPr>
              <w:t>0000145460</w:t>
            </w:r>
          </w:p>
        </w:tc>
      </w:tr>
      <w:tr w14:paraId="496F5155"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23C37287" w14:textId="77777777">
            <w:pPr>
              <w:spacing w:line="259" w:lineRule="auto"/>
              <w:jc w:val="center"/>
              <w:rPr>
                <w:rFonts w:eastAsia="Calibri"/>
                <w:sz w:val="22"/>
                <w:szCs w:val="22"/>
              </w:rPr>
            </w:pPr>
            <w:r w:rsidRPr="003A0016">
              <w:rPr>
                <w:rFonts w:eastAsia="Calibri"/>
                <w:sz w:val="22"/>
                <w:szCs w:val="22"/>
              </w:rPr>
              <w:t>K15HY-D, Williams-</w:t>
            </w:r>
            <w:r w:rsidRPr="003A0016">
              <w:rPr>
                <w:rFonts w:eastAsia="Calibri"/>
                <w:sz w:val="22"/>
                <w:szCs w:val="22"/>
              </w:rPr>
              <w:t>Ashfork</w:t>
            </w:r>
            <w:r w:rsidRPr="003A0016">
              <w:rPr>
                <w:rFonts w:eastAsia="Calibri"/>
                <w:sz w:val="22"/>
                <w:szCs w:val="22"/>
              </w:rPr>
              <w:t>, AZ</w:t>
            </w:r>
          </w:p>
        </w:tc>
        <w:tc>
          <w:tcPr>
            <w:tcW w:w="990" w:type="dxa"/>
            <w:shd w:val="clear" w:color="auto" w:fill="auto"/>
            <w:noWrap/>
            <w:vAlign w:val="center"/>
            <w:hideMark/>
          </w:tcPr>
          <w:p w:rsidR="003A0016" w:rsidRPr="003A0016" w:rsidP="003A0016" w14:paraId="1C0D773E" w14:textId="77777777">
            <w:pPr>
              <w:spacing w:line="259" w:lineRule="auto"/>
              <w:jc w:val="center"/>
              <w:rPr>
                <w:rFonts w:eastAsia="Calibri"/>
                <w:sz w:val="22"/>
                <w:szCs w:val="22"/>
              </w:rPr>
            </w:pPr>
            <w:r w:rsidRPr="003A0016">
              <w:rPr>
                <w:rFonts w:eastAsia="Calibri"/>
                <w:sz w:val="22"/>
                <w:szCs w:val="22"/>
              </w:rPr>
              <w:t>5323</w:t>
            </w:r>
          </w:p>
        </w:tc>
        <w:tc>
          <w:tcPr>
            <w:tcW w:w="3240" w:type="dxa"/>
            <w:shd w:val="clear" w:color="auto" w:fill="auto"/>
            <w:noWrap/>
            <w:vAlign w:val="center"/>
            <w:hideMark/>
          </w:tcPr>
          <w:p w:rsidR="003A0016" w:rsidRPr="003A0016" w:rsidP="003A0016" w14:paraId="4BA442F7" w14:textId="77777777">
            <w:pPr>
              <w:spacing w:line="259" w:lineRule="auto"/>
              <w:jc w:val="center"/>
              <w:rPr>
                <w:rFonts w:eastAsia="Calibri"/>
                <w:sz w:val="22"/>
                <w:szCs w:val="22"/>
              </w:rPr>
            </w:pPr>
            <w:r w:rsidRPr="003A0016">
              <w:rPr>
                <w:rFonts w:eastAsia="Calibri"/>
                <w:sz w:val="22"/>
                <w:szCs w:val="22"/>
              </w:rPr>
              <w:t>KPHO Broadcasting Corporation</w:t>
            </w:r>
          </w:p>
        </w:tc>
        <w:tc>
          <w:tcPr>
            <w:tcW w:w="1615" w:type="dxa"/>
            <w:shd w:val="clear" w:color="auto" w:fill="auto"/>
            <w:noWrap/>
            <w:vAlign w:val="center"/>
            <w:hideMark/>
          </w:tcPr>
          <w:p w:rsidR="003A0016" w:rsidRPr="003A0016" w:rsidP="003A0016" w14:paraId="77A9D578" w14:textId="77777777">
            <w:pPr>
              <w:spacing w:line="259" w:lineRule="auto"/>
              <w:jc w:val="center"/>
              <w:rPr>
                <w:rFonts w:eastAsia="Calibri"/>
                <w:sz w:val="22"/>
                <w:szCs w:val="22"/>
              </w:rPr>
            </w:pPr>
            <w:r w:rsidRPr="003A0016">
              <w:rPr>
                <w:rFonts w:eastAsia="Calibri"/>
                <w:sz w:val="22"/>
                <w:szCs w:val="22"/>
              </w:rPr>
              <w:t>0000145465</w:t>
            </w:r>
          </w:p>
        </w:tc>
      </w:tr>
      <w:tr w14:paraId="48665FEB"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4E9003B8" w14:textId="77777777">
            <w:pPr>
              <w:spacing w:line="259" w:lineRule="auto"/>
              <w:jc w:val="center"/>
              <w:rPr>
                <w:rFonts w:eastAsia="Calibri"/>
                <w:sz w:val="22"/>
                <w:szCs w:val="22"/>
              </w:rPr>
            </w:pPr>
            <w:r w:rsidRPr="003A0016">
              <w:rPr>
                <w:rFonts w:eastAsia="Calibri"/>
                <w:sz w:val="22"/>
                <w:szCs w:val="22"/>
              </w:rPr>
              <w:t>K25MG-D, Flagstaff, AZ</w:t>
            </w:r>
          </w:p>
        </w:tc>
        <w:tc>
          <w:tcPr>
            <w:tcW w:w="990" w:type="dxa"/>
            <w:shd w:val="clear" w:color="auto" w:fill="auto"/>
            <w:noWrap/>
            <w:vAlign w:val="center"/>
            <w:hideMark/>
          </w:tcPr>
          <w:p w:rsidR="003A0016" w:rsidRPr="003A0016" w:rsidP="003A0016" w14:paraId="05EB7B85" w14:textId="77777777">
            <w:pPr>
              <w:spacing w:line="259" w:lineRule="auto"/>
              <w:jc w:val="center"/>
              <w:rPr>
                <w:rFonts w:eastAsia="Calibri"/>
                <w:sz w:val="22"/>
                <w:szCs w:val="22"/>
              </w:rPr>
            </w:pPr>
            <w:r w:rsidRPr="003A0016">
              <w:rPr>
                <w:rFonts w:eastAsia="Calibri"/>
                <w:sz w:val="22"/>
                <w:szCs w:val="22"/>
              </w:rPr>
              <w:t>2753</w:t>
            </w:r>
          </w:p>
        </w:tc>
        <w:tc>
          <w:tcPr>
            <w:tcW w:w="3240" w:type="dxa"/>
            <w:shd w:val="clear" w:color="auto" w:fill="auto"/>
            <w:noWrap/>
            <w:vAlign w:val="center"/>
            <w:hideMark/>
          </w:tcPr>
          <w:p w:rsidR="003A0016" w:rsidRPr="003A0016" w:rsidP="003A0016" w14:paraId="35EE5058" w14:textId="77777777">
            <w:pPr>
              <w:spacing w:line="259" w:lineRule="auto"/>
              <w:jc w:val="center"/>
              <w:rPr>
                <w:rFonts w:eastAsia="Calibri"/>
                <w:sz w:val="22"/>
                <w:szCs w:val="22"/>
              </w:rPr>
            </w:pPr>
            <w:r w:rsidRPr="003A0016">
              <w:rPr>
                <w:rFonts w:eastAsia="Calibri"/>
                <w:sz w:val="22"/>
                <w:szCs w:val="22"/>
              </w:rPr>
              <w:t>KPHO Broadcasting Corporation</w:t>
            </w:r>
          </w:p>
        </w:tc>
        <w:tc>
          <w:tcPr>
            <w:tcW w:w="1615" w:type="dxa"/>
            <w:shd w:val="clear" w:color="auto" w:fill="auto"/>
            <w:noWrap/>
            <w:vAlign w:val="center"/>
            <w:hideMark/>
          </w:tcPr>
          <w:p w:rsidR="003A0016" w:rsidRPr="003A0016" w:rsidP="003A0016" w14:paraId="128D0E32" w14:textId="77777777">
            <w:pPr>
              <w:spacing w:line="259" w:lineRule="auto"/>
              <w:jc w:val="center"/>
              <w:rPr>
                <w:rFonts w:eastAsia="Calibri"/>
                <w:sz w:val="22"/>
                <w:szCs w:val="22"/>
              </w:rPr>
            </w:pPr>
            <w:r w:rsidRPr="003A0016">
              <w:rPr>
                <w:rFonts w:eastAsia="Calibri"/>
                <w:sz w:val="22"/>
                <w:szCs w:val="22"/>
              </w:rPr>
              <w:t>0000145457</w:t>
            </w:r>
          </w:p>
        </w:tc>
      </w:tr>
      <w:tr w14:paraId="778D6584"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1A7A865A" w14:textId="77777777">
            <w:pPr>
              <w:spacing w:line="259" w:lineRule="auto"/>
              <w:jc w:val="center"/>
              <w:rPr>
                <w:rFonts w:eastAsia="Calibri"/>
                <w:sz w:val="22"/>
                <w:szCs w:val="22"/>
              </w:rPr>
            </w:pPr>
            <w:r w:rsidRPr="003A0016">
              <w:rPr>
                <w:rFonts w:eastAsia="Calibri"/>
                <w:sz w:val="22"/>
                <w:szCs w:val="22"/>
              </w:rPr>
              <w:t>K28OA-D, Cottonwood, AZ</w:t>
            </w:r>
          </w:p>
        </w:tc>
        <w:tc>
          <w:tcPr>
            <w:tcW w:w="990" w:type="dxa"/>
            <w:shd w:val="clear" w:color="auto" w:fill="auto"/>
            <w:noWrap/>
            <w:vAlign w:val="center"/>
            <w:hideMark/>
          </w:tcPr>
          <w:p w:rsidR="003A0016" w:rsidRPr="003A0016" w:rsidP="003A0016" w14:paraId="6980E536" w14:textId="77777777">
            <w:pPr>
              <w:spacing w:line="259" w:lineRule="auto"/>
              <w:jc w:val="center"/>
              <w:rPr>
                <w:rFonts w:eastAsia="Calibri"/>
                <w:sz w:val="22"/>
                <w:szCs w:val="22"/>
              </w:rPr>
            </w:pPr>
            <w:r w:rsidRPr="003A0016">
              <w:rPr>
                <w:rFonts w:eastAsia="Calibri"/>
                <w:sz w:val="22"/>
                <w:szCs w:val="22"/>
              </w:rPr>
              <w:t>2754</w:t>
            </w:r>
          </w:p>
        </w:tc>
        <w:tc>
          <w:tcPr>
            <w:tcW w:w="3240" w:type="dxa"/>
            <w:shd w:val="clear" w:color="auto" w:fill="auto"/>
            <w:noWrap/>
            <w:vAlign w:val="center"/>
            <w:hideMark/>
          </w:tcPr>
          <w:p w:rsidR="003A0016" w:rsidRPr="003A0016" w:rsidP="003A0016" w14:paraId="10E64381" w14:textId="77777777">
            <w:pPr>
              <w:spacing w:line="259" w:lineRule="auto"/>
              <w:jc w:val="center"/>
              <w:rPr>
                <w:rFonts w:eastAsia="Calibri"/>
                <w:sz w:val="22"/>
                <w:szCs w:val="22"/>
              </w:rPr>
            </w:pPr>
            <w:r w:rsidRPr="003A0016">
              <w:rPr>
                <w:rFonts w:eastAsia="Calibri"/>
                <w:sz w:val="22"/>
                <w:szCs w:val="22"/>
              </w:rPr>
              <w:t>KPHO Broadcasting Corporation</w:t>
            </w:r>
          </w:p>
        </w:tc>
        <w:tc>
          <w:tcPr>
            <w:tcW w:w="1615" w:type="dxa"/>
            <w:shd w:val="clear" w:color="auto" w:fill="auto"/>
            <w:noWrap/>
            <w:vAlign w:val="center"/>
            <w:hideMark/>
          </w:tcPr>
          <w:p w:rsidR="003A0016" w:rsidRPr="003A0016" w:rsidP="003A0016" w14:paraId="6CB85B24" w14:textId="77777777">
            <w:pPr>
              <w:spacing w:line="259" w:lineRule="auto"/>
              <w:jc w:val="center"/>
              <w:rPr>
                <w:rFonts w:eastAsia="Calibri"/>
                <w:sz w:val="22"/>
                <w:szCs w:val="22"/>
              </w:rPr>
            </w:pPr>
            <w:r w:rsidRPr="003A0016">
              <w:rPr>
                <w:rFonts w:eastAsia="Calibri"/>
                <w:sz w:val="22"/>
                <w:szCs w:val="22"/>
              </w:rPr>
              <w:t>0000145459</w:t>
            </w:r>
          </w:p>
        </w:tc>
      </w:tr>
      <w:tr w14:paraId="1787BDC7"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067C7976" w14:textId="77777777">
            <w:pPr>
              <w:spacing w:line="259" w:lineRule="auto"/>
              <w:jc w:val="center"/>
              <w:rPr>
                <w:rFonts w:eastAsia="Calibri"/>
                <w:sz w:val="22"/>
                <w:szCs w:val="22"/>
              </w:rPr>
            </w:pPr>
            <w:r w:rsidRPr="003A0016">
              <w:rPr>
                <w:rFonts w:eastAsia="Calibri"/>
                <w:sz w:val="22"/>
                <w:szCs w:val="22"/>
              </w:rPr>
              <w:t>KPTV(TV), Portland, OR</w:t>
            </w:r>
          </w:p>
        </w:tc>
        <w:tc>
          <w:tcPr>
            <w:tcW w:w="990" w:type="dxa"/>
            <w:shd w:val="clear" w:color="auto" w:fill="auto"/>
            <w:noWrap/>
            <w:vAlign w:val="center"/>
            <w:hideMark/>
          </w:tcPr>
          <w:p w:rsidR="003A0016" w:rsidRPr="003A0016" w:rsidP="003A0016" w14:paraId="704C44C2" w14:textId="77777777">
            <w:pPr>
              <w:spacing w:line="259" w:lineRule="auto"/>
              <w:jc w:val="center"/>
              <w:rPr>
                <w:rFonts w:eastAsia="Calibri"/>
                <w:sz w:val="22"/>
                <w:szCs w:val="22"/>
              </w:rPr>
            </w:pPr>
            <w:r w:rsidRPr="003A0016">
              <w:rPr>
                <w:rFonts w:eastAsia="Calibri"/>
                <w:sz w:val="22"/>
                <w:szCs w:val="22"/>
              </w:rPr>
              <w:t>50633</w:t>
            </w:r>
          </w:p>
        </w:tc>
        <w:tc>
          <w:tcPr>
            <w:tcW w:w="3240" w:type="dxa"/>
            <w:shd w:val="clear" w:color="auto" w:fill="auto"/>
            <w:noWrap/>
            <w:vAlign w:val="center"/>
            <w:hideMark/>
          </w:tcPr>
          <w:p w:rsidR="003A0016" w:rsidRPr="003A0016" w:rsidP="003A0016" w14:paraId="38F6BCB7"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6CB2843B" w14:textId="77777777">
            <w:pPr>
              <w:spacing w:line="259" w:lineRule="auto"/>
              <w:jc w:val="center"/>
              <w:rPr>
                <w:rFonts w:eastAsia="Calibri"/>
                <w:sz w:val="22"/>
                <w:szCs w:val="22"/>
              </w:rPr>
            </w:pPr>
            <w:r w:rsidRPr="003A0016">
              <w:rPr>
                <w:rFonts w:eastAsia="Calibri"/>
                <w:sz w:val="22"/>
                <w:szCs w:val="22"/>
              </w:rPr>
              <w:t>0000145491</w:t>
            </w:r>
          </w:p>
        </w:tc>
      </w:tr>
      <w:tr w14:paraId="66C763D2"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4D8835F6" w14:textId="77777777">
            <w:pPr>
              <w:spacing w:line="259" w:lineRule="auto"/>
              <w:jc w:val="center"/>
              <w:rPr>
                <w:rFonts w:eastAsia="Calibri"/>
                <w:sz w:val="22"/>
                <w:szCs w:val="22"/>
              </w:rPr>
            </w:pPr>
            <w:r w:rsidRPr="003A0016">
              <w:rPr>
                <w:rFonts w:eastAsia="Calibri"/>
                <w:sz w:val="22"/>
                <w:szCs w:val="22"/>
              </w:rPr>
              <w:t>K15DS-D, Newport, etc., OR</w:t>
            </w:r>
          </w:p>
        </w:tc>
        <w:tc>
          <w:tcPr>
            <w:tcW w:w="990" w:type="dxa"/>
            <w:shd w:val="clear" w:color="auto" w:fill="auto"/>
            <w:noWrap/>
            <w:vAlign w:val="center"/>
            <w:hideMark/>
          </w:tcPr>
          <w:p w:rsidR="003A0016" w:rsidRPr="003A0016" w:rsidP="003A0016" w14:paraId="7D8B00D2" w14:textId="77777777">
            <w:pPr>
              <w:spacing w:line="259" w:lineRule="auto"/>
              <w:jc w:val="center"/>
              <w:rPr>
                <w:rFonts w:eastAsia="Calibri"/>
                <w:sz w:val="22"/>
                <w:szCs w:val="22"/>
              </w:rPr>
            </w:pPr>
            <w:r w:rsidRPr="003A0016">
              <w:rPr>
                <w:rFonts w:eastAsia="Calibri"/>
                <w:sz w:val="22"/>
                <w:szCs w:val="22"/>
              </w:rPr>
              <w:t>35474</w:t>
            </w:r>
          </w:p>
        </w:tc>
        <w:tc>
          <w:tcPr>
            <w:tcW w:w="3240" w:type="dxa"/>
            <w:shd w:val="clear" w:color="auto" w:fill="auto"/>
            <w:noWrap/>
            <w:vAlign w:val="center"/>
            <w:hideMark/>
          </w:tcPr>
          <w:p w:rsidR="003A0016" w:rsidRPr="003A0016" w:rsidP="003A0016" w14:paraId="58AB6C0D"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435D20FD" w14:textId="77777777">
            <w:pPr>
              <w:spacing w:line="259" w:lineRule="auto"/>
              <w:jc w:val="center"/>
              <w:rPr>
                <w:rFonts w:eastAsia="Calibri"/>
                <w:sz w:val="22"/>
                <w:szCs w:val="22"/>
              </w:rPr>
            </w:pPr>
            <w:r w:rsidRPr="003A0016">
              <w:rPr>
                <w:rFonts w:eastAsia="Calibri"/>
                <w:sz w:val="22"/>
                <w:szCs w:val="22"/>
              </w:rPr>
              <w:t>0000145502</w:t>
            </w:r>
          </w:p>
        </w:tc>
      </w:tr>
      <w:tr w14:paraId="461A90A9"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0A4D6E4C" w14:textId="77777777">
            <w:pPr>
              <w:spacing w:line="259" w:lineRule="auto"/>
              <w:jc w:val="center"/>
              <w:rPr>
                <w:rFonts w:eastAsia="Calibri"/>
                <w:sz w:val="22"/>
                <w:szCs w:val="22"/>
              </w:rPr>
            </w:pPr>
            <w:r w:rsidRPr="003A0016">
              <w:rPr>
                <w:rFonts w:eastAsia="Calibri"/>
                <w:sz w:val="22"/>
                <w:szCs w:val="22"/>
              </w:rPr>
              <w:t xml:space="preserve">K21DE-D, </w:t>
            </w:r>
            <w:r w:rsidRPr="003A0016">
              <w:rPr>
                <w:rFonts w:eastAsia="Calibri"/>
                <w:sz w:val="22"/>
                <w:szCs w:val="22"/>
              </w:rPr>
              <w:t>Seaside</w:t>
            </w:r>
            <w:r w:rsidRPr="003A0016">
              <w:rPr>
                <w:rFonts w:eastAsia="Calibri"/>
                <w:sz w:val="22"/>
                <w:szCs w:val="22"/>
              </w:rPr>
              <w:t>/Astoria, OR</w:t>
            </w:r>
          </w:p>
        </w:tc>
        <w:tc>
          <w:tcPr>
            <w:tcW w:w="990" w:type="dxa"/>
            <w:shd w:val="clear" w:color="auto" w:fill="auto"/>
            <w:noWrap/>
            <w:vAlign w:val="center"/>
            <w:hideMark/>
          </w:tcPr>
          <w:p w:rsidR="003A0016" w:rsidRPr="003A0016" w:rsidP="003A0016" w14:paraId="578D0883" w14:textId="77777777">
            <w:pPr>
              <w:spacing w:line="259" w:lineRule="auto"/>
              <w:jc w:val="center"/>
              <w:rPr>
                <w:rFonts w:eastAsia="Calibri"/>
                <w:sz w:val="22"/>
                <w:szCs w:val="22"/>
              </w:rPr>
            </w:pPr>
            <w:r w:rsidRPr="003A0016">
              <w:rPr>
                <w:rFonts w:eastAsia="Calibri"/>
                <w:sz w:val="22"/>
                <w:szCs w:val="22"/>
              </w:rPr>
              <w:t>35468</w:t>
            </w:r>
          </w:p>
        </w:tc>
        <w:tc>
          <w:tcPr>
            <w:tcW w:w="3240" w:type="dxa"/>
            <w:shd w:val="clear" w:color="auto" w:fill="auto"/>
            <w:noWrap/>
            <w:vAlign w:val="center"/>
            <w:hideMark/>
          </w:tcPr>
          <w:p w:rsidR="003A0016" w:rsidRPr="003A0016" w:rsidP="003A0016" w14:paraId="588C7E8D"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20DFD5D2" w14:textId="77777777">
            <w:pPr>
              <w:spacing w:line="259" w:lineRule="auto"/>
              <w:jc w:val="center"/>
              <w:rPr>
                <w:rFonts w:eastAsia="Calibri"/>
                <w:sz w:val="22"/>
                <w:szCs w:val="22"/>
              </w:rPr>
            </w:pPr>
            <w:r w:rsidRPr="003A0016">
              <w:rPr>
                <w:rFonts w:eastAsia="Calibri"/>
                <w:sz w:val="22"/>
                <w:szCs w:val="22"/>
              </w:rPr>
              <w:t>0000145504</w:t>
            </w:r>
          </w:p>
        </w:tc>
      </w:tr>
      <w:tr w14:paraId="694DCD97"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042C8627" w14:textId="77777777">
            <w:pPr>
              <w:spacing w:line="259" w:lineRule="auto"/>
              <w:jc w:val="center"/>
              <w:rPr>
                <w:rFonts w:eastAsia="Calibri"/>
                <w:sz w:val="22"/>
                <w:szCs w:val="22"/>
              </w:rPr>
            </w:pPr>
            <w:r w:rsidRPr="003A0016">
              <w:rPr>
                <w:rFonts w:eastAsia="Calibri"/>
                <w:sz w:val="22"/>
                <w:szCs w:val="22"/>
              </w:rPr>
              <w:t>K29NO-D, The Dalles, OR</w:t>
            </w:r>
          </w:p>
        </w:tc>
        <w:tc>
          <w:tcPr>
            <w:tcW w:w="990" w:type="dxa"/>
            <w:shd w:val="clear" w:color="auto" w:fill="auto"/>
            <w:noWrap/>
            <w:vAlign w:val="center"/>
            <w:hideMark/>
          </w:tcPr>
          <w:p w:rsidR="003A0016" w:rsidRPr="003A0016" w:rsidP="003A0016" w14:paraId="3B234914" w14:textId="77777777">
            <w:pPr>
              <w:spacing w:line="259" w:lineRule="auto"/>
              <w:jc w:val="center"/>
              <w:rPr>
                <w:rFonts w:eastAsia="Calibri"/>
                <w:sz w:val="22"/>
                <w:szCs w:val="22"/>
              </w:rPr>
            </w:pPr>
            <w:r w:rsidRPr="003A0016">
              <w:rPr>
                <w:rFonts w:eastAsia="Calibri"/>
                <w:sz w:val="22"/>
                <w:szCs w:val="22"/>
              </w:rPr>
              <w:t>35473</w:t>
            </w:r>
          </w:p>
        </w:tc>
        <w:tc>
          <w:tcPr>
            <w:tcW w:w="3240" w:type="dxa"/>
            <w:shd w:val="clear" w:color="auto" w:fill="auto"/>
            <w:noWrap/>
            <w:vAlign w:val="center"/>
            <w:hideMark/>
          </w:tcPr>
          <w:p w:rsidR="003A0016" w:rsidRPr="003A0016" w:rsidP="003A0016" w14:paraId="53B765F9"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3DCFD5E7" w14:textId="77777777">
            <w:pPr>
              <w:spacing w:line="259" w:lineRule="auto"/>
              <w:jc w:val="center"/>
              <w:rPr>
                <w:rFonts w:eastAsia="Calibri"/>
                <w:sz w:val="22"/>
                <w:szCs w:val="22"/>
              </w:rPr>
            </w:pPr>
            <w:r w:rsidRPr="003A0016">
              <w:rPr>
                <w:rFonts w:eastAsia="Calibri"/>
                <w:sz w:val="22"/>
                <w:szCs w:val="22"/>
              </w:rPr>
              <w:t>0000145498</w:t>
            </w:r>
          </w:p>
        </w:tc>
      </w:tr>
      <w:tr w14:paraId="77F3278B"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68D50F6A" w14:textId="77777777">
            <w:pPr>
              <w:spacing w:line="259" w:lineRule="auto"/>
              <w:jc w:val="center"/>
              <w:rPr>
                <w:rFonts w:eastAsia="Calibri"/>
                <w:sz w:val="22"/>
                <w:szCs w:val="22"/>
              </w:rPr>
            </w:pPr>
            <w:r w:rsidRPr="003A0016">
              <w:rPr>
                <w:rFonts w:eastAsia="Calibri"/>
                <w:sz w:val="22"/>
                <w:szCs w:val="22"/>
              </w:rPr>
              <w:t>K30EW-D, Monument, etc., OR</w:t>
            </w:r>
          </w:p>
        </w:tc>
        <w:tc>
          <w:tcPr>
            <w:tcW w:w="990" w:type="dxa"/>
            <w:shd w:val="clear" w:color="auto" w:fill="auto"/>
            <w:noWrap/>
            <w:vAlign w:val="center"/>
            <w:hideMark/>
          </w:tcPr>
          <w:p w:rsidR="003A0016" w:rsidRPr="003A0016" w:rsidP="003A0016" w14:paraId="50BD557C" w14:textId="77777777">
            <w:pPr>
              <w:spacing w:line="259" w:lineRule="auto"/>
              <w:jc w:val="center"/>
              <w:rPr>
                <w:rFonts w:eastAsia="Calibri"/>
                <w:sz w:val="22"/>
                <w:szCs w:val="22"/>
              </w:rPr>
            </w:pPr>
            <w:r w:rsidRPr="003A0016">
              <w:rPr>
                <w:rFonts w:eastAsia="Calibri"/>
                <w:sz w:val="22"/>
                <w:szCs w:val="22"/>
              </w:rPr>
              <w:t>8539</w:t>
            </w:r>
          </w:p>
        </w:tc>
        <w:tc>
          <w:tcPr>
            <w:tcW w:w="3240" w:type="dxa"/>
            <w:shd w:val="clear" w:color="auto" w:fill="auto"/>
            <w:noWrap/>
            <w:vAlign w:val="center"/>
            <w:hideMark/>
          </w:tcPr>
          <w:p w:rsidR="003A0016" w:rsidRPr="003A0016" w:rsidP="003A0016" w14:paraId="0A85592E"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38BAF91A" w14:textId="77777777">
            <w:pPr>
              <w:spacing w:line="259" w:lineRule="auto"/>
              <w:jc w:val="center"/>
              <w:rPr>
                <w:rFonts w:eastAsia="Calibri"/>
                <w:sz w:val="22"/>
                <w:szCs w:val="22"/>
              </w:rPr>
            </w:pPr>
            <w:r w:rsidRPr="003A0016">
              <w:rPr>
                <w:rFonts w:eastAsia="Calibri"/>
                <w:sz w:val="22"/>
                <w:szCs w:val="22"/>
              </w:rPr>
              <w:t>0000145494</w:t>
            </w:r>
          </w:p>
        </w:tc>
      </w:tr>
      <w:tr w14:paraId="029E8A80"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4640FC2D" w14:textId="77777777">
            <w:pPr>
              <w:spacing w:line="259" w:lineRule="auto"/>
              <w:jc w:val="center"/>
              <w:rPr>
                <w:rFonts w:eastAsia="Calibri"/>
                <w:sz w:val="22"/>
                <w:szCs w:val="22"/>
              </w:rPr>
            </w:pPr>
            <w:r w:rsidRPr="003A0016">
              <w:rPr>
                <w:rFonts w:eastAsia="Calibri"/>
                <w:sz w:val="22"/>
                <w:szCs w:val="22"/>
              </w:rPr>
              <w:t>K35CR-D, Tillamook, etc., OR</w:t>
            </w:r>
          </w:p>
        </w:tc>
        <w:tc>
          <w:tcPr>
            <w:tcW w:w="990" w:type="dxa"/>
            <w:shd w:val="clear" w:color="auto" w:fill="auto"/>
            <w:noWrap/>
            <w:vAlign w:val="center"/>
            <w:hideMark/>
          </w:tcPr>
          <w:p w:rsidR="003A0016" w:rsidRPr="003A0016" w:rsidP="003A0016" w14:paraId="46172DC7" w14:textId="77777777">
            <w:pPr>
              <w:spacing w:line="259" w:lineRule="auto"/>
              <w:jc w:val="center"/>
              <w:rPr>
                <w:rFonts w:eastAsia="Calibri"/>
                <w:sz w:val="22"/>
                <w:szCs w:val="22"/>
              </w:rPr>
            </w:pPr>
            <w:r w:rsidRPr="003A0016">
              <w:rPr>
                <w:rFonts w:eastAsia="Calibri"/>
                <w:sz w:val="22"/>
                <w:szCs w:val="22"/>
              </w:rPr>
              <w:t>35461</w:t>
            </w:r>
          </w:p>
        </w:tc>
        <w:tc>
          <w:tcPr>
            <w:tcW w:w="3240" w:type="dxa"/>
            <w:shd w:val="clear" w:color="auto" w:fill="auto"/>
            <w:noWrap/>
            <w:vAlign w:val="center"/>
            <w:hideMark/>
          </w:tcPr>
          <w:p w:rsidR="003A0016" w:rsidRPr="003A0016" w:rsidP="003A0016" w14:paraId="0244068F"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06BC5892" w14:textId="77777777">
            <w:pPr>
              <w:spacing w:line="259" w:lineRule="auto"/>
              <w:jc w:val="center"/>
              <w:rPr>
                <w:rFonts w:eastAsia="Calibri"/>
                <w:sz w:val="22"/>
                <w:szCs w:val="22"/>
              </w:rPr>
            </w:pPr>
            <w:r w:rsidRPr="003A0016">
              <w:rPr>
                <w:rFonts w:eastAsia="Calibri"/>
                <w:sz w:val="22"/>
                <w:szCs w:val="22"/>
              </w:rPr>
              <w:t>0000145499</w:t>
            </w:r>
          </w:p>
        </w:tc>
      </w:tr>
      <w:tr w14:paraId="5EFAFF42"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1733F01D" w14:textId="77777777">
            <w:pPr>
              <w:spacing w:line="259" w:lineRule="auto"/>
              <w:jc w:val="center"/>
              <w:rPr>
                <w:rFonts w:eastAsia="Calibri"/>
                <w:sz w:val="22"/>
                <w:szCs w:val="22"/>
              </w:rPr>
            </w:pPr>
            <w:r w:rsidRPr="003A0016">
              <w:rPr>
                <w:rFonts w:eastAsia="Calibri"/>
                <w:sz w:val="22"/>
                <w:szCs w:val="22"/>
              </w:rPr>
              <w:t>KPDX(TV), Vancouver, WA</w:t>
            </w:r>
          </w:p>
        </w:tc>
        <w:tc>
          <w:tcPr>
            <w:tcW w:w="990" w:type="dxa"/>
            <w:shd w:val="clear" w:color="auto" w:fill="auto"/>
            <w:noWrap/>
            <w:vAlign w:val="center"/>
            <w:hideMark/>
          </w:tcPr>
          <w:p w:rsidR="003A0016" w:rsidRPr="003A0016" w:rsidP="003A0016" w14:paraId="3E8F45C8" w14:textId="77777777">
            <w:pPr>
              <w:spacing w:line="259" w:lineRule="auto"/>
              <w:jc w:val="center"/>
              <w:rPr>
                <w:rFonts w:eastAsia="Calibri"/>
                <w:sz w:val="22"/>
                <w:szCs w:val="22"/>
              </w:rPr>
            </w:pPr>
            <w:r w:rsidRPr="003A0016">
              <w:rPr>
                <w:rFonts w:eastAsia="Calibri"/>
                <w:sz w:val="22"/>
                <w:szCs w:val="22"/>
              </w:rPr>
              <w:t>35460</w:t>
            </w:r>
          </w:p>
        </w:tc>
        <w:tc>
          <w:tcPr>
            <w:tcW w:w="3240" w:type="dxa"/>
            <w:shd w:val="clear" w:color="auto" w:fill="auto"/>
            <w:noWrap/>
            <w:vAlign w:val="center"/>
            <w:hideMark/>
          </w:tcPr>
          <w:p w:rsidR="003A0016" w:rsidRPr="003A0016" w:rsidP="003A0016" w14:paraId="1974EAE6"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35642C0F" w14:textId="77777777">
            <w:pPr>
              <w:spacing w:line="259" w:lineRule="auto"/>
              <w:jc w:val="center"/>
              <w:rPr>
                <w:rFonts w:eastAsia="Calibri"/>
                <w:sz w:val="22"/>
                <w:szCs w:val="22"/>
              </w:rPr>
            </w:pPr>
            <w:r w:rsidRPr="003A0016">
              <w:rPr>
                <w:rFonts w:eastAsia="Calibri"/>
                <w:sz w:val="22"/>
                <w:szCs w:val="22"/>
              </w:rPr>
              <w:t>0000145497</w:t>
            </w:r>
          </w:p>
        </w:tc>
      </w:tr>
      <w:tr w14:paraId="4C51EBC3"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5E1F6F93" w14:textId="77777777">
            <w:pPr>
              <w:spacing w:line="259" w:lineRule="auto"/>
              <w:jc w:val="center"/>
              <w:rPr>
                <w:rFonts w:eastAsia="Calibri"/>
                <w:sz w:val="22"/>
                <w:szCs w:val="22"/>
              </w:rPr>
            </w:pPr>
            <w:r w:rsidRPr="003A0016">
              <w:rPr>
                <w:rFonts w:eastAsia="Calibri"/>
                <w:sz w:val="22"/>
                <w:szCs w:val="22"/>
              </w:rPr>
              <w:t>K13AAQ-D, Prineville, etc., OR</w:t>
            </w:r>
          </w:p>
        </w:tc>
        <w:tc>
          <w:tcPr>
            <w:tcW w:w="990" w:type="dxa"/>
            <w:shd w:val="clear" w:color="auto" w:fill="auto"/>
            <w:noWrap/>
            <w:vAlign w:val="center"/>
            <w:hideMark/>
          </w:tcPr>
          <w:p w:rsidR="003A0016" w:rsidRPr="003A0016" w:rsidP="003A0016" w14:paraId="77084A1E" w14:textId="77777777">
            <w:pPr>
              <w:spacing w:line="259" w:lineRule="auto"/>
              <w:jc w:val="center"/>
              <w:rPr>
                <w:rFonts w:eastAsia="Calibri"/>
                <w:sz w:val="22"/>
                <w:szCs w:val="22"/>
              </w:rPr>
            </w:pPr>
            <w:r w:rsidRPr="003A0016">
              <w:rPr>
                <w:rFonts w:eastAsia="Calibri"/>
                <w:sz w:val="22"/>
                <w:szCs w:val="22"/>
              </w:rPr>
              <w:t>50632</w:t>
            </w:r>
          </w:p>
        </w:tc>
        <w:tc>
          <w:tcPr>
            <w:tcW w:w="3240" w:type="dxa"/>
            <w:shd w:val="clear" w:color="auto" w:fill="auto"/>
            <w:noWrap/>
            <w:vAlign w:val="center"/>
            <w:hideMark/>
          </w:tcPr>
          <w:p w:rsidR="003A0016" w:rsidRPr="003A0016" w:rsidP="003A0016" w14:paraId="14105A6F"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526A1FC7" w14:textId="77777777">
            <w:pPr>
              <w:spacing w:line="259" w:lineRule="auto"/>
              <w:jc w:val="center"/>
              <w:rPr>
                <w:rFonts w:eastAsia="Calibri"/>
                <w:sz w:val="22"/>
                <w:szCs w:val="22"/>
              </w:rPr>
            </w:pPr>
            <w:r w:rsidRPr="003A0016">
              <w:rPr>
                <w:rFonts w:eastAsia="Calibri"/>
                <w:sz w:val="22"/>
                <w:szCs w:val="22"/>
              </w:rPr>
              <w:t>0000145492</w:t>
            </w:r>
          </w:p>
        </w:tc>
      </w:tr>
      <w:tr w14:paraId="21F86CA4"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7DCE62D7" w14:textId="77777777">
            <w:pPr>
              <w:spacing w:line="259" w:lineRule="auto"/>
              <w:jc w:val="center"/>
              <w:rPr>
                <w:rFonts w:eastAsia="Calibri"/>
                <w:sz w:val="22"/>
                <w:szCs w:val="22"/>
              </w:rPr>
            </w:pPr>
            <w:r w:rsidRPr="003A0016">
              <w:rPr>
                <w:rFonts w:eastAsia="Calibri"/>
                <w:sz w:val="22"/>
                <w:szCs w:val="22"/>
              </w:rPr>
              <w:t>K18EL-D, Newberg/Tigard, OR</w:t>
            </w:r>
          </w:p>
        </w:tc>
        <w:tc>
          <w:tcPr>
            <w:tcW w:w="990" w:type="dxa"/>
            <w:shd w:val="clear" w:color="auto" w:fill="auto"/>
            <w:noWrap/>
            <w:vAlign w:val="center"/>
            <w:hideMark/>
          </w:tcPr>
          <w:p w:rsidR="003A0016" w:rsidRPr="003A0016" w:rsidP="003A0016" w14:paraId="71B2CB7D" w14:textId="77777777">
            <w:pPr>
              <w:spacing w:line="259" w:lineRule="auto"/>
              <w:jc w:val="center"/>
              <w:rPr>
                <w:rFonts w:eastAsia="Calibri"/>
                <w:sz w:val="22"/>
                <w:szCs w:val="22"/>
              </w:rPr>
            </w:pPr>
            <w:r w:rsidRPr="003A0016">
              <w:rPr>
                <w:rFonts w:eastAsia="Calibri"/>
                <w:sz w:val="22"/>
                <w:szCs w:val="22"/>
              </w:rPr>
              <w:t>35467</w:t>
            </w:r>
          </w:p>
        </w:tc>
        <w:tc>
          <w:tcPr>
            <w:tcW w:w="3240" w:type="dxa"/>
            <w:shd w:val="clear" w:color="auto" w:fill="auto"/>
            <w:noWrap/>
            <w:vAlign w:val="center"/>
            <w:hideMark/>
          </w:tcPr>
          <w:p w:rsidR="003A0016" w:rsidRPr="003A0016" w:rsidP="003A0016" w14:paraId="73355E23"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61695BED" w14:textId="77777777">
            <w:pPr>
              <w:spacing w:line="259" w:lineRule="auto"/>
              <w:jc w:val="center"/>
              <w:rPr>
                <w:rFonts w:eastAsia="Calibri"/>
                <w:sz w:val="22"/>
                <w:szCs w:val="22"/>
              </w:rPr>
            </w:pPr>
            <w:r w:rsidRPr="003A0016">
              <w:rPr>
                <w:rFonts w:eastAsia="Calibri"/>
                <w:sz w:val="22"/>
                <w:szCs w:val="22"/>
              </w:rPr>
              <w:t>0000145493</w:t>
            </w:r>
          </w:p>
        </w:tc>
      </w:tr>
      <w:tr w14:paraId="19E00392"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526C8560" w14:textId="77777777">
            <w:pPr>
              <w:spacing w:line="259" w:lineRule="auto"/>
              <w:jc w:val="center"/>
              <w:rPr>
                <w:rFonts w:eastAsia="Calibri"/>
                <w:sz w:val="22"/>
                <w:szCs w:val="22"/>
              </w:rPr>
            </w:pPr>
            <w:r w:rsidRPr="003A0016">
              <w:rPr>
                <w:rFonts w:eastAsia="Calibri"/>
                <w:sz w:val="22"/>
                <w:szCs w:val="22"/>
              </w:rPr>
              <w:t>K19MI-D, Salem, OR</w:t>
            </w:r>
          </w:p>
        </w:tc>
        <w:tc>
          <w:tcPr>
            <w:tcW w:w="990" w:type="dxa"/>
            <w:shd w:val="clear" w:color="auto" w:fill="auto"/>
            <w:noWrap/>
            <w:vAlign w:val="center"/>
            <w:hideMark/>
          </w:tcPr>
          <w:p w:rsidR="003A0016" w:rsidRPr="003A0016" w:rsidP="003A0016" w14:paraId="28459DC0" w14:textId="77777777">
            <w:pPr>
              <w:spacing w:line="259" w:lineRule="auto"/>
              <w:jc w:val="center"/>
              <w:rPr>
                <w:rFonts w:eastAsia="Calibri"/>
                <w:sz w:val="22"/>
                <w:szCs w:val="22"/>
              </w:rPr>
            </w:pPr>
            <w:r w:rsidRPr="003A0016">
              <w:rPr>
                <w:rFonts w:eastAsia="Calibri"/>
                <w:sz w:val="22"/>
                <w:szCs w:val="22"/>
              </w:rPr>
              <w:t>35463</w:t>
            </w:r>
          </w:p>
        </w:tc>
        <w:tc>
          <w:tcPr>
            <w:tcW w:w="3240" w:type="dxa"/>
            <w:shd w:val="clear" w:color="auto" w:fill="auto"/>
            <w:noWrap/>
            <w:vAlign w:val="center"/>
            <w:hideMark/>
          </w:tcPr>
          <w:p w:rsidR="003A0016" w:rsidRPr="003A0016" w:rsidP="003A0016" w14:paraId="11C19B7B"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4B767129" w14:textId="77777777">
            <w:pPr>
              <w:spacing w:line="259" w:lineRule="auto"/>
              <w:jc w:val="center"/>
              <w:rPr>
                <w:rFonts w:eastAsia="Calibri"/>
                <w:sz w:val="22"/>
                <w:szCs w:val="22"/>
              </w:rPr>
            </w:pPr>
            <w:r w:rsidRPr="003A0016">
              <w:rPr>
                <w:rFonts w:eastAsia="Calibri"/>
                <w:sz w:val="22"/>
                <w:szCs w:val="22"/>
              </w:rPr>
              <w:t>0000145495</w:t>
            </w:r>
          </w:p>
        </w:tc>
      </w:tr>
      <w:tr w14:paraId="3CA26566"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41F5AB11" w14:textId="77777777">
            <w:pPr>
              <w:spacing w:line="259" w:lineRule="auto"/>
              <w:jc w:val="center"/>
              <w:rPr>
                <w:rFonts w:eastAsia="Calibri"/>
                <w:sz w:val="22"/>
                <w:szCs w:val="22"/>
              </w:rPr>
            </w:pPr>
            <w:r w:rsidRPr="003A0016">
              <w:rPr>
                <w:rFonts w:eastAsia="Calibri"/>
                <w:sz w:val="22"/>
                <w:szCs w:val="22"/>
              </w:rPr>
              <w:t>K20DD-D, Albany, etc., OR</w:t>
            </w:r>
          </w:p>
        </w:tc>
        <w:tc>
          <w:tcPr>
            <w:tcW w:w="990" w:type="dxa"/>
            <w:shd w:val="clear" w:color="auto" w:fill="auto"/>
            <w:noWrap/>
            <w:vAlign w:val="center"/>
            <w:hideMark/>
          </w:tcPr>
          <w:p w:rsidR="003A0016" w:rsidRPr="003A0016" w:rsidP="003A0016" w14:paraId="08B07968" w14:textId="77777777">
            <w:pPr>
              <w:spacing w:line="259" w:lineRule="auto"/>
              <w:jc w:val="center"/>
              <w:rPr>
                <w:rFonts w:eastAsia="Calibri"/>
                <w:sz w:val="22"/>
                <w:szCs w:val="22"/>
              </w:rPr>
            </w:pPr>
            <w:r w:rsidRPr="003A0016">
              <w:rPr>
                <w:rFonts w:eastAsia="Calibri"/>
                <w:sz w:val="22"/>
                <w:szCs w:val="22"/>
              </w:rPr>
              <w:t>35470</w:t>
            </w:r>
          </w:p>
        </w:tc>
        <w:tc>
          <w:tcPr>
            <w:tcW w:w="3240" w:type="dxa"/>
            <w:shd w:val="clear" w:color="auto" w:fill="auto"/>
            <w:noWrap/>
            <w:vAlign w:val="center"/>
            <w:hideMark/>
          </w:tcPr>
          <w:p w:rsidR="003A0016" w:rsidRPr="003A0016" w:rsidP="003A0016" w14:paraId="752E302B"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07FAD3F7" w14:textId="77777777">
            <w:pPr>
              <w:spacing w:line="259" w:lineRule="auto"/>
              <w:jc w:val="center"/>
              <w:rPr>
                <w:rFonts w:eastAsia="Calibri"/>
                <w:sz w:val="22"/>
                <w:szCs w:val="22"/>
              </w:rPr>
            </w:pPr>
            <w:r w:rsidRPr="003A0016">
              <w:rPr>
                <w:rFonts w:eastAsia="Calibri"/>
                <w:sz w:val="22"/>
                <w:szCs w:val="22"/>
              </w:rPr>
              <w:t>0000145496</w:t>
            </w:r>
          </w:p>
        </w:tc>
      </w:tr>
      <w:tr w14:paraId="603B2F16"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3D18DC83" w14:textId="77777777">
            <w:pPr>
              <w:spacing w:line="259" w:lineRule="auto"/>
              <w:jc w:val="center"/>
              <w:rPr>
                <w:rFonts w:eastAsia="Calibri"/>
                <w:sz w:val="22"/>
                <w:szCs w:val="22"/>
              </w:rPr>
            </w:pPr>
            <w:r w:rsidRPr="003A0016">
              <w:rPr>
                <w:rFonts w:eastAsia="Calibri"/>
                <w:sz w:val="22"/>
                <w:szCs w:val="22"/>
              </w:rPr>
              <w:t>K20EH-D, Hood River, OR</w:t>
            </w:r>
          </w:p>
        </w:tc>
        <w:tc>
          <w:tcPr>
            <w:tcW w:w="990" w:type="dxa"/>
            <w:shd w:val="clear" w:color="auto" w:fill="auto"/>
            <w:noWrap/>
            <w:vAlign w:val="center"/>
            <w:hideMark/>
          </w:tcPr>
          <w:p w:rsidR="003A0016" w:rsidRPr="003A0016" w:rsidP="003A0016" w14:paraId="7DD05AFD" w14:textId="77777777">
            <w:pPr>
              <w:spacing w:line="259" w:lineRule="auto"/>
              <w:jc w:val="center"/>
              <w:rPr>
                <w:rFonts w:eastAsia="Calibri"/>
                <w:sz w:val="22"/>
                <w:szCs w:val="22"/>
              </w:rPr>
            </w:pPr>
            <w:r w:rsidRPr="003A0016">
              <w:rPr>
                <w:rFonts w:eastAsia="Calibri"/>
                <w:sz w:val="22"/>
                <w:szCs w:val="22"/>
              </w:rPr>
              <w:t>35472</w:t>
            </w:r>
          </w:p>
        </w:tc>
        <w:tc>
          <w:tcPr>
            <w:tcW w:w="3240" w:type="dxa"/>
            <w:shd w:val="clear" w:color="auto" w:fill="auto"/>
            <w:noWrap/>
            <w:vAlign w:val="center"/>
            <w:hideMark/>
          </w:tcPr>
          <w:p w:rsidR="003A0016" w:rsidRPr="003A0016" w:rsidP="003A0016" w14:paraId="3D3F8E1A"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4A3B4E64" w14:textId="77777777">
            <w:pPr>
              <w:spacing w:line="259" w:lineRule="auto"/>
              <w:jc w:val="center"/>
              <w:rPr>
                <w:rFonts w:eastAsia="Calibri"/>
                <w:sz w:val="22"/>
                <w:szCs w:val="22"/>
              </w:rPr>
            </w:pPr>
            <w:r w:rsidRPr="003A0016">
              <w:rPr>
                <w:rFonts w:eastAsia="Calibri"/>
                <w:sz w:val="22"/>
                <w:szCs w:val="22"/>
              </w:rPr>
              <w:t>0000145503</w:t>
            </w:r>
          </w:p>
        </w:tc>
      </w:tr>
      <w:tr w14:paraId="60619E2A"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598A5A3F" w14:textId="77777777">
            <w:pPr>
              <w:spacing w:line="259" w:lineRule="auto"/>
              <w:jc w:val="center"/>
              <w:rPr>
                <w:rFonts w:eastAsia="Calibri"/>
                <w:sz w:val="22"/>
                <w:szCs w:val="22"/>
              </w:rPr>
            </w:pPr>
            <w:r w:rsidRPr="003A0016">
              <w:rPr>
                <w:rFonts w:eastAsia="Calibri"/>
                <w:sz w:val="22"/>
                <w:szCs w:val="22"/>
              </w:rPr>
              <w:t>K22KC-D, The Dalles, OR</w:t>
            </w:r>
          </w:p>
        </w:tc>
        <w:tc>
          <w:tcPr>
            <w:tcW w:w="990" w:type="dxa"/>
            <w:shd w:val="clear" w:color="auto" w:fill="auto"/>
            <w:noWrap/>
            <w:vAlign w:val="center"/>
            <w:hideMark/>
          </w:tcPr>
          <w:p w:rsidR="003A0016" w:rsidRPr="003A0016" w:rsidP="003A0016" w14:paraId="2BB51B5F" w14:textId="77777777">
            <w:pPr>
              <w:spacing w:line="259" w:lineRule="auto"/>
              <w:jc w:val="center"/>
              <w:rPr>
                <w:rFonts w:eastAsia="Calibri"/>
                <w:sz w:val="22"/>
                <w:szCs w:val="22"/>
              </w:rPr>
            </w:pPr>
            <w:r w:rsidRPr="003A0016">
              <w:rPr>
                <w:rFonts w:eastAsia="Calibri"/>
                <w:sz w:val="22"/>
                <w:szCs w:val="22"/>
              </w:rPr>
              <w:t>50631</w:t>
            </w:r>
          </w:p>
        </w:tc>
        <w:tc>
          <w:tcPr>
            <w:tcW w:w="3240" w:type="dxa"/>
            <w:shd w:val="clear" w:color="auto" w:fill="auto"/>
            <w:noWrap/>
            <w:vAlign w:val="center"/>
            <w:hideMark/>
          </w:tcPr>
          <w:p w:rsidR="003A0016" w:rsidRPr="003A0016" w:rsidP="003A0016" w14:paraId="5DE7E859"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24C97A32" w14:textId="77777777">
            <w:pPr>
              <w:spacing w:line="259" w:lineRule="auto"/>
              <w:jc w:val="center"/>
              <w:rPr>
                <w:rFonts w:eastAsia="Calibri"/>
                <w:sz w:val="22"/>
                <w:szCs w:val="22"/>
              </w:rPr>
            </w:pPr>
            <w:r w:rsidRPr="003A0016">
              <w:rPr>
                <w:rFonts w:eastAsia="Calibri"/>
                <w:sz w:val="22"/>
                <w:szCs w:val="22"/>
              </w:rPr>
              <w:t>0000145505</w:t>
            </w:r>
          </w:p>
        </w:tc>
      </w:tr>
      <w:tr w14:paraId="6F2FC8B6"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1BFD8E79" w14:textId="77777777">
            <w:pPr>
              <w:spacing w:line="259" w:lineRule="auto"/>
              <w:jc w:val="center"/>
              <w:rPr>
                <w:rFonts w:eastAsia="Calibri"/>
                <w:sz w:val="22"/>
                <w:szCs w:val="22"/>
              </w:rPr>
            </w:pPr>
            <w:r w:rsidRPr="003A0016">
              <w:rPr>
                <w:rFonts w:eastAsia="Calibri"/>
                <w:sz w:val="22"/>
                <w:szCs w:val="22"/>
              </w:rPr>
              <w:t>K27NZ-D, Longview, WA</w:t>
            </w:r>
          </w:p>
        </w:tc>
        <w:tc>
          <w:tcPr>
            <w:tcW w:w="990" w:type="dxa"/>
            <w:shd w:val="clear" w:color="auto" w:fill="auto"/>
            <w:noWrap/>
            <w:vAlign w:val="center"/>
            <w:hideMark/>
          </w:tcPr>
          <w:p w:rsidR="003A0016" w:rsidRPr="003A0016" w:rsidP="003A0016" w14:paraId="694F69EF" w14:textId="77777777">
            <w:pPr>
              <w:spacing w:line="259" w:lineRule="auto"/>
              <w:jc w:val="center"/>
              <w:rPr>
                <w:rFonts w:eastAsia="Calibri"/>
                <w:sz w:val="22"/>
                <w:szCs w:val="22"/>
              </w:rPr>
            </w:pPr>
            <w:r w:rsidRPr="003A0016">
              <w:rPr>
                <w:rFonts w:eastAsia="Calibri"/>
                <w:sz w:val="22"/>
                <w:szCs w:val="22"/>
              </w:rPr>
              <w:t>35476</w:t>
            </w:r>
          </w:p>
        </w:tc>
        <w:tc>
          <w:tcPr>
            <w:tcW w:w="3240" w:type="dxa"/>
            <w:shd w:val="clear" w:color="auto" w:fill="auto"/>
            <w:noWrap/>
            <w:vAlign w:val="center"/>
            <w:hideMark/>
          </w:tcPr>
          <w:p w:rsidR="003A0016" w:rsidRPr="003A0016" w:rsidP="003A0016" w14:paraId="269FD596"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5CD19436" w14:textId="77777777">
            <w:pPr>
              <w:spacing w:line="259" w:lineRule="auto"/>
              <w:jc w:val="center"/>
              <w:rPr>
                <w:rFonts w:eastAsia="Calibri"/>
                <w:sz w:val="22"/>
                <w:szCs w:val="22"/>
              </w:rPr>
            </w:pPr>
            <w:r w:rsidRPr="003A0016">
              <w:rPr>
                <w:rFonts w:eastAsia="Calibri"/>
                <w:sz w:val="22"/>
                <w:szCs w:val="22"/>
              </w:rPr>
              <w:t>0000145501</w:t>
            </w:r>
          </w:p>
        </w:tc>
      </w:tr>
      <w:tr w14:paraId="1244597B"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1733D9F1" w14:textId="77777777">
            <w:pPr>
              <w:spacing w:line="259" w:lineRule="auto"/>
              <w:jc w:val="center"/>
              <w:rPr>
                <w:rFonts w:eastAsia="Calibri"/>
                <w:sz w:val="22"/>
                <w:szCs w:val="22"/>
              </w:rPr>
            </w:pPr>
            <w:r w:rsidRPr="003A0016">
              <w:rPr>
                <w:rFonts w:eastAsia="Calibri"/>
                <w:sz w:val="22"/>
                <w:szCs w:val="22"/>
              </w:rPr>
              <w:t>KUBN-LD, Madras, OR</w:t>
            </w:r>
          </w:p>
        </w:tc>
        <w:tc>
          <w:tcPr>
            <w:tcW w:w="990" w:type="dxa"/>
            <w:shd w:val="clear" w:color="auto" w:fill="auto"/>
            <w:noWrap/>
            <w:vAlign w:val="center"/>
            <w:hideMark/>
          </w:tcPr>
          <w:p w:rsidR="003A0016" w:rsidRPr="003A0016" w:rsidP="003A0016" w14:paraId="3B3CB4B7" w14:textId="77777777">
            <w:pPr>
              <w:spacing w:line="259" w:lineRule="auto"/>
              <w:jc w:val="center"/>
              <w:rPr>
                <w:rFonts w:eastAsia="Calibri"/>
                <w:sz w:val="22"/>
                <w:szCs w:val="22"/>
              </w:rPr>
            </w:pPr>
            <w:r w:rsidRPr="003A0016">
              <w:rPr>
                <w:rFonts w:eastAsia="Calibri"/>
                <w:sz w:val="22"/>
                <w:szCs w:val="22"/>
              </w:rPr>
              <w:t>34863</w:t>
            </w:r>
          </w:p>
        </w:tc>
        <w:tc>
          <w:tcPr>
            <w:tcW w:w="3240" w:type="dxa"/>
            <w:shd w:val="clear" w:color="auto" w:fill="auto"/>
            <w:noWrap/>
            <w:vAlign w:val="center"/>
            <w:hideMark/>
          </w:tcPr>
          <w:p w:rsidR="003A0016" w:rsidRPr="003A0016" w:rsidP="003A0016" w14:paraId="22ED92DE" w14:textId="77777777">
            <w:pPr>
              <w:spacing w:line="259" w:lineRule="auto"/>
              <w:jc w:val="center"/>
              <w:rPr>
                <w:rFonts w:eastAsia="Calibri"/>
                <w:sz w:val="22"/>
                <w:szCs w:val="22"/>
              </w:rPr>
            </w:pPr>
            <w:r w:rsidRPr="003A0016">
              <w:rPr>
                <w:rFonts w:eastAsia="Calibri"/>
                <w:sz w:val="22"/>
                <w:szCs w:val="22"/>
              </w:rPr>
              <w:t>KPTV-KPDX Broadcasting Corporation</w:t>
            </w:r>
          </w:p>
        </w:tc>
        <w:tc>
          <w:tcPr>
            <w:tcW w:w="1615" w:type="dxa"/>
            <w:shd w:val="clear" w:color="auto" w:fill="auto"/>
            <w:noWrap/>
            <w:vAlign w:val="center"/>
            <w:hideMark/>
          </w:tcPr>
          <w:p w:rsidR="003A0016" w:rsidRPr="003A0016" w:rsidP="003A0016" w14:paraId="0F2825F1" w14:textId="77777777">
            <w:pPr>
              <w:spacing w:line="259" w:lineRule="auto"/>
              <w:jc w:val="center"/>
              <w:rPr>
                <w:rFonts w:eastAsia="Calibri"/>
                <w:sz w:val="22"/>
                <w:szCs w:val="22"/>
              </w:rPr>
            </w:pPr>
            <w:r w:rsidRPr="003A0016">
              <w:rPr>
                <w:rFonts w:eastAsia="Calibri"/>
                <w:sz w:val="22"/>
                <w:szCs w:val="22"/>
              </w:rPr>
              <w:t>0000145500</w:t>
            </w:r>
          </w:p>
        </w:tc>
      </w:tr>
      <w:tr w14:paraId="13D40734"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63298FBC" w14:textId="77777777">
            <w:pPr>
              <w:spacing w:line="259" w:lineRule="auto"/>
              <w:jc w:val="center"/>
              <w:rPr>
                <w:rFonts w:eastAsia="Calibri"/>
                <w:sz w:val="22"/>
                <w:szCs w:val="22"/>
              </w:rPr>
            </w:pPr>
            <w:r w:rsidRPr="003A0016">
              <w:rPr>
                <w:rFonts w:eastAsia="Calibri"/>
                <w:sz w:val="22"/>
                <w:szCs w:val="22"/>
              </w:rPr>
              <w:t>KVVU-TV, Henderson, NV</w:t>
            </w:r>
          </w:p>
        </w:tc>
        <w:tc>
          <w:tcPr>
            <w:tcW w:w="990" w:type="dxa"/>
            <w:shd w:val="clear" w:color="auto" w:fill="auto"/>
            <w:noWrap/>
            <w:vAlign w:val="center"/>
            <w:hideMark/>
          </w:tcPr>
          <w:p w:rsidR="003A0016" w:rsidRPr="003A0016" w:rsidP="003A0016" w14:paraId="4C7C0726" w14:textId="77777777">
            <w:pPr>
              <w:spacing w:line="259" w:lineRule="auto"/>
              <w:jc w:val="center"/>
              <w:rPr>
                <w:rFonts w:eastAsia="Calibri"/>
                <w:sz w:val="22"/>
                <w:szCs w:val="22"/>
              </w:rPr>
            </w:pPr>
            <w:r w:rsidRPr="003A0016">
              <w:rPr>
                <w:rFonts w:eastAsia="Calibri"/>
                <w:sz w:val="22"/>
                <w:szCs w:val="22"/>
              </w:rPr>
              <w:t>35870</w:t>
            </w:r>
          </w:p>
        </w:tc>
        <w:tc>
          <w:tcPr>
            <w:tcW w:w="3240" w:type="dxa"/>
            <w:shd w:val="clear" w:color="auto" w:fill="auto"/>
            <w:noWrap/>
            <w:vAlign w:val="center"/>
            <w:hideMark/>
          </w:tcPr>
          <w:p w:rsidR="003A0016" w:rsidRPr="003A0016" w:rsidP="003A0016" w14:paraId="4D2B0D34" w14:textId="77777777">
            <w:pPr>
              <w:spacing w:line="259" w:lineRule="auto"/>
              <w:jc w:val="center"/>
              <w:rPr>
                <w:rFonts w:eastAsia="Calibri"/>
                <w:sz w:val="22"/>
                <w:szCs w:val="22"/>
              </w:rPr>
            </w:pPr>
            <w:r w:rsidRPr="003A0016">
              <w:rPr>
                <w:rFonts w:eastAsia="Calibri"/>
                <w:sz w:val="22"/>
                <w:szCs w:val="22"/>
              </w:rPr>
              <w:t>KVVU Broadcasting Corporation</w:t>
            </w:r>
          </w:p>
        </w:tc>
        <w:tc>
          <w:tcPr>
            <w:tcW w:w="1615" w:type="dxa"/>
            <w:shd w:val="clear" w:color="auto" w:fill="auto"/>
            <w:noWrap/>
            <w:vAlign w:val="center"/>
            <w:hideMark/>
          </w:tcPr>
          <w:p w:rsidR="003A0016" w:rsidRPr="003A0016" w:rsidP="003A0016" w14:paraId="07A659E9" w14:textId="198886AD">
            <w:pPr>
              <w:spacing w:line="259" w:lineRule="auto"/>
              <w:jc w:val="center"/>
              <w:rPr>
                <w:rFonts w:eastAsia="Calibri"/>
                <w:sz w:val="22"/>
                <w:szCs w:val="22"/>
              </w:rPr>
            </w:pPr>
            <w:r w:rsidRPr="003A0016">
              <w:rPr>
                <w:rFonts w:eastAsia="Calibri"/>
                <w:sz w:val="22"/>
                <w:szCs w:val="22"/>
              </w:rPr>
              <w:t>000014</w:t>
            </w:r>
            <w:r w:rsidR="00DE7146">
              <w:rPr>
                <w:rFonts w:eastAsia="Calibri"/>
                <w:sz w:val="22"/>
                <w:szCs w:val="22"/>
              </w:rPr>
              <w:t>5</w:t>
            </w:r>
            <w:r w:rsidRPr="003A0016">
              <w:rPr>
                <w:rFonts w:eastAsia="Calibri"/>
                <w:sz w:val="22"/>
                <w:szCs w:val="22"/>
              </w:rPr>
              <w:t>518</w:t>
            </w:r>
          </w:p>
        </w:tc>
      </w:tr>
      <w:tr w14:paraId="483ED7A1"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48251B46" w14:textId="77777777">
            <w:pPr>
              <w:spacing w:line="259" w:lineRule="auto"/>
              <w:jc w:val="center"/>
              <w:rPr>
                <w:rFonts w:eastAsia="Calibri"/>
                <w:sz w:val="22"/>
                <w:szCs w:val="22"/>
              </w:rPr>
            </w:pPr>
            <w:r w:rsidRPr="003A0016">
              <w:rPr>
                <w:rFonts w:eastAsia="Calibri"/>
                <w:sz w:val="22"/>
                <w:szCs w:val="22"/>
              </w:rPr>
              <w:t>K18NA-D, Pahrump, NV</w:t>
            </w:r>
          </w:p>
        </w:tc>
        <w:tc>
          <w:tcPr>
            <w:tcW w:w="990" w:type="dxa"/>
            <w:shd w:val="clear" w:color="auto" w:fill="auto"/>
            <w:noWrap/>
            <w:vAlign w:val="center"/>
            <w:hideMark/>
          </w:tcPr>
          <w:p w:rsidR="003A0016" w:rsidRPr="003A0016" w:rsidP="003A0016" w14:paraId="52942DE9" w14:textId="77777777">
            <w:pPr>
              <w:spacing w:line="259" w:lineRule="auto"/>
              <w:jc w:val="center"/>
              <w:rPr>
                <w:rFonts w:eastAsia="Calibri"/>
                <w:sz w:val="22"/>
                <w:szCs w:val="22"/>
              </w:rPr>
            </w:pPr>
            <w:r w:rsidRPr="003A0016">
              <w:rPr>
                <w:rFonts w:eastAsia="Calibri"/>
                <w:sz w:val="22"/>
                <w:szCs w:val="22"/>
              </w:rPr>
              <w:t>48809</w:t>
            </w:r>
          </w:p>
        </w:tc>
        <w:tc>
          <w:tcPr>
            <w:tcW w:w="3240" w:type="dxa"/>
            <w:shd w:val="clear" w:color="auto" w:fill="auto"/>
            <w:noWrap/>
            <w:vAlign w:val="center"/>
            <w:hideMark/>
          </w:tcPr>
          <w:p w:rsidR="003A0016" w:rsidRPr="003A0016" w:rsidP="003A0016" w14:paraId="19B2298D" w14:textId="77777777">
            <w:pPr>
              <w:spacing w:line="259" w:lineRule="auto"/>
              <w:jc w:val="center"/>
              <w:rPr>
                <w:rFonts w:eastAsia="Calibri"/>
                <w:sz w:val="22"/>
                <w:szCs w:val="22"/>
              </w:rPr>
            </w:pPr>
            <w:r w:rsidRPr="003A0016">
              <w:rPr>
                <w:rFonts w:eastAsia="Calibri"/>
                <w:sz w:val="22"/>
                <w:szCs w:val="22"/>
              </w:rPr>
              <w:t>KVVU Broadcasting Corporation</w:t>
            </w:r>
          </w:p>
        </w:tc>
        <w:tc>
          <w:tcPr>
            <w:tcW w:w="1615" w:type="dxa"/>
            <w:shd w:val="clear" w:color="auto" w:fill="auto"/>
            <w:noWrap/>
            <w:vAlign w:val="center"/>
            <w:hideMark/>
          </w:tcPr>
          <w:p w:rsidR="003A0016" w:rsidRPr="003A0016" w:rsidP="003A0016" w14:paraId="62F0BAE5" w14:textId="77777777">
            <w:pPr>
              <w:spacing w:line="259" w:lineRule="auto"/>
              <w:jc w:val="center"/>
              <w:rPr>
                <w:rFonts w:eastAsia="Calibri"/>
                <w:sz w:val="22"/>
                <w:szCs w:val="22"/>
              </w:rPr>
            </w:pPr>
            <w:r w:rsidRPr="003A0016">
              <w:rPr>
                <w:rFonts w:eastAsia="Calibri"/>
                <w:sz w:val="22"/>
                <w:szCs w:val="22"/>
              </w:rPr>
              <w:t>0000145520</w:t>
            </w:r>
          </w:p>
        </w:tc>
      </w:tr>
      <w:tr w14:paraId="3B847D12" w14:textId="77777777" w:rsidTr="003A0016">
        <w:tblPrEx>
          <w:tblW w:w="0" w:type="auto"/>
          <w:jc w:val="center"/>
          <w:tblLook w:val="04A0"/>
        </w:tblPrEx>
        <w:trPr>
          <w:cantSplit/>
          <w:trHeight w:val="300"/>
          <w:jc w:val="center"/>
        </w:trPr>
        <w:tc>
          <w:tcPr>
            <w:tcW w:w="3505" w:type="dxa"/>
            <w:shd w:val="clear" w:color="auto" w:fill="auto"/>
            <w:noWrap/>
            <w:vAlign w:val="center"/>
            <w:hideMark/>
          </w:tcPr>
          <w:p w:rsidR="003A0016" w:rsidRPr="003A0016" w:rsidP="003A0016" w14:paraId="2DE31FAB" w14:textId="77777777">
            <w:pPr>
              <w:spacing w:line="259" w:lineRule="auto"/>
              <w:jc w:val="center"/>
              <w:rPr>
                <w:rFonts w:eastAsia="Calibri"/>
                <w:sz w:val="22"/>
                <w:szCs w:val="22"/>
              </w:rPr>
            </w:pPr>
            <w:r w:rsidRPr="003A0016">
              <w:rPr>
                <w:rFonts w:eastAsia="Calibri"/>
                <w:sz w:val="22"/>
                <w:szCs w:val="22"/>
              </w:rPr>
              <w:t>K28EU-D, Laughlin, etc., NV</w:t>
            </w:r>
          </w:p>
        </w:tc>
        <w:tc>
          <w:tcPr>
            <w:tcW w:w="990" w:type="dxa"/>
            <w:shd w:val="clear" w:color="auto" w:fill="auto"/>
            <w:noWrap/>
            <w:vAlign w:val="center"/>
            <w:hideMark/>
          </w:tcPr>
          <w:p w:rsidR="003A0016" w:rsidRPr="003A0016" w:rsidP="003A0016" w14:paraId="7D42B756" w14:textId="77777777">
            <w:pPr>
              <w:spacing w:line="259" w:lineRule="auto"/>
              <w:jc w:val="center"/>
              <w:rPr>
                <w:rFonts w:eastAsia="Calibri"/>
                <w:sz w:val="22"/>
                <w:szCs w:val="22"/>
              </w:rPr>
            </w:pPr>
            <w:r w:rsidRPr="003A0016">
              <w:rPr>
                <w:rFonts w:eastAsia="Calibri"/>
                <w:sz w:val="22"/>
                <w:szCs w:val="22"/>
              </w:rPr>
              <w:t>18149</w:t>
            </w:r>
          </w:p>
        </w:tc>
        <w:tc>
          <w:tcPr>
            <w:tcW w:w="3240" w:type="dxa"/>
            <w:shd w:val="clear" w:color="auto" w:fill="auto"/>
            <w:noWrap/>
            <w:vAlign w:val="center"/>
            <w:hideMark/>
          </w:tcPr>
          <w:p w:rsidR="003A0016" w:rsidRPr="003A0016" w:rsidP="003A0016" w14:paraId="038064BE" w14:textId="77777777">
            <w:pPr>
              <w:spacing w:line="259" w:lineRule="auto"/>
              <w:jc w:val="center"/>
              <w:rPr>
                <w:rFonts w:eastAsia="Calibri"/>
                <w:sz w:val="22"/>
                <w:szCs w:val="22"/>
              </w:rPr>
            </w:pPr>
            <w:r w:rsidRPr="003A0016">
              <w:rPr>
                <w:rFonts w:eastAsia="Calibri"/>
                <w:sz w:val="22"/>
                <w:szCs w:val="22"/>
              </w:rPr>
              <w:t>KVVU Broadcasting Corporation</w:t>
            </w:r>
          </w:p>
        </w:tc>
        <w:tc>
          <w:tcPr>
            <w:tcW w:w="1615" w:type="dxa"/>
            <w:shd w:val="clear" w:color="auto" w:fill="auto"/>
            <w:noWrap/>
            <w:vAlign w:val="center"/>
            <w:hideMark/>
          </w:tcPr>
          <w:p w:rsidR="003A0016" w:rsidRPr="003A0016" w:rsidP="003A0016" w14:paraId="6FA5824B" w14:textId="77777777">
            <w:pPr>
              <w:spacing w:line="259" w:lineRule="auto"/>
              <w:jc w:val="center"/>
              <w:rPr>
                <w:rFonts w:eastAsia="Calibri"/>
                <w:sz w:val="22"/>
                <w:szCs w:val="22"/>
              </w:rPr>
            </w:pPr>
            <w:r w:rsidRPr="003A0016">
              <w:rPr>
                <w:rFonts w:eastAsia="Calibri"/>
                <w:sz w:val="22"/>
                <w:szCs w:val="22"/>
              </w:rPr>
              <w:t>0000145519</w:t>
            </w:r>
          </w:p>
        </w:tc>
      </w:tr>
    </w:tbl>
    <w:p w:rsidR="00D05090" w:rsidRPr="000924B7" w:rsidP="002B0FD2" w14:paraId="565A4EB3" w14:textId="64BEDEE6">
      <w:pPr>
        <w:rPr>
          <w:sz w:val="22"/>
          <w:szCs w:val="22"/>
        </w:rPr>
      </w:pPr>
    </w:p>
    <w:sectPr w:rsidSect="00CD559B">
      <w:footerReference w:type="default" r:id="rId5"/>
      <w:headerReference w:type="first" r:id="rId6"/>
      <w:footerReference w:type="first" r:id="rId7"/>
      <w:pgSz w:w="12240" w:h="15840" w:code="1"/>
      <w:pgMar w:top="1987"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54CC" w:rsidRPr="00BF7AD7" w14:paraId="78431AA7" w14:textId="77777777">
    <w:pPr>
      <w:pStyle w:val="Footer"/>
      <w:jc w:val="center"/>
      <w:rPr>
        <w:sz w:val="22"/>
        <w:szCs w:val="22"/>
      </w:rPr>
    </w:pPr>
    <w:r w:rsidRPr="00BF7AD7">
      <w:rPr>
        <w:sz w:val="22"/>
        <w:szCs w:val="22"/>
      </w:rPr>
      <w:fldChar w:fldCharType="begin"/>
    </w:r>
    <w:r w:rsidRPr="00BF7AD7">
      <w:rPr>
        <w:sz w:val="22"/>
        <w:szCs w:val="22"/>
      </w:rPr>
      <w:instrText xml:space="preserve"> PAGE   \* MERGEFORMAT </w:instrText>
    </w:r>
    <w:r w:rsidRPr="00BF7AD7">
      <w:rPr>
        <w:sz w:val="22"/>
        <w:szCs w:val="22"/>
      </w:rPr>
      <w:fldChar w:fldCharType="separate"/>
    </w:r>
    <w:r w:rsidRPr="00BF7AD7">
      <w:rPr>
        <w:noProof/>
        <w:sz w:val="22"/>
        <w:szCs w:val="22"/>
      </w:rPr>
      <w:t>2</w:t>
    </w:r>
    <w:r w:rsidRPr="00BF7AD7">
      <w:rPr>
        <w:noProof/>
        <w:sz w:val="22"/>
        <w:szCs w:val="22"/>
      </w:rPr>
      <w:fldChar w:fldCharType="end"/>
    </w:r>
  </w:p>
  <w:p w:rsidR="005954CC" w14:paraId="65BF55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54CC" w:rsidRPr="00346FB4" w14:paraId="621D1DBC" w14:textId="7F4C6F21">
    <w:pPr>
      <w:pStyle w:val="Footer"/>
      <w:jc w:val="center"/>
      <w:rPr>
        <w:sz w:val="22"/>
        <w:szCs w:val="22"/>
      </w:rPr>
    </w:pPr>
  </w:p>
  <w:p w:rsidR="005954CC" w14:paraId="295F4D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6E16" w14:paraId="04F36F04" w14:textId="77777777">
      <w:r>
        <w:separator/>
      </w:r>
    </w:p>
  </w:footnote>
  <w:footnote w:type="continuationSeparator" w:id="1">
    <w:p w:rsidR="00E06E16" w14:paraId="544E4B8C" w14:textId="77777777">
      <w:r>
        <w:continuationSeparator/>
      </w:r>
    </w:p>
  </w:footnote>
  <w:footnote w:type="continuationNotice" w:id="2">
    <w:p w:rsidR="00E06E16" w14:paraId="717C37C8" w14:textId="77777777"/>
  </w:footnote>
  <w:footnote w:id="3">
    <w:p w:rsidR="005954CC" w:rsidRPr="000C7C2D" w:rsidP="000C7C2D" w14:paraId="025362B3" w14:textId="03687320">
      <w:pPr>
        <w:pStyle w:val="FootnoteText"/>
        <w:widowControl w:val="0"/>
        <w:spacing w:after="120"/>
      </w:pPr>
      <w:r w:rsidRPr="000C7C2D">
        <w:rPr>
          <w:rStyle w:val="FootnoteReference"/>
        </w:rPr>
        <w:footnoteRef/>
      </w:r>
      <w:r w:rsidRPr="000C7C2D">
        <w:t xml:space="preserve"> Gray-Meredith Assignment Application, Lead LMS File No. 000145590 (filed May 14, 2021).  Amendments to the Applications were filed on June 4, 2021, July 30, 2021, and September 24, 2021.</w:t>
      </w:r>
    </w:p>
  </w:footnote>
  <w:footnote w:id="4">
    <w:p w:rsidR="00D36443" w:rsidRPr="000C7C2D" w:rsidP="000C7C2D" w14:paraId="0C503B3E" w14:textId="2CBD00E5">
      <w:pPr>
        <w:pStyle w:val="FootnoteText"/>
        <w:spacing w:after="120"/>
      </w:pPr>
      <w:r w:rsidRPr="000C7C2D">
        <w:rPr>
          <w:rStyle w:val="FootnoteReference"/>
        </w:rPr>
        <w:footnoteRef/>
      </w:r>
      <w:r w:rsidRPr="000C7C2D">
        <w:t xml:space="preserve"> </w:t>
      </w:r>
      <w:r w:rsidRPr="000C7C2D" w:rsidR="00EB4621">
        <w:t>T</w:t>
      </w:r>
      <w:r w:rsidRPr="000C7C2D" w:rsidR="00BC24EC">
        <w:t>he</w:t>
      </w:r>
      <w:r w:rsidRPr="000C7C2D" w:rsidR="00D736B1">
        <w:t xml:space="preserve"> Transaction will be </w:t>
      </w:r>
      <w:r w:rsidRPr="000C7C2D" w:rsidR="003B5641">
        <w:t>accomplished through a two-step process.  Accordingly, the</w:t>
      </w:r>
      <w:r w:rsidRPr="000C7C2D" w:rsidR="00BC24EC">
        <w:t xml:space="preserve"> Applications </w:t>
      </w:r>
      <w:r w:rsidRPr="000C7C2D" w:rsidR="00EB4621">
        <w:t>seek</w:t>
      </w:r>
      <w:r w:rsidRPr="000C7C2D" w:rsidR="00570A62">
        <w:t xml:space="preserve"> </w:t>
      </w:r>
      <w:r w:rsidRPr="000C7C2D" w:rsidR="0019747D">
        <w:t xml:space="preserve">Commission consent to </w:t>
      </w:r>
      <w:r w:rsidRPr="000C7C2D" w:rsidR="007254B9">
        <w:t xml:space="preserve">first, </w:t>
      </w:r>
      <w:r w:rsidRPr="000C7C2D" w:rsidR="004B78D8">
        <w:t>a long</w:t>
      </w:r>
      <w:r w:rsidRPr="000C7C2D" w:rsidR="00850A3F">
        <w:t>-</w:t>
      </w:r>
      <w:r w:rsidRPr="000C7C2D" w:rsidR="004B78D8">
        <w:t>form transfer of control</w:t>
      </w:r>
      <w:r w:rsidRPr="000C7C2D" w:rsidR="007254B9">
        <w:t>,</w:t>
      </w:r>
      <w:r w:rsidRPr="000C7C2D" w:rsidR="004B78D8">
        <w:t xml:space="preserve"> and</w:t>
      </w:r>
      <w:r w:rsidRPr="000C7C2D" w:rsidR="007254B9">
        <w:t>, second,</w:t>
      </w:r>
      <w:r w:rsidRPr="000C7C2D" w:rsidR="004B78D8">
        <w:t xml:space="preserve"> a pro forma assignment.  First, </w:t>
      </w:r>
      <w:r w:rsidRPr="000C7C2D" w:rsidR="000E221C">
        <w:t>following a spin-off of non-</w:t>
      </w:r>
      <w:r w:rsidRPr="000C7C2D" w:rsidR="00011EB6">
        <w:t>broadcast</w:t>
      </w:r>
      <w:r w:rsidRPr="000C7C2D" w:rsidR="00620D9D">
        <w:t xml:space="preserve"> Meredith</w:t>
      </w:r>
      <w:r w:rsidRPr="000C7C2D" w:rsidR="000E221C">
        <w:t xml:space="preserve"> assets to a new public company to be owned by Meredith’s existing shareholders, Gray will </w:t>
      </w:r>
      <w:r w:rsidRPr="000C7C2D" w:rsidR="00324A8B">
        <w:t>purchase</w:t>
      </w:r>
      <w:r w:rsidRPr="000C7C2D" w:rsidR="000E221C">
        <w:t xml:space="preserve"> </w:t>
      </w:r>
      <w:r w:rsidRPr="000C7C2D" w:rsidR="00492F7E">
        <w:t>all outstanding shares of Meredith with</w:t>
      </w:r>
      <w:r w:rsidRPr="000C7C2D" w:rsidR="002E1378">
        <w:t xml:space="preserve"> </w:t>
      </w:r>
      <w:r w:rsidRPr="000C7C2D" w:rsidR="00492F7E">
        <w:t>Meredith continuing as the surviving entity</w:t>
      </w:r>
      <w:r w:rsidRPr="000C7C2D" w:rsidR="009502D9">
        <w:t xml:space="preserve"> and becoming a wholly-owned subsidiary of Gray</w:t>
      </w:r>
      <w:r w:rsidRPr="000C7C2D" w:rsidR="001C2B63">
        <w:t xml:space="preserve"> (Merger)</w:t>
      </w:r>
      <w:r w:rsidRPr="000C7C2D" w:rsidR="009502D9">
        <w:t>.</w:t>
      </w:r>
      <w:r w:rsidRPr="000C7C2D" w:rsidR="008407D0">
        <w:t xml:space="preserve">  </w:t>
      </w:r>
      <w:r w:rsidRPr="000C7C2D" w:rsidR="008407D0">
        <w:rPr>
          <w:i/>
          <w:iCs/>
        </w:rPr>
        <w:t>See</w:t>
      </w:r>
      <w:r w:rsidRPr="000C7C2D" w:rsidR="008407D0">
        <w:t xml:space="preserve"> LMS File No. 0000145590, Comprehensive Exhibit at </w:t>
      </w:r>
      <w:r w:rsidRPr="000C7C2D" w:rsidR="00C11D2E">
        <w:t>4</w:t>
      </w:r>
      <w:r w:rsidRPr="000C7C2D" w:rsidR="008407D0">
        <w:t xml:space="preserve"> (Comprehensive Exhibit).</w:t>
      </w:r>
      <w:r w:rsidRPr="000C7C2D" w:rsidR="00231948">
        <w:t xml:space="preserve">  </w:t>
      </w:r>
      <w:r w:rsidRPr="000C7C2D" w:rsidR="0092624D">
        <w:t xml:space="preserve">Second, </w:t>
      </w:r>
      <w:r w:rsidRPr="000C7C2D" w:rsidR="005A64B0">
        <w:t xml:space="preserve">immediately following consummation of the Merger, </w:t>
      </w:r>
      <w:r w:rsidRPr="000C7C2D" w:rsidR="00740A87">
        <w:t xml:space="preserve">Gray will effectuate an internal reorganization </w:t>
      </w:r>
      <w:r w:rsidRPr="000C7C2D" w:rsidR="00B167A4">
        <w:t>where</w:t>
      </w:r>
      <w:r w:rsidRPr="000C7C2D" w:rsidR="00F14707">
        <w:t>, after a series of steps,</w:t>
      </w:r>
      <w:r w:rsidRPr="000C7C2D" w:rsidR="00B167A4">
        <w:t xml:space="preserve"> the </w:t>
      </w:r>
      <w:r w:rsidRPr="000C7C2D" w:rsidR="00603059">
        <w:t>Station Licenses</w:t>
      </w:r>
      <w:r w:rsidRPr="000C7C2D" w:rsidR="00B167A4">
        <w:t xml:space="preserve"> will be </w:t>
      </w:r>
      <w:r w:rsidRPr="000C7C2D" w:rsidR="00A00E74">
        <w:t xml:space="preserve">ultimately be </w:t>
      </w:r>
      <w:r w:rsidRPr="000C7C2D" w:rsidR="00B167A4">
        <w:t xml:space="preserve">assigned to Gray Television </w:t>
      </w:r>
      <w:r w:rsidRPr="000C7C2D" w:rsidR="00061B34">
        <w:t>Licensee</w:t>
      </w:r>
      <w:r w:rsidRPr="000C7C2D" w:rsidR="00B167A4">
        <w:t>, LLC.</w:t>
      </w:r>
      <w:r w:rsidRPr="000C7C2D" w:rsidR="0092624D">
        <w:t xml:space="preserve"> </w:t>
      </w:r>
      <w:r w:rsidRPr="000C7C2D" w:rsidR="00061B34">
        <w:t xml:space="preserve"> </w:t>
      </w:r>
      <w:r w:rsidRPr="000C7C2D" w:rsidR="008E1F81">
        <w:rPr>
          <w:i/>
          <w:iCs/>
        </w:rPr>
        <w:t xml:space="preserve">See </w:t>
      </w:r>
      <w:r w:rsidRPr="000C7C2D" w:rsidR="00061B34">
        <w:t>Comprehensive Exhibit at 4.</w:t>
      </w:r>
    </w:p>
  </w:footnote>
  <w:footnote w:id="5">
    <w:p w:rsidR="005954CC" w:rsidRPr="000C7C2D" w:rsidP="000C7C2D" w14:paraId="20CB9001" w14:textId="35F10A7A">
      <w:pPr>
        <w:pStyle w:val="FootnoteText"/>
        <w:spacing w:after="120"/>
      </w:pPr>
      <w:r w:rsidRPr="000C7C2D">
        <w:rPr>
          <w:rStyle w:val="FootnoteReference"/>
        </w:rPr>
        <w:footnoteRef/>
      </w:r>
      <w:r w:rsidRPr="000C7C2D">
        <w:t xml:space="preserve"> </w:t>
      </w:r>
      <w:r w:rsidRPr="000C7C2D">
        <w:rPr>
          <w:i/>
          <w:iCs/>
        </w:rPr>
        <w:t>See</w:t>
      </w:r>
      <w:r w:rsidRPr="000C7C2D">
        <w:t xml:space="preserve"> Comprehensive Exhibit at 3.</w:t>
      </w:r>
    </w:p>
  </w:footnote>
  <w:footnote w:id="6">
    <w:p w:rsidR="005954CC" w:rsidRPr="000C7C2D" w:rsidP="000C7C2D" w14:paraId="1FDFEC35" w14:textId="49FCC887">
      <w:pPr>
        <w:pStyle w:val="FootnoteText"/>
        <w:spacing w:after="120"/>
      </w:pPr>
      <w:r w:rsidRPr="000C7C2D">
        <w:rPr>
          <w:rStyle w:val="FootnoteReference"/>
        </w:rPr>
        <w:footnoteRef/>
      </w:r>
      <w:r w:rsidRPr="000C7C2D">
        <w:t xml:space="preserve"> </w:t>
      </w:r>
      <w:r w:rsidRPr="000C7C2D">
        <w:rPr>
          <w:i/>
          <w:iCs/>
        </w:rPr>
        <w:t xml:space="preserve">See </w:t>
      </w:r>
      <w:r w:rsidRPr="000C7C2D">
        <w:t>Rick Mattoon Informal Objection, MB Docket No. 21-234 (filed June 17, 2021) (Mattoon Objection); Mr. Antenna Las Vegas LLC Informal Objection, MB Docket No. 21-234 (filed August 26, 2021) (Mr. Antenna Objection); Mr. Antenna Las Vegas LLC Supplement to Informal Objection, MB Docket No. 21-234 (filed September 21, 2021) (Mr. Antenna Supplemental Objection).</w:t>
      </w:r>
      <w:r w:rsidRPr="000C7C2D" w:rsidR="00691C9D">
        <w:t xml:space="preserve">  </w:t>
      </w:r>
      <w:r w:rsidRPr="000C7C2D" w:rsidR="00FC73A3">
        <w:t xml:space="preserve">Neither </w:t>
      </w:r>
      <w:r w:rsidRPr="000C7C2D" w:rsidR="00C80EDA">
        <w:t>of the objectors</w:t>
      </w:r>
      <w:r w:rsidRPr="000C7C2D" w:rsidR="00691C9D">
        <w:t xml:space="preserve"> assert</w:t>
      </w:r>
      <w:r w:rsidRPr="000C7C2D" w:rsidR="00FC73A3">
        <w:t>ed</w:t>
      </w:r>
      <w:r w:rsidRPr="000C7C2D" w:rsidR="00691C9D">
        <w:t xml:space="preserve"> standing as a petitioner to deny pursuant to section 309(d)(1) of the Act</w:t>
      </w:r>
      <w:r w:rsidRPr="000C7C2D" w:rsidR="00FC73A3">
        <w:t>.</w:t>
      </w:r>
      <w:r w:rsidRPr="000C7C2D" w:rsidR="00691C9D">
        <w:t xml:space="preserve">  47 U.S.C. § 309(d)(1).</w:t>
      </w:r>
      <w:r w:rsidRPr="000C7C2D" w:rsidR="00A85983">
        <w:t xml:space="preserve">  In addition, Mr. Antenna</w:t>
      </w:r>
      <w:r w:rsidRPr="000C7C2D" w:rsidR="0078421B">
        <w:t>’s</w:t>
      </w:r>
      <w:r w:rsidRPr="000C7C2D" w:rsidR="00A85983">
        <w:t xml:space="preserve"> </w:t>
      </w:r>
      <w:r w:rsidRPr="000C7C2D" w:rsidR="0078421B">
        <w:t xml:space="preserve">objections were filed after the petition to deny deadline of July 25, 2021.  </w:t>
      </w:r>
      <w:r w:rsidRPr="000C7C2D" w:rsidR="004D14D5">
        <w:rPr>
          <w:i/>
          <w:iCs/>
        </w:rPr>
        <w:t>Id</w:t>
      </w:r>
      <w:r w:rsidRPr="000C7C2D" w:rsidR="0078421B">
        <w:t>.</w:t>
      </w:r>
      <w:r w:rsidRPr="000C7C2D" w:rsidR="002B1F49">
        <w:t xml:space="preserve">  </w:t>
      </w:r>
      <w:r w:rsidRPr="000C7C2D" w:rsidR="00553448">
        <w:t>In the interest of considering a full record, we will treat both as informal objections pursuant to section 73.3587 of the Commission’s rules.  47 CFR § 73.3587.</w:t>
      </w:r>
      <w:r w:rsidRPr="000C7C2D" w:rsidR="0058761D">
        <w:t xml:space="preserve"> </w:t>
      </w:r>
    </w:p>
  </w:footnote>
  <w:footnote w:id="7">
    <w:p w:rsidR="005954CC" w:rsidRPr="000C7C2D" w:rsidP="000C7C2D" w14:paraId="30892B2D" w14:textId="483EEDAB">
      <w:pPr>
        <w:pStyle w:val="FootnoteText"/>
        <w:spacing w:after="120"/>
      </w:pPr>
      <w:r w:rsidRPr="000C7C2D">
        <w:rPr>
          <w:rStyle w:val="FootnoteReference"/>
        </w:rPr>
        <w:footnoteRef/>
      </w:r>
      <w:r w:rsidRPr="000C7C2D">
        <w:t xml:space="preserve"> </w:t>
      </w:r>
      <w:r w:rsidRPr="000C7C2D">
        <w:rPr>
          <w:i/>
          <w:iCs/>
        </w:rPr>
        <w:t xml:space="preserve">See </w:t>
      </w:r>
      <w:r w:rsidRPr="000C7C2D">
        <w:t>47 U.S.C. § 310(d).</w:t>
      </w:r>
    </w:p>
  </w:footnote>
  <w:footnote w:id="8">
    <w:p w:rsidR="005954CC" w:rsidRPr="000C7C2D" w:rsidP="000C7C2D" w14:paraId="68BE6329" w14:textId="00DEDE21">
      <w:pPr>
        <w:pStyle w:val="FootnoteText"/>
        <w:widowControl w:val="0"/>
        <w:spacing w:after="120"/>
      </w:pPr>
      <w:r w:rsidRPr="000C7C2D">
        <w:rPr>
          <w:rStyle w:val="FootnoteReference"/>
        </w:rPr>
        <w:footnoteRef/>
      </w:r>
      <w:r w:rsidRPr="000C7C2D">
        <w:t xml:space="preserve"> </w:t>
      </w:r>
      <w:r w:rsidRPr="000C7C2D">
        <w:rPr>
          <w:i/>
          <w:iCs/>
        </w:rPr>
        <w:t>See</w:t>
      </w:r>
      <w:r w:rsidRPr="000C7C2D">
        <w:t xml:space="preserve"> Comprehensive Exhibit at 3-5, 33-34.  After Meredith received an unsolicited proposal from another party, Gray revised the initial Agreement and Plan of Merger to, </w:t>
      </w:r>
      <w:r w:rsidRPr="000C7C2D">
        <w:rPr>
          <w:i/>
          <w:iCs/>
        </w:rPr>
        <w:t>inter alia</w:t>
      </w:r>
      <w:r w:rsidRPr="000C7C2D">
        <w:t xml:space="preserve">, increase the purchase price from $14.51 per share to $16.99 per share, increasing the total purchase price from $2.7 billion to more than $2.8 billion.  </w:t>
      </w:r>
      <w:r w:rsidRPr="000C7C2D">
        <w:rPr>
          <w:i/>
          <w:iCs/>
        </w:rPr>
        <w:t xml:space="preserve">See </w:t>
      </w:r>
      <w:r w:rsidRPr="000C7C2D">
        <w:t xml:space="preserve">LMS File No. 0000145590, Amendment No 1. to Merger Agreement (filed June 4, 2021); LMS File No. 0000145590, Amendment Exhibit (filed June 4, 2021).  </w:t>
      </w:r>
    </w:p>
  </w:footnote>
  <w:footnote w:id="9">
    <w:p w:rsidR="005954CC" w:rsidRPr="000C7C2D" w:rsidP="000C7C2D" w14:paraId="1213E831" w14:textId="4AB7BB54">
      <w:pPr>
        <w:pStyle w:val="FootnoteText"/>
        <w:spacing w:after="120"/>
      </w:pPr>
      <w:r w:rsidRPr="000C7C2D">
        <w:rPr>
          <w:rStyle w:val="FootnoteReference"/>
        </w:rPr>
        <w:footnoteRef/>
      </w:r>
      <w:r w:rsidRPr="000C7C2D">
        <w:t xml:space="preserve"> </w:t>
      </w:r>
      <w:r w:rsidRPr="000C7C2D">
        <w:rPr>
          <w:i/>
          <w:iCs/>
        </w:rPr>
        <w:t xml:space="preserve">See </w:t>
      </w:r>
      <w:r w:rsidRPr="000C7C2D">
        <w:t>Comprehensive Exhibit at 4-5, 30-31; LMS File No. 0000145590, Amendment 3 (filed September 24, 2021) (Divestiture Amendment).</w:t>
      </w:r>
    </w:p>
  </w:footnote>
  <w:footnote w:id="10">
    <w:p w:rsidR="005954CC" w:rsidRPr="000C7C2D" w:rsidP="000C7C2D" w14:paraId="4669DB87" w14:textId="59687FB3">
      <w:pPr>
        <w:pStyle w:val="FootnoteText"/>
        <w:spacing w:after="120"/>
      </w:pPr>
      <w:r w:rsidRPr="000C7C2D">
        <w:rPr>
          <w:rStyle w:val="FootnoteReference"/>
        </w:rPr>
        <w:footnoteRef/>
      </w:r>
      <w:r w:rsidRPr="000C7C2D">
        <w:t xml:space="preserve"> </w:t>
      </w:r>
      <w:r w:rsidRPr="000C7C2D">
        <w:rPr>
          <w:i/>
          <w:iCs/>
        </w:rPr>
        <w:t xml:space="preserve">See </w:t>
      </w:r>
      <w:r w:rsidRPr="000C7C2D">
        <w:t>47 CFR § 73.3555(b)</w:t>
      </w:r>
      <w:r w:rsidRPr="000C7C2D">
        <w:rPr>
          <w:i/>
          <w:iCs/>
        </w:rPr>
        <w:t xml:space="preserve"> </w:t>
      </w:r>
      <w:r w:rsidRPr="000C7C2D">
        <w:t>(Local Television Ownership Rule); Comprehensive Exhibit at 4-5, 30-31; Divestiture Amendment.</w:t>
      </w:r>
    </w:p>
  </w:footnote>
  <w:footnote w:id="11">
    <w:p w:rsidR="005954CC" w:rsidRPr="000C7C2D" w:rsidP="000C7C2D" w14:paraId="6CDE9086" w14:textId="5DA76D9E">
      <w:pPr>
        <w:pStyle w:val="FootnoteText"/>
        <w:spacing w:after="120"/>
      </w:pPr>
      <w:r w:rsidRPr="000C7C2D">
        <w:rPr>
          <w:rStyle w:val="FootnoteReference"/>
        </w:rPr>
        <w:footnoteRef/>
      </w:r>
      <w:r w:rsidRPr="000C7C2D">
        <w:t xml:space="preserve"> </w:t>
      </w:r>
      <w:r w:rsidRPr="000C7C2D">
        <w:rPr>
          <w:i/>
          <w:iCs/>
        </w:rPr>
        <w:t xml:space="preserve">See </w:t>
      </w:r>
      <w:r w:rsidRPr="000C7C2D">
        <w:t>47 CFR § 73.3555(e); Comprehensive Exhibit at 3, 30.</w:t>
      </w:r>
    </w:p>
  </w:footnote>
  <w:footnote w:id="12">
    <w:p w:rsidR="005954CC" w:rsidRPr="000C7C2D" w:rsidP="000C7C2D" w14:paraId="0C80D8B4" w14:textId="77777777">
      <w:pPr>
        <w:pStyle w:val="FootnoteText"/>
        <w:widowControl w:val="0"/>
        <w:spacing w:after="120"/>
      </w:pPr>
      <w:r w:rsidRPr="000C7C2D">
        <w:rPr>
          <w:rStyle w:val="FootnoteReference"/>
        </w:rPr>
        <w:footnoteRef/>
      </w:r>
      <w:r w:rsidRPr="000C7C2D">
        <w:t xml:space="preserve"> 47 CFR § 73.3555(b)(1)</w:t>
      </w:r>
      <w:r w:rsidRPr="000C7C2D">
        <w:rPr>
          <w:i/>
        </w:rPr>
        <w:t>.</w:t>
      </w:r>
    </w:p>
  </w:footnote>
  <w:footnote w:id="13">
    <w:p w:rsidR="005954CC" w:rsidRPr="000C7C2D" w:rsidP="000C7C2D" w14:paraId="7AFEEC48" w14:textId="7821AFF8">
      <w:pPr>
        <w:pStyle w:val="FootnoteText"/>
        <w:spacing w:after="120"/>
      </w:pPr>
      <w:r w:rsidRPr="000C7C2D">
        <w:rPr>
          <w:rStyle w:val="FootnoteReference"/>
        </w:rPr>
        <w:footnoteRef/>
      </w:r>
      <w:r w:rsidRPr="000C7C2D">
        <w:t xml:space="preserve"> </w:t>
      </w:r>
      <w:r w:rsidRPr="000C7C2D">
        <w:rPr>
          <w:i/>
          <w:iCs/>
        </w:rPr>
        <w:t xml:space="preserve">See </w:t>
      </w:r>
      <w:r w:rsidRPr="000C7C2D">
        <w:t xml:space="preserve">47 CFR § 73.3555(b); Comprehensive Exhibit at 4-5. </w:t>
      </w:r>
    </w:p>
  </w:footnote>
  <w:footnote w:id="14">
    <w:p w:rsidR="005954CC" w:rsidRPr="000C7C2D" w:rsidP="000C7C2D" w14:paraId="20BB8337" w14:textId="65AE49A8">
      <w:pPr>
        <w:pStyle w:val="FootnoteText"/>
        <w:spacing w:after="120"/>
      </w:pPr>
      <w:r w:rsidRPr="000C7C2D">
        <w:rPr>
          <w:rStyle w:val="FootnoteReference"/>
        </w:rPr>
        <w:footnoteRef/>
      </w:r>
      <w:r w:rsidRPr="000C7C2D">
        <w:t xml:space="preserve"> </w:t>
      </w:r>
      <w:r w:rsidRPr="000C7C2D">
        <w:rPr>
          <w:i/>
          <w:iCs/>
        </w:rPr>
        <w:t xml:space="preserve">See </w:t>
      </w:r>
      <w:r w:rsidRPr="000C7C2D">
        <w:t>Comprehensive Exhibit at 4-5, 30-31; Divestiture Amendment.  On September 10, 2021, the Commission approved the assignment of WJRT to Flint TV</w:t>
      </w:r>
      <w:r w:rsidRPr="000C7C2D" w:rsidR="007F0EDE">
        <w:t xml:space="preserve"> License Company</w:t>
      </w:r>
      <w:r w:rsidRPr="000C7C2D">
        <w:t xml:space="preserve">, LLC.  </w:t>
      </w:r>
      <w:r w:rsidRPr="000C7C2D">
        <w:rPr>
          <w:i/>
          <w:iCs/>
        </w:rPr>
        <w:t xml:space="preserve">See </w:t>
      </w:r>
      <w:r w:rsidRPr="000C7C2D">
        <w:t>LMS File No. 0000153756, Assignment Application (filed July 23, 2021).  The assignment was consummated on September 23, 2021.  WJRT-TV Notice of Consummation, LMS File No. 0000160635 (filed September 29, 2021).</w:t>
      </w:r>
    </w:p>
  </w:footnote>
  <w:footnote w:id="15">
    <w:p w:rsidR="005954CC" w:rsidRPr="000C7C2D" w:rsidP="000C7C2D" w14:paraId="54A58E99" w14:textId="77777777">
      <w:pPr>
        <w:pStyle w:val="FootnoteText"/>
        <w:spacing w:after="120"/>
        <w:rPr>
          <w:i/>
          <w:iCs/>
        </w:rPr>
      </w:pPr>
      <w:r w:rsidRPr="000C7C2D">
        <w:rPr>
          <w:rStyle w:val="FootnoteReference"/>
        </w:rPr>
        <w:footnoteRef/>
      </w:r>
      <w:r w:rsidRPr="000C7C2D">
        <w:t xml:space="preserve"> Comprehensive Exhibit at 4-5, 30.  </w:t>
      </w:r>
    </w:p>
  </w:footnote>
  <w:footnote w:id="16">
    <w:p w:rsidR="005954CC" w:rsidRPr="000C7C2D" w:rsidP="000C7C2D" w14:paraId="2B0587C9" w14:textId="2FA156C3">
      <w:pPr>
        <w:pStyle w:val="FootnoteText"/>
        <w:spacing w:after="120"/>
      </w:pPr>
      <w:r w:rsidRPr="000C7C2D">
        <w:rPr>
          <w:rStyle w:val="FootnoteReference"/>
        </w:rPr>
        <w:footnoteRef/>
      </w:r>
      <w:r w:rsidRPr="000C7C2D">
        <w:t xml:space="preserve"> </w:t>
      </w:r>
      <w:r w:rsidRPr="000C7C2D">
        <w:rPr>
          <w:i/>
        </w:rPr>
        <w:t>Id.</w:t>
      </w:r>
      <w:r w:rsidRPr="000C7C2D">
        <w:rPr>
          <w:iCs/>
        </w:rPr>
        <w:t xml:space="preserve"> at 30-31, Exhibit D.</w:t>
      </w:r>
    </w:p>
  </w:footnote>
  <w:footnote w:id="17">
    <w:p w:rsidR="005954CC" w:rsidRPr="000C7C2D" w:rsidP="000C7C2D" w14:paraId="5669A358" w14:textId="62827D32">
      <w:pPr>
        <w:pStyle w:val="FootnoteText"/>
        <w:spacing w:after="120"/>
        <w:rPr>
          <w:i/>
          <w:iCs/>
        </w:rPr>
      </w:pPr>
      <w:r w:rsidRPr="000C7C2D">
        <w:rPr>
          <w:rStyle w:val="FootnoteReference"/>
        </w:rPr>
        <w:footnoteRef/>
      </w:r>
      <w:r w:rsidRPr="000C7C2D">
        <w:t xml:space="preserve"> </w:t>
      </w:r>
      <w:r w:rsidRPr="000C7C2D">
        <w:rPr>
          <w:i/>
          <w:iCs/>
        </w:rPr>
        <w:t>Id.</w:t>
      </w:r>
    </w:p>
  </w:footnote>
  <w:footnote w:id="18">
    <w:p w:rsidR="005954CC" w:rsidRPr="000C7C2D" w:rsidP="000C7C2D" w14:paraId="735D2102" w14:textId="2D67EBF8">
      <w:pPr>
        <w:pStyle w:val="FootnoteText"/>
        <w:spacing w:after="120"/>
      </w:pPr>
      <w:r w:rsidRPr="000C7C2D">
        <w:rPr>
          <w:rStyle w:val="FootnoteReference"/>
        </w:rPr>
        <w:footnoteRef/>
      </w:r>
      <w:r w:rsidRPr="000C7C2D">
        <w:t xml:space="preserve"> 47 CFR § 73.3555(e)(1) and (2).</w:t>
      </w:r>
    </w:p>
  </w:footnote>
  <w:footnote w:id="19">
    <w:p w:rsidR="005954CC" w:rsidRPr="000C7C2D" w:rsidP="000C7C2D" w14:paraId="56C83A1E" w14:textId="1DC773D1">
      <w:pPr>
        <w:pStyle w:val="FootnoteText"/>
        <w:spacing w:after="120"/>
        <w:rPr>
          <w:i/>
        </w:rPr>
      </w:pPr>
      <w:r w:rsidRPr="000C7C2D">
        <w:rPr>
          <w:rStyle w:val="FootnoteReference"/>
        </w:rPr>
        <w:footnoteRef/>
      </w:r>
      <w:r w:rsidRPr="000C7C2D">
        <w:t xml:space="preserve"> </w:t>
      </w:r>
      <w:r w:rsidRPr="000C7C2D">
        <w:rPr>
          <w:i/>
        </w:rPr>
        <w:t>Id.</w:t>
      </w:r>
    </w:p>
  </w:footnote>
  <w:footnote w:id="20">
    <w:p w:rsidR="005954CC" w:rsidRPr="000C7C2D" w:rsidP="000C7C2D" w14:paraId="49EFB8BF" w14:textId="566A9661">
      <w:pPr>
        <w:pStyle w:val="FootnoteText"/>
        <w:widowControl w:val="0"/>
        <w:spacing w:after="120"/>
      </w:pPr>
      <w:r w:rsidRPr="000C7C2D">
        <w:rPr>
          <w:rStyle w:val="FootnoteReference"/>
        </w:rPr>
        <w:footnoteRef/>
      </w:r>
      <w:r w:rsidRPr="000C7C2D">
        <w:t xml:space="preserve"> Comprehensive Exhibit at 3, 30.  Without the UHF Discount, Gray’s national ownership reach will be 36 percent, still below the national limit of 39 percent.  </w:t>
      </w:r>
      <w:r w:rsidRPr="000C7C2D">
        <w:rPr>
          <w:i/>
          <w:iCs/>
        </w:rPr>
        <w:t>Id.</w:t>
      </w:r>
    </w:p>
  </w:footnote>
  <w:footnote w:id="21">
    <w:p w:rsidR="005954CC" w:rsidRPr="000C7C2D" w:rsidP="000C7C2D" w14:paraId="703FCAA5" w14:textId="6434B5A8">
      <w:pPr>
        <w:pStyle w:val="FootnoteText"/>
        <w:spacing w:after="120"/>
      </w:pPr>
      <w:r w:rsidRPr="000C7C2D">
        <w:rPr>
          <w:rStyle w:val="FootnoteReference"/>
        </w:rPr>
        <w:footnoteRef/>
      </w:r>
      <w:r w:rsidRPr="000C7C2D">
        <w:t xml:space="preserve"> </w:t>
      </w:r>
      <w:r w:rsidRPr="000C7C2D">
        <w:rPr>
          <w:i/>
          <w:iCs/>
        </w:rPr>
        <w:t>See id.</w:t>
      </w:r>
      <w:r w:rsidRPr="000C7C2D">
        <w:t xml:space="preserve"> at 5-9.</w:t>
      </w:r>
    </w:p>
  </w:footnote>
  <w:footnote w:id="22">
    <w:p w:rsidR="005954CC" w:rsidRPr="000C7C2D" w:rsidP="000C7C2D" w14:paraId="0DF9F74F" w14:textId="0B76B541">
      <w:pPr>
        <w:pStyle w:val="FootnoteText"/>
        <w:spacing w:after="120"/>
      </w:pPr>
      <w:r w:rsidRPr="000C7C2D">
        <w:rPr>
          <w:rStyle w:val="FootnoteReference"/>
        </w:rPr>
        <w:footnoteRef/>
      </w:r>
      <w:r w:rsidRPr="000C7C2D">
        <w:t xml:space="preserve"> </w:t>
      </w:r>
      <w:r w:rsidRPr="000C7C2D">
        <w:rPr>
          <w:i/>
          <w:iCs/>
        </w:rPr>
        <w:t xml:space="preserve">See id. </w:t>
      </w:r>
      <w:r w:rsidRPr="000C7C2D">
        <w:t>at 5-7.</w:t>
      </w:r>
    </w:p>
  </w:footnote>
  <w:footnote w:id="23">
    <w:p w:rsidR="005954CC" w:rsidRPr="000C7C2D" w:rsidP="000C7C2D" w14:paraId="601A78C0" w14:textId="1879C6D7">
      <w:pPr>
        <w:pStyle w:val="FootnoteText"/>
        <w:spacing w:after="120"/>
      </w:pPr>
      <w:r w:rsidRPr="000C7C2D">
        <w:rPr>
          <w:rStyle w:val="FootnoteReference"/>
        </w:rPr>
        <w:footnoteRef/>
      </w:r>
      <w:r w:rsidRPr="000C7C2D">
        <w:t xml:space="preserve"> </w:t>
      </w:r>
      <w:r w:rsidRPr="000C7C2D">
        <w:rPr>
          <w:i/>
          <w:iCs/>
        </w:rPr>
        <w:t xml:space="preserve">Id. </w:t>
      </w:r>
      <w:r w:rsidRPr="000C7C2D">
        <w:t>at 6-7.</w:t>
      </w:r>
      <w:r w:rsidRPr="000C7C2D" w:rsidR="00E60DCD">
        <w:t xml:space="preserve">  </w:t>
      </w:r>
      <w:r w:rsidRPr="000C7C2D" w:rsidR="00E60DCD">
        <w:rPr>
          <w:rFonts w:eastAsia="Calibri"/>
        </w:rPr>
        <w:t xml:space="preserve">Last year, the DC Bureau produced more than 7,000 such stories covering the activities of nearly 300 lawmakers, as well as the COVID-19 pandemic.  </w:t>
      </w:r>
      <w:r w:rsidRPr="000C7C2D" w:rsidR="00E60DCD">
        <w:rPr>
          <w:rFonts w:eastAsia="Calibri"/>
          <w:i/>
          <w:iCs/>
        </w:rPr>
        <w:t>Id.</w:t>
      </w:r>
    </w:p>
  </w:footnote>
  <w:footnote w:id="24">
    <w:p w:rsidR="005954CC" w:rsidRPr="000C7C2D" w:rsidP="000C7C2D" w14:paraId="5DF3DD08" w14:textId="72E9351C">
      <w:pPr>
        <w:pStyle w:val="FootnoteText"/>
        <w:spacing w:after="120"/>
      </w:pPr>
      <w:r w:rsidRPr="000C7C2D">
        <w:rPr>
          <w:rStyle w:val="FootnoteReference"/>
        </w:rPr>
        <w:footnoteRef/>
      </w:r>
      <w:r w:rsidRPr="000C7C2D">
        <w:t xml:space="preserve"> </w:t>
      </w:r>
      <w:r w:rsidRPr="000C7C2D" w:rsidR="00A050FE">
        <w:t xml:space="preserve">As an example, the Applicants report that in the beginning of the COVID-19 pandemic, Investigate TV journalists created a tool to track coronavirus infections, deaths, and recoveries across every county in the country, allowing local Gray stations to report on the local impact of COVID-19 in their communities.  </w:t>
      </w:r>
      <w:r w:rsidRPr="000C7C2D">
        <w:rPr>
          <w:i/>
          <w:iCs/>
        </w:rPr>
        <w:t xml:space="preserve">Id. </w:t>
      </w:r>
      <w:r w:rsidRPr="000C7C2D">
        <w:t>at 7-8.</w:t>
      </w:r>
    </w:p>
  </w:footnote>
  <w:footnote w:id="25">
    <w:p w:rsidR="005954CC" w:rsidRPr="000C7C2D" w:rsidP="000C7C2D" w14:paraId="5AA117F7" w14:textId="039D2FD7">
      <w:pPr>
        <w:pStyle w:val="FootnoteText"/>
        <w:spacing w:after="120"/>
      </w:pPr>
      <w:r w:rsidRPr="000C7C2D">
        <w:rPr>
          <w:rStyle w:val="FootnoteReference"/>
        </w:rPr>
        <w:footnoteRef/>
      </w:r>
      <w:r w:rsidRPr="000C7C2D">
        <w:t xml:space="preserve"> </w:t>
      </w:r>
      <w:r w:rsidRPr="000C7C2D">
        <w:rPr>
          <w:i/>
          <w:iCs/>
        </w:rPr>
        <w:t xml:space="preserve">Id. </w:t>
      </w:r>
      <w:r w:rsidRPr="000C7C2D">
        <w:t>at 6.</w:t>
      </w:r>
    </w:p>
  </w:footnote>
  <w:footnote w:id="26">
    <w:p w:rsidR="005954CC" w:rsidRPr="000C7C2D" w:rsidP="000C7C2D" w14:paraId="028B03DF" w14:textId="4B1123CF">
      <w:pPr>
        <w:pStyle w:val="FootnoteText"/>
        <w:spacing w:after="120"/>
      </w:pPr>
      <w:r w:rsidRPr="000C7C2D">
        <w:rPr>
          <w:rStyle w:val="FootnoteReference"/>
        </w:rPr>
        <w:footnoteRef/>
      </w:r>
      <w:r w:rsidRPr="000C7C2D">
        <w:t xml:space="preserve"> </w:t>
      </w:r>
      <w:r w:rsidRPr="000C7C2D">
        <w:rPr>
          <w:i/>
          <w:iCs/>
        </w:rPr>
        <w:t xml:space="preserve">See id. </w:t>
      </w:r>
      <w:r w:rsidRPr="000C7C2D">
        <w:t>at 6, 31.</w:t>
      </w:r>
    </w:p>
  </w:footnote>
  <w:footnote w:id="27">
    <w:p w:rsidR="005954CC" w:rsidRPr="000C7C2D" w:rsidP="000C7C2D" w14:paraId="5BA4CCA1" w14:textId="78B2B65D">
      <w:pPr>
        <w:pStyle w:val="FootnoteText"/>
        <w:spacing w:after="120"/>
      </w:pPr>
      <w:r w:rsidRPr="000C7C2D">
        <w:rPr>
          <w:rStyle w:val="FootnoteReference"/>
        </w:rPr>
        <w:footnoteRef/>
      </w:r>
      <w:r w:rsidRPr="000C7C2D">
        <w:t xml:space="preserve"> </w:t>
      </w:r>
      <w:r w:rsidRPr="000C7C2D">
        <w:rPr>
          <w:i/>
          <w:iCs/>
        </w:rPr>
        <w:t xml:space="preserve">See id. </w:t>
      </w:r>
      <w:r w:rsidRPr="000C7C2D">
        <w:t>at 6.</w:t>
      </w:r>
    </w:p>
  </w:footnote>
  <w:footnote w:id="28">
    <w:p w:rsidR="005954CC" w:rsidRPr="000C7C2D" w:rsidP="000C7C2D" w14:paraId="715DB5CD" w14:textId="05F3AC78">
      <w:pPr>
        <w:pStyle w:val="FootnoteText"/>
        <w:spacing w:after="120"/>
        <w:rPr>
          <w:i/>
          <w:iCs/>
        </w:rPr>
      </w:pPr>
      <w:r w:rsidRPr="000C7C2D">
        <w:rPr>
          <w:rStyle w:val="FootnoteReference"/>
        </w:rPr>
        <w:footnoteRef/>
      </w:r>
      <w:r w:rsidRPr="000C7C2D">
        <w:t xml:space="preserve"> </w:t>
      </w:r>
      <w:r w:rsidRPr="000C7C2D">
        <w:rPr>
          <w:i/>
          <w:iCs/>
        </w:rPr>
        <w:t>Id.</w:t>
      </w:r>
    </w:p>
  </w:footnote>
  <w:footnote w:id="29">
    <w:p w:rsidR="005954CC" w:rsidRPr="000C7C2D" w:rsidP="000C7C2D" w14:paraId="1DD33E45" w14:textId="4802719F">
      <w:pPr>
        <w:pStyle w:val="FootnoteText"/>
        <w:widowControl w:val="0"/>
        <w:spacing w:after="120"/>
      </w:pPr>
      <w:r w:rsidRPr="000C7C2D">
        <w:rPr>
          <w:rStyle w:val="FootnoteReference"/>
        </w:rPr>
        <w:footnoteRef/>
      </w:r>
      <w:r w:rsidRPr="000C7C2D">
        <w:t xml:space="preserve"> </w:t>
      </w:r>
      <w:r w:rsidRPr="000C7C2D">
        <w:rPr>
          <w:i/>
        </w:rPr>
        <w:t xml:space="preserve">See Media Bureau Establishes Pleading Cycle for Applications Filed for the Assignment of Broadcast Licenses from Meredith Corporation to Gray Television, Inc., and Designates Proceeding as Permit-But-Disclose for Ex </w:t>
      </w:r>
      <w:r w:rsidRPr="000C7C2D">
        <w:rPr>
          <w:i/>
        </w:rPr>
        <w:t>Parte</w:t>
      </w:r>
      <w:r w:rsidRPr="000C7C2D">
        <w:rPr>
          <w:i/>
        </w:rPr>
        <w:t xml:space="preserve"> Purposes</w:t>
      </w:r>
      <w:r w:rsidRPr="000C7C2D">
        <w:t xml:space="preserve">, MB Docket No. 21-621, Public Notice (MB 2021).  </w:t>
      </w:r>
    </w:p>
  </w:footnote>
  <w:footnote w:id="30">
    <w:p w:rsidR="005954CC" w:rsidRPr="000C7C2D" w:rsidP="000C7C2D" w14:paraId="21A963F4" w14:textId="7DAC76A2">
      <w:pPr>
        <w:pStyle w:val="FootnoteText"/>
        <w:spacing w:after="120"/>
      </w:pPr>
      <w:r w:rsidRPr="000C7C2D">
        <w:rPr>
          <w:rStyle w:val="FootnoteReference"/>
        </w:rPr>
        <w:footnoteRef/>
      </w:r>
      <w:r w:rsidRPr="000C7C2D">
        <w:t xml:space="preserve"> </w:t>
      </w:r>
      <w:r w:rsidRPr="000C7C2D">
        <w:rPr>
          <w:i/>
          <w:iCs/>
        </w:rPr>
        <w:t xml:space="preserve">See </w:t>
      </w:r>
      <w:r w:rsidRPr="000C7C2D">
        <w:t>Mattoon Objection.</w:t>
      </w:r>
    </w:p>
  </w:footnote>
  <w:footnote w:id="31">
    <w:p w:rsidR="005954CC" w:rsidRPr="000C7C2D" w:rsidP="000C7C2D" w14:paraId="38C1C404" w14:textId="67A5B8D3">
      <w:pPr>
        <w:pStyle w:val="FootnoteText"/>
        <w:spacing w:after="120"/>
      </w:pPr>
      <w:r w:rsidRPr="000C7C2D">
        <w:rPr>
          <w:rStyle w:val="FootnoteReference"/>
        </w:rPr>
        <w:footnoteRef/>
      </w:r>
      <w:r w:rsidRPr="000C7C2D">
        <w:t xml:space="preserve"> </w:t>
      </w:r>
      <w:r w:rsidRPr="000C7C2D">
        <w:rPr>
          <w:i/>
          <w:iCs/>
        </w:rPr>
        <w:t xml:space="preserve">See </w:t>
      </w:r>
      <w:r w:rsidRPr="000C7C2D">
        <w:t>Mr. Antenna Objection at 1; Mr. Antenna Supplemental Objection at 1.</w:t>
      </w:r>
      <w:bookmarkStart w:id="7" w:name="_Hlk85101745"/>
      <w:r w:rsidRPr="000C7C2D">
        <w:t xml:space="preserve"> </w:t>
      </w:r>
      <w:bookmarkEnd w:id="7"/>
    </w:p>
  </w:footnote>
  <w:footnote w:id="32">
    <w:p w:rsidR="005954CC" w:rsidRPr="000C7C2D" w:rsidP="000C7C2D" w14:paraId="1D1C1BAE" w14:textId="23FA9BB3">
      <w:pPr>
        <w:pStyle w:val="FootnoteText"/>
        <w:spacing w:after="120"/>
        <w:rPr>
          <w:b/>
          <w:bCs/>
        </w:rPr>
      </w:pPr>
      <w:r w:rsidRPr="000C7C2D">
        <w:rPr>
          <w:rStyle w:val="FootnoteReference"/>
        </w:rPr>
        <w:footnoteRef/>
      </w:r>
      <w:r w:rsidRPr="000C7C2D">
        <w:t xml:space="preserve"> </w:t>
      </w:r>
      <w:r w:rsidRPr="000C7C2D">
        <w:rPr>
          <w:i/>
          <w:iCs/>
        </w:rPr>
        <w:t xml:space="preserve">See </w:t>
      </w:r>
      <w:r w:rsidRPr="000C7C2D">
        <w:t>Mattoon Objection.</w:t>
      </w:r>
    </w:p>
  </w:footnote>
  <w:footnote w:id="33">
    <w:p w:rsidR="005954CC" w:rsidRPr="000C7C2D" w:rsidP="000C7C2D" w14:paraId="2F8AEED4" w14:textId="04FE14C8">
      <w:pPr>
        <w:pStyle w:val="FootnoteText"/>
        <w:spacing w:after="120"/>
      </w:pPr>
      <w:r w:rsidRPr="000C7C2D">
        <w:rPr>
          <w:rStyle w:val="FootnoteReference"/>
        </w:rPr>
        <w:footnoteRef/>
      </w:r>
      <w:r w:rsidRPr="000C7C2D">
        <w:t xml:space="preserve"> </w:t>
      </w:r>
      <w:r w:rsidRPr="000C7C2D">
        <w:rPr>
          <w:i/>
          <w:iCs/>
        </w:rPr>
        <w:t xml:space="preserve">See </w:t>
      </w:r>
      <w:r w:rsidRPr="000C7C2D">
        <w:t>Gray and Meredith Response to Mattoon Objection, MB Docket No. 21-234, at 2 (filed July 12, 2021).</w:t>
      </w:r>
    </w:p>
  </w:footnote>
  <w:footnote w:id="34">
    <w:p w:rsidR="005954CC" w:rsidRPr="000C7C2D" w:rsidP="000C7C2D" w14:paraId="1F000538" w14:textId="5CDF5BC1">
      <w:pPr>
        <w:pStyle w:val="FootnoteText"/>
        <w:spacing w:after="120"/>
      </w:pPr>
      <w:r w:rsidRPr="000C7C2D">
        <w:rPr>
          <w:rStyle w:val="FootnoteReference"/>
        </w:rPr>
        <w:footnoteRef/>
      </w:r>
      <w:r w:rsidRPr="000C7C2D">
        <w:t xml:space="preserve"> Mr. Antenna Objection at 2.</w:t>
      </w:r>
    </w:p>
  </w:footnote>
  <w:footnote w:id="35">
    <w:p w:rsidR="005954CC" w:rsidRPr="000C7C2D" w:rsidP="000C7C2D" w14:paraId="6698FEBD" w14:textId="26B3D54D">
      <w:pPr>
        <w:pStyle w:val="FootnoteText"/>
        <w:spacing w:after="120"/>
        <w:rPr>
          <w:i/>
          <w:iCs/>
        </w:rPr>
      </w:pPr>
      <w:r w:rsidRPr="000C7C2D">
        <w:rPr>
          <w:rStyle w:val="FootnoteReference"/>
        </w:rPr>
        <w:footnoteRef/>
      </w:r>
      <w:r w:rsidRPr="000C7C2D">
        <w:t xml:space="preserve"> </w:t>
      </w:r>
      <w:r w:rsidRPr="000C7C2D">
        <w:rPr>
          <w:i/>
          <w:iCs/>
        </w:rPr>
        <w:t>Id.</w:t>
      </w:r>
    </w:p>
  </w:footnote>
  <w:footnote w:id="36">
    <w:p w:rsidR="005954CC" w:rsidRPr="000C7C2D" w:rsidP="000C7C2D" w14:paraId="344EA68B" w14:textId="1F1F9A20">
      <w:pPr>
        <w:pStyle w:val="FootnoteText"/>
        <w:spacing w:after="120"/>
      </w:pPr>
      <w:r w:rsidRPr="000C7C2D">
        <w:rPr>
          <w:rStyle w:val="FootnoteReference"/>
        </w:rPr>
        <w:footnoteRef/>
      </w:r>
      <w:r w:rsidRPr="000C7C2D">
        <w:t xml:space="preserve"> </w:t>
      </w:r>
      <w:r w:rsidRPr="000C7C2D">
        <w:rPr>
          <w:i/>
          <w:iCs/>
        </w:rPr>
        <w:t xml:space="preserve">See id. </w:t>
      </w:r>
      <w:r w:rsidRPr="000C7C2D">
        <w:t>at 5-6.</w:t>
      </w:r>
    </w:p>
  </w:footnote>
  <w:footnote w:id="37">
    <w:p w:rsidR="005954CC" w:rsidRPr="000C7C2D" w:rsidP="000C7C2D" w14:paraId="2621B23A" w14:textId="66C5F676">
      <w:pPr>
        <w:pStyle w:val="FootnoteText"/>
        <w:spacing w:after="120"/>
      </w:pPr>
      <w:r w:rsidRPr="000C7C2D">
        <w:rPr>
          <w:rStyle w:val="FootnoteReference"/>
        </w:rPr>
        <w:footnoteRef/>
      </w:r>
      <w:r w:rsidRPr="000C7C2D">
        <w:t xml:space="preserve"> </w:t>
      </w:r>
      <w:r w:rsidRPr="000C7C2D">
        <w:rPr>
          <w:i/>
          <w:iCs/>
        </w:rPr>
        <w:t xml:space="preserve">See id. </w:t>
      </w:r>
      <w:r w:rsidRPr="000C7C2D">
        <w:t xml:space="preserve">at 6-9.  Mr. Antenna also states that a recent Notice of Apparent Liability for Forfeiture (NAL) issued against Gray in connection with an apparent violation of 47 CFR § 73.3555(b)(1) suggests that the Commission cannot “count on Gray to act in good faith.”  </w:t>
      </w:r>
      <w:r w:rsidRPr="000C7C2D">
        <w:rPr>
          <w:i/>
          <w:iCs/>
        </w:rPr>
        <w:t xml:space="preserve">Id. </w:t>
      </w:r>
      <w:r w:rsidRPr="000C7C2D">
        <w:t xml:space="preserve">at 8-9.  </w:t>
      </w:r>
      <w:r w:rsidRPr="000C7C2D">
        <w:rPr>
          <w:i/>
          <w:iCs/>
        </w:rPr>
        <w:t>See also Gray Television, Inc.</w:t>
      </w:r>
      <w:r w:rsidRPr="000C7C2D">
        <w:t xml:space="preserve">, Notice of Apparent Liability for Forfeiture, FCC 21-81 (July 7, 2021) (Anchorage NAL).  We note that the Anchorage NAL did not raise character as an issue.  In addition, we agree with Gray that the Anchorage NAL contains preliminary allegations in a matter unrelated to this Transaction.  </w:t>
      </w:r>
      <w:r w:rsidRPr="000C7C2D">
        <w:rPr>
          <w:i/>
          <w:iCs/>
        </w:rPr>
        <w:t xml:space="preserve">See </w:t>
      </w:r>
      <w:r w:rsidRPr="000C7C2D">
        <w:t>Gray Response to Mr. Antenna Objection, MB Docket No. 21-234, at 2, n.2 (filed September 8, 2021) (Gray Response).</w:t>
      </w:r>
    </w:p>
  </w:footnote>
  <w:footnote w:id="38">
    <w:p w:rsidR="005954CC" w:rsidRPr="000C7C2D" w:rsidP="000C7C2D" w14:paraId="3058B5FE" w14:textId="5217EDE4">
      <w:pPr>
        <w:pStyle w:val="FootnoteText"/>
        <w:spacing w:after="120"/>
      </w:pPr>
      <w:r w:rsidRPr="000C7C2D">
        <w:rPr>
          <w:rStyle w:val="FootnoteReference"/>
        </w:rPr>
        <w:footnoteRef/>
      </w:r>
      <w:r w:rsidRPr="000C7C2D">
        <w:t xml:space="preserve"> Mr. Antenna Objection</w:t>
      </w:r>
      <w:r w:rsidRPr="000C7C2D">
        <w:rPr>
          <w:i/>
          <w:iCs/>
        </w:rPr>
        <w:t xml:space="preserve"> </w:t>
      </w:r>
      <w:r w:rsidRPr="000C7C2D">
        <w:t>at 9-10.  In Mr. Antenna’s Supplemental Objection he adds a third potential condition:  require Gray to air public service announcements encouraging over-the-air viewership.  Mr. Antenna Supplemental Objection at 6-7.</w:t>
      </w:r>
    </w:p>
  </w:footnote>
  <w:footnote w:id="39">
    <w:p w:rsidR="005954CC" w:rsidRPr="000C7C2D" w:rsidP="000C7C2D" w14:paraId="11DF050E" w14:textId="4108FB9A">
      <w:pPr>
        <w:pStyle w:val="FootnoteText"/>
        <w:spacing w:after="120"/>
      </w:pPr>
      <w:r w:rsidRPr="000C7C2D">
        <w:rPr>
          <w:rStyle w:val="FootnoteReference"/>
        </w:rPr>
        <w:footnoteRef/>
      </w:r>
      <w:r w:rsidRPr="000C7C2D">
        <w:t xml:space="preserve"> Meredith Response to Mr. Antenna Objection, MB Docket No. 21-234, at 2 (filed September 3, 2021) (Meredith Response).</w:t>
      </w:r>
    </w:p>
  </w:footnote>
  <w:footnote w:id="40">
    <w:p w:rsidR="005954CC" w:rsidRPr="000C7C2D" w:rsidP="000C7C2D" w14:paraId="67FF012D" w14:textId="6DE71CEB">
      <w:pPr>
        <w:pStyle w:val="FootnoteText"/>
        <w:spacing w:after="120"/>
      </w:pPr>
      <w:r w:rsidRPr="000C7C2D">
        <w:rPr>
          <w:rStyle w:val="FootnoteReference"/>
        </w:rPr>
        <w:footnoteRef/>
      </w:r>
      <w:r w:rsidRPr="000C7C2D">
        <w:t xml:space="preserve"> </w:t>
      </w:r>
      <w:r w:rsidRPr="000C7C2D">
        <w:rPr>
          <w:i/>
          <w:iCs/>
        </w:rPr>
        <w:t xml:space="preserve">Id. </w:t>
      </w:r>
      <w:r w:rsidRPr="000C7C2D">
        <w:t>at 3, 12.</w:t>
      </w:r>
    </w:p>
  </w:footnote>
  <w:footnote w:id="41">
    <w:p w:rsidR="005954CC" w:rsidRPr="000C7C2D" w:rsidP="000C7C2D" w14:paraId="33101442" w14:textId="64A9D5BA">
      <w:pPr>
        <w:pStyle w:val="FootnoteText"/>
        <w:spacing w:after="120"/>
      </w:pPr>
      <w:r w:rsidRPr="000C7C2D">
        <w:rPr>
          <w:rStyle w:val="FootnoteReference"/>
        </w:rPr>
        <w:footnoteRef/>
      </w:r>
      <w:r w:rsidRPr="000C7C2D">
        <w:t xml:space="preserve"> </w:t>
      </w:r>
      <w:r w:rsidRPr="000C7C2D">
        <w:rPr>
          <w:i/>
          <w:iCs/>
        </w:rPr>
        <w:t xml:space="preserve">Id. </w:t>
      </w:r>
      <w:r w:rsidRPr="000C7C2D">
        <w:t>at 2, 20-21.</w:t>
      </w:r>
    </w:p>
  </w:footnote>
  <w:footnote w:id="42">
    <w:p w:rsidR="005954CC" w:rsidRPr="000C7C2D" w:rsidP="000C7C2D" w14:paraId="26C24970" w14:textId="4182DAA7">
      <w:pPr>
        <w:pStyle w:val="FootnoteText"/>
        <w:spacing w:after="120"/>
      </w:pPr>
      <w:r w:rsidRPr="000C7C2D">
        <w:rPr>
          <w:rStyle w:val="FootnoteReference"/>
        </w:rPr>
        <w:footnoteRef/>
      </w:r>
      <w:r w:rsidRPr="000C7C2D">
        <w:t xml:space="preserve"> </w:t>
      </w:r>
      <w:r w:rsidRPr="000C7C2D">
        <w:rPr>
          <w:i/>
          <w:iCs/>
        </w:rPr>
        <w:t xml:space="preserve">Id. </w:t>
      </w:r>
      <w:r w:rsidRPr="000C7C2D">
        <w:t>at 3-4.</w:t>
      </w:r>
    </w:p>
  </w:footnote>
  <w:footnote w:id="43">
    <w:p w:rsidR="005954CC" w:rsidRPr="000C7C2D" w:rsidP="000C7C2D" w14:paraId="75B6627A" w14:textId="4B1F1A11">
      <w:pPr>
        <w:pStyle w:val="FootnoteText"/>
        <w:spacing w:after="120"/>
        <w:rPr>
          <w:i/>
          <w:iCs/>
        </w:rPr>
      </w:pPr>
      <w:r w:rsidRPr="000C7C2D">
        <w:rPr>
          <w:rStyle w:val="FootnoteReference"/>
        </w:rPr>
        <w:footnoteRef/>
      </w:r>
      <w:r w:rsidRPr="000C7C2D">
        <w:t xml:space="preserve"> </w:t>
      </w:r>
      <w:r w:rsidRPr="000C7C2D">
        <w:rPr>
          <w:i/>
          <w:iCs/>
        </w:rPr>
        <w:t>Id.</w:t>
      </w:r>
    </w:p>
  </w:footnote>
  <w:footnote w:id="44">
    <w:p w:rsidR="005954CC" w:rsidRPr="000C7C2D" w:rsidP="000C7C2D" w14:paraId="59F08B00" w14:textId="408823F0">
      <w:pPr>
        <w:pStyle w:val="FootnoteText"/>
        <w:spacing w:after="120"/>
      </w:pPr>
      <w:r w:rsidRPr="000C7C2D">
        <w:rPr>
          <w:rStyle w:val="FootnoteReference"/>
        </w:rPr>
        <w:footnoteRef/>
      </w:r>
      <w:r w:rsidRPr="000C7C2D">
        <w:t xml:space="preserve"> </w:t>
      </w:r>
      <w:r w:rsidRPr="000C7C2D">
        <w:rPr>
          <w:i/>
          <w:iCs/>
        </w:rPr>
        <w:t xml:space="preserve">Id.  </w:t>
      </w:r>
      <w:r w:rsidRPr="000C7C2D">
        <w:t xml:space="preserve">To support its assertions Meredith attaches, among other things, sworn declarations by Patrick McCreery, President of Meredith’s Local Media Group, and Michael </w:t>
      </w:r>
      <w:r w:rsidRPr="000C7C2D">
        <w:t>Korr</w:t>
      </w:r>
      <w:r w:rsidRPr="000C7C2D">
        <w:t xml:space="preserve">, KVVU’s General Manager.  </w:t>
      </w:r>
      <w:r w:rsidRPr="000C7C2D">
        <w:rPr>
          <w:i/>
          <w:iCs/>
        </w:rPr>
        <w:t xml:space="preserve">Id. </w:t>
      </w:r>
      <w:r w:rsidRPr="000C7C2D">
        <w:t>at 20-21.</w:t>
      </w:r>
    </w:p>
  </w:footnote>
  <w:footnote w:id="45">
    <w:p w:rsidR="005954CC" w:rsidRPr="000C7C2D" w:rsidP="000C7C2D" w14:paraId="5EBD3C7F" w14:textId="5F0182C8">
      <w:pPr>
        <w:pStyle w:val="FootnoteText"/>
        <w:spacing w:after="120"/>
      </w:pPr>
      <w:r w:rsidRPr="000C7C2D">
        <w:rPr>
          <w:rStyle w:val="FootnoteReference"/>
        </w:rPr>
        <w:footnoteRef/>
      </w:r>
      <w:r w:rsidRPr="000C7C2D">
        <w:t xml:space="preserve"> </w:t>
      </w:r>
      <w:r w:rsidRPr="000C7C2D">
        <w:rPr>
          <w:i/>
          <w:iCs/>
        </w:rPr>
        <w:t xml:space="preserve">See id. </w:t>
      </w:r>
      <w:r w:rsidRPr="000C7C2D">
        <w:t xml:space="preserve">at 4, 7-8.  Meredith attaches a copy of this email to its response and represents that Mr. Antenna had not responded to KPHO’s email as of the date of Meredith’s response.  </w:t>
      </w:r>
      <w:r w:rsidRPr="000C7C2D">
        <w:rPr>
          <w:i/>
          <w:iCs/>
        </w:rPr>
        <w:t xml:space="preserve">Id. </w:t>
      </w:r>
      <w:r w:rsidRPr="000C7C2D">
        <w:t>at 3-4.</w:t>
      </w:r>
    </w:p>
  </w:footnote>
  <w:footnote w:id="46">
    <w:p w:rsidR="005954CC" w:rsidRPr="000C7C2D" w:rsidP="000C7C2D" w14:paraId="39A62D1F" w14:textId="77777777">
      <w:pPr>
        <w:pStyle w:val="FootnoteText"/>
        <w:spacing w:after="120"/>
      </w:pPr>
      <w:r w:rsidRPr="000C7C2D">
        <w:rPr>
          <w:rStyle w:val="FootnoteReference"/>
        </w:rPr>
        <w:footnoteRef/>
      </w:r>
      <w:r w:rsidRPr="000C7C2D">
        <w:t xml:space="preserve"> </w:t>
      </w:r>
      <w:r w:rsidRPr="000C7C2D">
        <w:rPr>
          <w:i/>
          <w:iCs/>
        </w:rPr>
        <w:t xml:space="preserve">See id. </w:t>
      </w:r>
      <w:r w:rsidRPr="000C7C2D">
        <w:t>at 6-9.</w:t>
      </w:r>
    </w:p>
  </w:footnote>
  <w:footnote w:id="47">
    <w:p w:rsidR="005954CC" w:rsidRPr="000C7C2D" w:rsidP="000C7C2D" w14:paraId="04E08313" w14:textId="74D1EB73">
      <w:pPr>
        <w:pStyle w:val="FootnoteText"/>
        <w:spacing w:after="120"/>
      </w:pPr>
      <w:r w:rsidRPr="000C7C2D">
        <w:rPr>
          <w:rStyle w:val="FootnoteReference"/>
        </w:rPr>
        <w:footnoteRef/>
      </w:r>
      <w:r w:rsidRPr="000C7C2D">
        <w:t xml:space="preserve"> Gray Response at 1-3.  Gray also submits a sworn declaration by a senior executive, Robert Folliard, stating that Gray has never had a policy barring cord-cutting advertisements.  </w:t>
      </w:r>
      <w:r w:rsidRPr="000C7C2D">
        <w:rPr>
          <w:i/>
          <w:iCs/>
        </w:rPr>
        <w:t xml:space="preserve">Id. </w:t>
      </w:r>
      <w:r w:rsidRPr="000C7C2D">
        <w:t>at 6.</w:t>
      </w:r>
    </w:p>
  </w:footnote>
  <w:footnote w:id="48">
    <w:p w:rsidR="005954CC" w:rsidRPr="000C7C2D" w:rsidP="000C7C2D" w14:paraId="77248634" w14:textId="55CDC9CD">
      <w:pPr>
        <w:pStyle w:val="FootnoteText"/>
        <w:spacing w:after="120"/>
      </w:pPr>
      <w:r w:rsidRPr="000C7C2D">
        <w:rPr>
          <w:rStyle w:val="FootnoteReference"/>
        </w:rPr>
        <w:footnoteRef/>
      </w:r>
      <w:r w:rsidRPr="000C7C2D">
        <w:t xml:space="preserve"> </w:t>
      </w:r>
      <w:r w:rsidRPr="000C7C2D">
        <w:rPr>
          <w:i/>
          <w:iCs/>
        </w:rPr>
        <w:t xml:space="preserve">See </w:t>
      </w:r>
      <w:r w:rsidRPr="000C7C2D">
        <w:t>Mr. Antenna Supplemental Objection.</w:t>
      </w:r>
    </w:p>
  </w:footnote>
  <w:footnote w:id="49">
    <w:p w:rsidR="005954CC" w:rsidRPr="000C7C2D" w:rsidP="000C7C2D" w14:paraId="73821699" w14:textId="1FA403FE">
      <w:pPr>
        <w:pStyle w:val="FootnoteText"/>
        <w:spacing w:after="120"/>
      </w:pPr>
      <w:r w:rsidRPr="000C7C2D">
        <w:rPr>
          <w:rStyle w:val="FootnoteReference"/>
        </w:rPr>
        <w:footnoteRef/>
      </w:r>
      <w:r w:rsidRPr="000C7C2D">
        <w:t xml:space="preserve"> </w:t>
      </w:r>
      <w:r w:rsidRPr="000C7C2D">
        <w:rPr>
          <w:i/>
          <w:iCs/>
        </w:rPr>
        <w:t xml:space="preserve">See id. </w:t>
      </w:r>
      <w:r w:rsidRPr="000C7C2D">
        <w:t>at 1-3.</w:t>
      </w:r>
    </w:p>
  </w:footnote>
  <w:footnote w:id="50">
    <w:p w:rsidR="005954CC" w:rsidRPr="000C7C2D" w:rsidP="000C7C2D" w14:paraId="7AFD8E3B" w14:textId="1A5A0EFF">
      <w:pPr>
        <w:pStyle w:val="FootnoteText"/>
        <w:spacing w:after="120"/>
      </w:pPr>
      <w:r w:rsidRPr="000C7C2D">
        <w:rPr>
          <w:rStyle w:val="FootnoteReference"/>
        </w:rPr>
        <w:footnoteRef/>
      </w:r>
      <w:r w:rsidRPr="000C7C2D">
        <w:t xml:space="preserve"> </w:t>
      </w:r>
      <w:r w:rsidRPr="000C7C2D">
        <w:rPr>
          <w:i/>
          <w:iCs/>
        </w:rPr>
        <w:t xml:space="preserve">See id. </w:t>
      </w:r>
      <w:r w:rsidRPr="000C7C2D">
        <w:t>at</w:t>
      </w:r>
      <w:r w:rsidRPr="000C7C2D">
        <w:rPr>
          <w:i/>
          <w:iCs/>
        </w:rPr>
        <w:t xml:space="preserve"> </w:t>
      </w:r>
      <w:r w:rsidRPr="000C7C2D">
        <w:t>3-4.</w:t>
      </w:r>
    </w:p>
  </w:footnote>
  <w:footnote w:id="51">
    <w:p w:rsidR="005954CC" w:rsidRPr="000C7C2D" w:rsidP="000C7C2D" w14:paraId="6B303939" w14:textId="77777777">
      <w:pPr>
        <w:pStyle w:val="FootnoteText"/>
        <w:widowControl w:val="0"/>
        <w:spacing w:after="120"/>
      </w:pPr>
      <w:r w:rsidRPr="000C7C2D">
        <w:rPr>
          <w:rStyle w:val="FootnoteReference"/>
        </w:rPr>
        <w:footnoteRef/>
      </w:r>
      <w:r w:rsidRPr="000C7C2D">
        <w:t xml:space="preserve"> Section 310(d) of the Act requires that the Commission consider an application as if the proposed assignee/transferee were applying for the license directly.  47 U.S.C. § 310(d); </w:t>
      </w:r>
      <w:r w:rsidRPr="000C7C2D">
        <w:rPr>
          <w:i/>
          <w:iCs/>
        </w:rPr>
        <w:t>see also SBC Commc’ns Inc. and AT&amp;T Corp. Applications for Approval of Transfer of Control</w:t>
      </w:r>
      <w:r w:rsidRPr="000C7C2D">
        <w:t xml:space="preserve">, Memorandum Opinion and Order, 20 FCC </w:t>
      </w:r>
      <w:r w:rsidRPr="000C7C2D">
        <w:t>Rcd</w:t>
      </w:r>
      <w:r w:rsidRPr="000C7C2D">
        <w:t xml:space="preserve"> 18290, 18300, para. 16 (2005) (</w:t>
      </w:r>
      <w:r w:rsidRPr="000C7C2D">
        <w:rPr>
          <w:i/>
          <w:iCs/>
        </w:rPr>
        <w:t>SBC-AT&amp;T Order</w:t>
      </w:r>
      <w:r w:rsidRPr="000C7C2D">
        <w:t>).</w:t>
      </w:r>
    </w:p>
  </w:footnote>
  <w:footnote w:id="52">
    <w:p w:rsidR="005954CC" w:rsidRPr="000C7C2D" w:rsidP="000C7C2D" w14:paraId="34103186" w14:textId="77777777">
      <w:pPr>
        <w:pStyle w:val="FootnoteText"/>
        <w:widowControl w:val="0"/>
        <w:spacing w:after="120"/>
      </w:pPr>
      <w:r w:rsidRPr="000C7C2D">
        <w:rPr>
          <w:rStyle w:val="FootnoteReference"/>
        </w:rPr>
        <w:footnoteRef/>
      </w:r>
      <w:r w:rsidRPr="000C7C2D">
        <w:t xml:space="preserve"> </w:t>
      </w:r>
      <w:r w:rsidRPr="000C7C2D">
        <w:rPr>
          <w:i/>
          <w:iCs/>
        </w:rPr>
        <w:t>See, e.g.</w:t>
      </w:r>
      <w:r w:rsidRPr="000C7C2D">
        <w:rPr>
          <w:iCs/>
        </w:rPr>
        <w:t>,</w:t>
      </w:r>
      <w:r w:rsidRPr="000C7C2D">
        <w:rPr>
          <w:i/>
          <w:iCs/>
        </w:rPr>
        <w:t xml:space="preserve"> SBC-AT&amp;T Order</w:t>
      </w:r>
      <w:r w:rsidRPr="000C7C2D">
        <w:t xml:space="preserve">, 20 FCC </w:t>
      </w:r>
      <w:r w:rsidRPr="000C7C2D">
        <w:t>Rcd</w:t>
      </w:r>
      <w:r w:rsidRPr="000C7C2D">
        <w:t xml:space="preserve"> at 18300, para. 16.  </w:t>
      </w:r>
    </w:p>
  </w:footnote>
  <w:footnote w:id="53">
    <w:p w:rsidR="005954CC" w:rsidRPr="000C7C2D" w:rsidP="000C7C2D" w14:paraId="6C48B838" w14:textId="77777777">
      <w:pPr>
        <w:pStyle w:val="FootnoteText"/>
        <w:widowControl w:val="0"/>
        <w:spacing w:after="120"/>
        <w:rPr>
          <w:i/>
          <w:iCs/>
        </w:rPr>
      </w:pPr>
      <w:r w:rsidRPr="000C7C2D">
        <w:rPr>
          <w:rStyle w:val="FootnoteReference"/>
        </w:rPr>
        <w:footnoteRef/>
      </w:r>
      <w:r w:rsidRPr="000C7C2D">
        <w:t xml:space="preserve"> </w:t>
      </w:r>
      <w:r w:rsidRPr="000C7C2D">
        <w:rPr>
          <w:i/>
          <w:iCs/>
        </w:rPr>
        <w:t>Id.</w:t>
      </w:r>
    </w:p>
  </w:footnote>
  <w:footnote w:id="54">
    <w:p w:rsidR="005954CC" w:rsidRPr="000C7C2D" w:rsidP="000C7C2D" w14:paraId="3CD034AE" w14:textId="72DFF9ED">
      <w:pPr>
        <w:pStyle w:val="FootnoteText"/>
        <w:widowControl w:val="0"/>
        <w:spacing w:after="120"/>
      </w:pPr>
      <w:r w:rsidRPr="000C7C2D">
        <w:rPr>
          <w:rStyle w:val="FootnoteReference"/>
        </w:rPr>
        <w:footnoteRef/>
      </w:r>
      <w:r w:rsidRPr="000C7C2D">
        <w:t xml:space="preserve"> 47 U.S.C. § 309(e); </w:t>
      </w:r>
      <w:r w:rsidRPr="000C7C2D">
        <w:rPr>
          <w:i/>
        </w:rPr>
        <w:t>see also</w:t>
      </w:r>
      <w:r w:rsidRPr="000C7C2D">
        <w:rPr>
          <w:i/>
          <w:iCs/>
          <w:color w:val="000000"/>
          <w:bdr w:val="none" w:sz="0" w:space="0" w:color="auto" w:frame="1"/>
        </w:rPr>
        <w:t xml:space="preserve"> </w:t>
      </w:r>
      <w:r w:rsidRPr="000C7C2D">
        <w:rPr>
          <w:i/>
        </w:rPr>
        <w:t>General Motors Corporation and Hughes Electronics Corporation, Transferors, and the News Corporation Limited, Transferee</w:t>
      </w:r>
      <w:r w:rsidRPr="000C7C2D">
        <w:t>,</w:t>
      </w:r>
      <w:r w:rsidRPr="000C7C2D">
        <w:rPr>
          <w:i/>
        </w:rPr>
        <w:t xml:space="preserve"> </w:t>
      </w:r>
      <w:r w:rsidRPr="000C7C2D">
        <w:t xml:space="preserve">19 FCC </w:t>
      </w:r>
      <w:r w:rsidRPr="000C7C2D">
        <w:t>Rcd</w:t>
      </w:r>
      <w:r w:rsidRPr="000C7C2D">
        <w:t xml:space="preserve"> 473, 483, para. 15, n.49 (2004);</w:t>
      </w:r>
      <w:r w:rsidRPr="000C7C2D">
        <w:rPr>
          <w:i/>
        </w:rPr>
        <w:t xml:space="preserve"> Application of EchoStar Communications Corporation, General Motors Corporation, and Hughes Electronics Corporation and EchoStar Communications Corporation</w:t>
      </w:r>
      <w:r w:rsidRPr="000C7C2D">
        <w:t xml:space="preserve">, MB Docket No. 01-348, Hearing Designation Order, 17 FCC </w:t>
      </w:r>
      <w:r w:rsidRPr="000C7C2D">
        <w:t>Rcd</w:t>
      </w:r>
      <w:r w:rsidRPr="000C7C2D">
        <w:t xml:space="preserve"> 20559, 20574,</w:t>
      </w:r>
      <w:r w:rsidRPr="000C7C2D">
        <w:rPr>
          <w:i/>
        </w:rPr>
        <w:t xml:space="preserve"> </w:t>
      </w:r>
      <w:r w:rsidRPr="000C7C2D">
        <w:t>para. 25 (2002) (</w:t>
      </w:r>
      <w:r w:rsidRPr="000C7C2D">
        <w:rPr>
          <w:i/>
        </w:rPr>
        <w:t>EchoStar-DIRECTV HDO</w:t>
      </w:r>
      <w:r w:rsidRPr="000C7C2D">
        <w:t>).</w:t>
      </w:r>
    </w:p>
  </w:footnote>
  <w:footnote w:id="55">
    <w:p w:rsidR="005954CC" w:rsidRPr="000C7C2D" w:rsidP="000C7C2D" w14:paraId="1A81C643" w14:textId="77777777">
      <w:pPr>
        <w:pStyle w:val="FootnoteText"/>
        <w:spacing w:after="120"/>
      </w:pPr>
      <w:r w:rsidRPr="000C7C2D">
        <w:rPr>
          <w:rStyle w:val="FootnoteReference"/>
        </w:rPr>
        <w:footnoteRef/>
      </w:r>
      <w:r w:rsidRPr="000C7C2D">
        <w:t xml:space="preserve"> 47 U.S.C. § 309(d)(1); </w:t>
      </w:r>
      <w:r w:rsidRPr="000C7C2D">
        <w:rPr>
          <w:i/>
          <w:iCs/>
        </w:rPr>
        <w:t>Astroline</w:t>
      </w:r>
      <w:r w:rsidRPr="000C7C2D">
        <w:rPr>
          <w:i/>
          <w:iCs/>
        </w:rPr>
        <w:t xml:space="preserve"> Commc’ns Co., Ltd. Partnership v. FCC</w:t>
      </w:r>
      <w:r w:rsidRPr="000C7C2D">
        <w:t>, 857 F.2d 1556, 1561 (D.C. Cir. 1988) (</w:t>
      </w:r>
      <w:r w:rsidRPr="000C7C2D">
        <w:rPr>
          <w:i/>
          <w:iCs/>
        </w:rPr>
        <w:t>Astroline</w:t>
      </w:r>
      <w:r w:rsidRPr="000C7C2D">
        <w:t>).</w:t>
      </w:r>
    </w:p>
  </w:footnote>
  <w:footnote w:id="56">
    <w:p w:rsidR="005954CC" w:rsidRPr="000C7C2D" w:rsidP="000C7C2D" w14:paraId="7F9FC404" w14:textId="77777777">
      <w:pPr>
        <w:pStyle w:val="FootnoteText"/>
        <w:widowControl w:val="0"/>
        <w:spacing w:after="120"/>
      </w:pPr>
      <w:r w:rsidRPr="000C7C2D">
        <w:rPr>
          <w:rStyle w:val="FootnoteReference"/>
        </w:rPr>
        <w:footnoteRef/>
      </w:r>
      <w:r w:rsidRPr="000C7C2D">
        <w:t xml:space="preserve"> </w:t>
      </w:r>
      <w:hyperlink r:id="rId1" w:anchor="co_pp_sp_350_181" w:history="1">
        <w:r w:rsidRPr="000C7C2D">
          <w:rPr>
            <w:i/>
            <w:iCs/>
          </w:rPr>
          <w:t>Gencom</w:t>
        </w:r>
        <w:r w:rsidRPr="000C7C2D">
          <w:rPr>
            <w:i/>
            <w:iCs/>
          </w:rPr>
          <w:t>, Inc. v. FCC</w:t>
        </w:r>
        <w:r w:rsidRPr="000C7C2D">
          <w:t>, 832 F.2d 171, 181 (D.C. Cir. 1987)</w:t>
        </w:r>
      </w:hyperlink>
      <w:r w:rsidRPr="000C7C2D">
        <w:t>.</w:t>
      </w:r>
    </w:p>
  </w:footnote>
  <w:footnote w:id="57">
    <w:p w:rsidR="005954CC" w:rsidRPr="000C7C2D" w:rsidP="000C7C2D" w14:paraId="2F2FB8D4" w14:textId="77777777">
      <w:pPr>
        <w:pStyle w:val="FootnoteText"/>
        <w:widowControl w:val="0"/>
        <w:spacing w:after="120"/>
      </w:pPr>
      <w:r w:rsidRPr="000C7C2D">
        <w:rPr>
          <w:rStyle w:val="FootnoteReference"/>
        </w:rPr>
        <w:footnoteRef/>
      </w:r>
      <w:r w:rsidRPr="000C7C2D">
        <w:t xml:space="preserve"> </w:t>
      </w:r>
      <w:hyperlink r:id="rId2" w:anchor="co_pp_sp_350_1561" w:history="1">
        <w:r w:rsidRPr="000C7C2D">
          <w:rPr>
            <w:i/>
            <w:iCs/>
          </w:rPr>
          <w:t>Astroline</w:t>
        </w:r>
        <w:r w:rsidRPr="000C7C2D">
          <w:t>, 857 F.2d at 1561</w:t>
        </w:r>
      </w:hyperlink>
      <w:r w:rsidRPr="000C7C2D">
        <w:t xml:space="preserve">; </w:t>
      </w:r>
      <w:hyperlink r:id="rId3" w:anchor="co_pp_7fdd00001ca15" w:history="1">
        <w:r w:rsidRPr="000C7C2D">
          <w:t>47 U.S.C. § 309(e)</w:t>
        </w:r>
      </w:hyperlink>
      <w:r w:rsidRPr="000C7C2D">
        <w:t>.</w:t>
      </w:r>
    </w:p>
  </w:footnote>
  <w:footnote w:id="58">
    <w:p w:rsidR="005954CC" w:rsidRPr="000C7C2D" w:rsidP="000C7C2D" w14:paraId="54D25BBB" w14:textId="320B59B3">
      <w:pPr>
        <w:pStyle w:val="FootnoteText"/>
        <w:widowControl w:val="0"/>
        <w:spacing w:after="120"/>
      </w:pPr>
      <w:r w:rsidRPr="000C7C2D">
        <w:rPr>
          <w:rStyle w:val="FootnoteReference"/>
        </w:rPr>
        <w:footnoteRef/>
      </w:r>
      <w:r w:rsidRPr="000C7C2D">
        <w:t xml:space="preserve"> </w:t>
      </w:r>
      <w:hyperlink r:id="rId4" w:anchor="co_pp_sp_506_1410" w:history="1">
        <w:r w:rsidRPr="000C7C2D">
          <w:rPr>
            <w:i/>
            <w:iCs/>
          </w:rPr>
          <w:t>Mobile Commc’ns Corp. of Am. v FCC</w:t>
        </w:r>
        <w:r w:rsidRPr="000C7C2D">
          <w:t>, 77 F.3d 1399, 1410 (D.C. Cir. 1996)</w:t>
        </w:r>
      </w:hyperlink>
      <w:r w:rsidRPr="000C7C2D">
        <w:t xml:space="preserve"> (quoting </w:t>
      </w:r>
      <w:hyperlink r:id="rId5" w:anchor="co_pp_sp_350_394" w:history="1">
        <w:r w:rsidRPr="000C7C2D">
          <w:rPr>
            <w:i/>
            <w:iCs/>
          </w:rPr>
          <w:t>Citizens for Jazz on WRVR v. FCC</w:t>
        </w:r>
        <w:r w:rsidRPr="000C7C2D">
          <w:t>, 775 F.2d 392, 396 (D.C. Cir. 1985)</w:t>
        </w:r>
      </w:hyperlink>
      <w:r w:rsidRPr="000C7C2D">
        <w:t xml:space="preserve"> (</w:t>
      </w:r>
      <w:r w:rsidRPr="000C7C2D">
        <w:rPr>
          <w:i/>
          <w:iCs/>
        </w:rPr>
        <w:t>Citizens for Jazz</w:t>
      </w:r>
      <w:r w:rsidRPr="000C7C2D">
        <w:rPr>
          <w:iCs/>
        </w:rPr>
        <w:t>)</w:t>
      </w:r>
      <w:r w:rsidRPr="000C7C2D">
        <w:t>).</w:t>
      </w:r>
    </w:p>
  </w:footnote>
  <w:footnote w:id="59">
    <w:p w:rsidR="005954CC" w:rsidRPr="000C7C2D" w:rsidP="000C7C2D" w14:paraId="2515F00C" w14:textId="7569E0CF">
      <w:pPr>
        <w:pStyle w:val="FootnoteText"/>
        <w:widowControl w:val="0"/>
        <w:spacing w:after="120"/>
      </w:pPr>
      <w:r w:rsidRPr="000C7C2D">
        <w:rPr>
          <w:rStyle w:val="FootnoteReference"/>
        </w:rPr>
        <w:footnoteRef/>
      </w:r>
      <w:r w:rsidRPr="000C7C2D">
        <w:t xml:space="preserve"> </w:t>
      </w:r>
      <w:r w:rsidRPr="000C7C2D">
        <w:rPr>
          <w:i/>
          <w:iCs/>
        </w:rPr>
        <w:t>Id.</w:t>
      </w:r>
      <w:r w:rsidRPr="000C7C2D">
        <w:t xml:space="preserve"> (quoting </w:t>
      </w:r>
      <w:r w:rsidRPr="000C7C2D">
        <w:rPr>
          <w:i/>
          <w:iCs/>
        </w:rPr>
        <w:t>Citizens for Jazz</w:t>
      </w:r>
      <w:r w:rsidRPr="000C7C2D">
        <w:t>, 775 F.2d at 396).</w:t>
      </w:r>
    </w:p>
  </w:footnote>
  <w:footnote w:id="60">
    <w:p w:rsidR="005954CC" w:rsidRPr="000C7C2D" w:rsidP="000C7C2D" w14:paraId="3AB7853F" w14:textId="1E3E38A6">
      <w:pPr>
        <w:pStyle w:val="FootnoteText"/>
        <w:spacing w:after="120"/>
      </w:pPr>
      <w:r w:rsidRPr="000C7C2D">
        <w:rPr>
          <w:rStyle w:val="FootnoteReference"/>
        </w:rPr>
        <w:footnoteRef/>
      </w:r>
      <w:r w:rsidRPr="000C7C2D">
        <w:t xml:space="preserve"> </w:t>
      </w:r>
      <w:r w:rsidRPr="000C7C2D">
        <w:rPr>
          <w:i/>
          <w:iCs/>
        </w:rPr>
        <w:t xml:space="preserve">See </w:t>
      </w:r>
      <w:r w:rsidRPr="000C7C2D">
        <w:rPr>
          <w:i/>
          <w:iCs/>
        </w:rPr>
        <w:t>Astroline</w:t>
      </w:r>
      <w:r w:rsidRPr="000C7C2D">
        <w:rPr>
          <w:i/>
          <w:iCs/>
        </w:rPr>
        <w:t xml:space="preserve"> </w:t>
      </w:r>
      <w:r w:rsidRPr="000C7C2D">
        <w:t>at 1561.</w:t>
      </w:r>
    </w:p>
  </w:footnote>
  <w:footnote w:id="61">
    <w:p w:rsidR="005954CC" w:rsidRPr="000C7C2D" w:rsidP="000C7C2D" w14:paraId="5BB71A95" w14:textId="737074B5">
      <w:pPr>
        <w:pStyle w:val="FootnoteText"/>
        <w:spacing w:after="120"/>
      </w:pPr>
      <w:r w:rsidRPr="000C7C2D">
        <w:rPr>
          <w:rStyle w:val="FootnoteReference"/>
        </w:rPr>
        <w:footnoteRef/>
      </w:r>
      <w:r w:rsidRPr="000C7C2D">
        <w:t xml:space="preserve"> Mr. Antenna Objection; Mr. Antenna Supplemental Objection.</w:t>
      </w:r>
    </w:p>
  </w:footnote>
  <w:footnote w:id="62">
    <w:p w:rsidR="005954CC" w:rsidRPr="000C7C2D" w:rsidP="000C7C2D" w14:paraId="57129EE8" w14:textId="0BB2E0EC">
      <w:pPr>
        <w:pStyle w:val="FootnoteText"/>
        <w:spacing w:after="120"/>
      </w:pPr>
      <w:r w:rsidRPr="000C7C2D">
        <w:rPr>
          <w:rStyle w:val="FootnoteReference"/>
        </w:rPr>
        <w:footnoteRef/>
      </w:r>
      <w:r w:rsidRPr="000C7C2D">
        <w:t xml:space="preserve"> </w:t>
      </w:r>
      <w:r w:rsidRPr="000C7C2D">
        <w:rPr>
          <w:i/>
          <w:iCs/>
        </w:rPr>
        <w:t>Citizens for Jazz</w:t>
      </w:r>
      <w:r w:rsidRPr="000C7C2D">
        <w:t xml:space="preserve"> at 395.</w:t>
      </w:r>
    </w:p>
  </w:footnote>
  <w:footnote w:id="63">
    <w:p w:rsidR="005954CC" w:rsidRPr="000C7C2D" w:rsidP="000C7C2D" w14:paraId="3693E39F" w14:textId="24A8D7C1">
      <w:pPr>
        <w:pStyle w:val="FootnoteText"/>
        <w:spacing w:after="120"/>
      </w:pPr>
      <w:r w:rsidRPr="000C7C2D">
        <w:rPr>
          <w:rStyle w:val="FootnoteReference"/>
        </w:rPr>
        <w:footnoteRef/>
      </w:r>
      <w:r w:rsidRPr="000C7C2D">
        <w:t xml:space="preserve"> </w:t>
      </w:r>
      <w:r w:rsidRPr="000C7C2D">
        <w:rPr>
          <w:i/>
          <w:iCs/>
        </w:rPr>
        <w:t xml:space="preserve">See </w:t>
      </w:r>
      <w:r w:rsidRPr="000C7C2D">
        <w:t>Mr. Antenna Objection at 9-10.</w:t>
      </w:r>
    </w:p>
  </w:footnote>
  <w:footnote w:id="64">
    <w:p w:rsidR="007B3930" w:rsidRPr="000C7C2D" w:rsidP="000C7C2D" w14:paraId="68CF8F0D" w14:textId="1F70D918">
      <w:pPr>
        <w:pStyle w:val="FootnoteText"/>
        <w:spacing w:after="120"/>
      </w:pPr>
      <w:r w:rsidRPr="000C7C2D">
        <w:rPr>
          <w:rStyle w:val="FootnoteReference"/>
        </w:rPr>
        <w:footnoteRef/>
      </w:r>
      <w:r w:rsidRPr="000C7C2D">
        <w:t xml:space="preserve"> Because we find that no such policy has ever existed, we find any contention that Gray sought to influence Meredith in this regard to be meritless.</w:t>
      </w:r>
    </w:p>
  </w:footnote>
  <w:footnote w:id="65">
    <w:p w:rsidR="005954CC" w:rsidRPr="000C7C2D" w:rsidP="000C7C2D" w14:paraId="1A5450E3" w14:textId="06748ECB">
      <w:pPr>
        <w:pStyle w:val="FootnoteText"/>
        <w:spacing w:after="120"/>
      </w:pPr>
      <w:r w:rsidRPr="000C7C2D">
        <w:rPr>
          <w:rStyle w:val="FootnoteReference"/>
        </w:rPr>
        <w:footnoteRef/>
      </w:r>
      <w:r w:rsidRPr="000C7C2D">
        <w:t xml:space="preserve"> </w:t>
      </w:r>
      <w:r w:rsidRPr="000C7C2D">
        <w:rPr>
          <w:i/>
          <w:iCs/>
        </w:rPr>
        <w:t xml:space="preserve">See </w:t>
      </w:r>
      <w:r w:rsidRPr="000C7C2D">
        <w:t>Meredith Response at 20-21; Gray Response at 6.</w:t>
      </w:r>
    </w:p>
  </w:footnote>
  <w:footnote w:id="66">
    <w:p w:rsidR="005954CC" w:rsidRPr="000C7C2D" w:rsidP="000C7C2D" w14:paraId="59E223C7" w14:textId="70470FBC">
      <w:pPr>
        <w:pStyle w:val="FootnoteText"/>
        <w:spacing w:after="120"/>
      </w:pPr>
      <w:r w:rsidRPr="000C7C2D">
        <w:rPr>
          <w:rStyle w:val="FootnoteReference"/>
        </w:rPr>
        <w:footnoteRef/>
      </w:r>
      <w:r w:rsidRPr="000C7C2D">
        <w:t xml:space="preserve"> </w:t>
      </w:r>
      <w:r w:rsidRPr="000C7C2D">
        <w:rPr>
          <w:i/>
          <w:iCs/>
        </w:rPr>
        <w:t xml:space="preserve">See </w:t>
      </w:r>
      <w:r w:rsidRPr="000C7C2D">
        <w:t>Meredith Response at 11-21; Gray Response at 6.</w:t>
      </w:r>
      <w:r w:rsidRPr="000C7C2D" w:rsidR="0086572A">
        <w:t xml:space="preserve">  Notably, Meredith employees contacted the owner of Mr. Antenna on multiple occasions to explain that there was no such corporate policy and to offer to air his advertisements on the same terms it had in the past.  </w:t>
      </w:r>
      <w:r w:rsidRPr="000C7C2D" w:rsidR="0086572A">
        <w:rPr>
          <w:i/>
          <w:iCs/>
        </w:rPr>
        <w:t xml:space="preserve">See </w:t>
      </w:r>
      <w:r w:rsidRPr="000C7C2D" w:rsidR="0086572A">
        <w:t xml:space="preserve">Meredith Response at 3-4.  In addition, another Meredith station, KPHO, attempted to sell Mr. Antenna advertising.  </w:t>
      </w:r>
      <w:r w:rsidRPr="000C7C2D" w:rsidR="00DE0BD5">
        <w:rPr>
          <w:i/>
          <w:iCs/>
        </w:rPr>
        <w:t xml:space="preserve">See id. </w:t>
      </w:r>
      <w:r w:rsidRPr="000C7C2D" w:rsidR="00DE0BD5">
        <w:t xml:space="preserve">at 4, 6-8.  This fact is particularly relevant, as it occurred prior to Mr. Antenna’s contacting Meredith, thus providing contemporaneous proof that Meredith had no policy against accepting advertisements related to cord-cutting.  </w:t>
      </w:r>
      <w:r w:rsidRPr="000C7C2D" w:rsidR="00DE0BD5">
        <w:rPr>
          <w:i/>
          <w:iCs/>
        </w:rPr>
        <w:t xml:space="preserve">See </w:t>
      </w:r>
      <w:r w:rsidRPr="000C7C2D" w:rsidR="00DE0BD5">
        <w:t>Gray Response at 2; Meredith Response at 4, 6-8.</w:t>
      </w:r>
    </w:p>
  </w:footnote>
  <w:footnote w:id="67">
    <w:p w:rsidR="005954CC" w:rsidRPr="000C7C2D" w:rsidP="000C7C2D" w14:paraId="7DF5B486" w14:textId="7BD31078">
      <w:pPr>
        <w:pStyle w:val="FootnoteText"/>
        <w:spacing w:after="120"/>
      </w:pPr>
      <w:r w:rsidRPr="000C7C2D">
        <w:rPr>
          <w:rStyle w:val="FootnoteReference"/>
        </w:rPr>
        <w:footnoteRef/>
      </w:r>
      <w:r w:rsidRPr="000C7C2D">
        <w:t xml:space="preserve"> </w:t>
      </w:r>
      <w:r w:rsidRPr="000C7C2D">
        <w:rPr>
          <w:i/>
          <w:iCs/>
        </w:rPr>
        <w:t>Citizens for Jazz</w:t>
      </w:r>
      <w:r w:rsidRPr="000C7C2D">
        <w:t xml:space="preserve"> at 394-96.  Because Mr. Antenna fails the second step of our two-part test, the first question of whether Mr. Antenna has made a </w:t>
      </w:r>
      <w:r w:rsidRPr="000C7C2D">
        <w:rPr>
          <w:i/>
          <w:iCs/>
        </w:rPr>
        <w:t xml:space="preserve">prima facie </w:t>
      </w:r>
      <w:r w:rsidRPr="000C7C2D">
        <w:t>case for denial of the Applications is moot.</w:t>
      </w:r>
    </w:p>
  </w:footnote>
  <w:footnote w:id="68">
    <w:p w:rsidR="005954CC" w:rsidRPr="000C7C2D" w:rsidP="000C7C2D" w14:paraId="20C02B33" w14:textId="78026A30">
      <w:pPr>
        <w:pStyle w:val="FootnoteText"/>
        <w:widowControl w:val="0"/>
        <w:spacing w:after="120"/>
      </w:pPr>
      <w:r w:rsidRPr="000C7C2D">
        <w:rPr>
          <w:rStyle w:val="FootnoteReference"/>
        </w:rPr>
        <w:footnoteRef/>
      </w:r>
      <w:r w:rsidRPr="000C7C2D">
        <w:t xml:space="preserve"> </w:t>
      </w:r>
      <w:r w:rsidRPr="000C7C2D">
        <w:rPr>
          <w:i/>
          <w:iCs/>
        </w:rPr>
        <w:t xml:space="preserve">See Applications of Tribune Media Company and Nexstar Media Group, Inc. et al., </w:t>
      </w:r>
      <w:r w:rsidRPr="000C7C2D">
        <w:t xml:space="preserve">MB Docket No. 19-30, Memorandum Opinion and Order, 34 FCC </w:t>
      </w:r>
      <w:r w:rsidRPr="000C7C2D">
        <w:t>Rcd</w:t>
      </w:r>
      <w:r w:rsidRPr="000C7C2D">
        <w:t xml:space="preserve"> 8436, para. 26 (2019) (</w:t>
      </w:r>
      <w:r w:rsidRPr="000C7C2D">
        <w:rPr>
          <w:i/>
          <w:iCs/>
        </w:rPr>
        <w:t>Nexstar-Tribune Order</w:t>
      </w:r>
      <w:r w:rsidRPr="000C7C2D">
        <w:t>) (finding that new access to reporting from a Washington, DC news bureau and state news bureau provides transaction-specific public interest benefits).</w:t>
      </w:r>
    </w:p>
  </w:footnote>
  <w:footnote w:id="69">
    <w:p w:rsidR="005954CC" w:rsidRPr="000C7C2D" w:rsidP="000C7C2D" w14:paraId="2DFDAF32" w14:textId="3C28AEDE">
      <w:pPr>
        <w:pStyle w:val="FootnoteText"/>
        <w:spacing w:after="120"/>
      </w:pPr>
      <w:r w:rsidRPr="000C7C2D">
        <w:rPr>
          <w:rStyle w:val="FootnoteReference"/>
        </w:rPr>
        <w:footnoteRef/>
      </w:r>
      <w:r w:rsidRPr="000C7C2D">
        <w:t xml:space="preserve"> The Applicants filed separate applications requesting Commission consent for the assignment and/or transfer of control to Gray of certain earth station, microwave, and land mobile facilities held by Meredith and its subsidiaries.  These applications are granted simultaneously with this letter.</w:t>
      </w:r>
      <w:r w:rsidRPr="000C7C2D" w:rsidR="00A45292">
        <w:t xml:space="preserve">  Lastly, we note that the following stations have pending license renewals</w:t>
      </w:r>
      <w:r w:rsidRPr="000C7C2D" w:rsidR="00DA533E">
        <w:t xml:space="preserve"> as of the date of this letter</w:t>
      </w:r>
      <w:r w:rsidRPr="000C7C2D" w:rsidR="00A45292">
        <w:t>:  KMOV(TV), St. Louis, Missouri; KCTV(TV), Kansas City, Missouri; KSMO-TV, Kansas City, Missouri.</w:t>
      </w:r>
      <w:r w:rsidRPr="000C7C2D" w:rsidR="00A15618">
        <w:t xml:space="preserve">  Commission policy permits the processing of multi-station, multi-market transfer of control applications that involve a subset of stations with pending renewal applications if: </w:t>
      </w:r>
      <w:r w:rsidRPr="000C7C2D" w:rsidR="00273AD0">
        <w:t xml:space="preserve"> </w:t>
      </w:r>
      <w:r w:rsidRPr="000C7C2D" w:rsidR="00A15618">
        <w:t xml:space="preserve">(1) there are no basic qualification issues pending against the transferor or transferee that could not be resolved in the context of the transfer proceeding; and (2) the transferee explicitly assents to standing in the stead of the transferor in the pending renewal proceeding.  </w:t>
      </w:r>
      <w:r w:rsidRPr="000C7C2D" w:rsidR="00A15618">
        <w:rPr>
          <w:i/>
          <w:iCs/>
        </w:rPr>
        <w:t>See, e.g.</w:t>
      </w:r>
      <w:r w:rsidRPr="000C7C2D" w:rsidR="00A15618">
        <w:t xml:space="preserve">, </w:t>
      </w:r>
      <w:r w:rsidRPr="000C7C2D" w:rsidR="00A15618">
        <w:rPr>
          <w:i/>
          <w:iCs/>
        </w:rPr>
        <w:t>Shareholders of CBS Corporation</w:t>
      </w:r>
      <w:r w:rsidRPr="000C7C2D" w:rsidR="00A15618">
        <w:t xml:space="preserve">, Memorandum Opinion and Order on Reconsideration, 16 FCC </w:t>
      </w:r>
      <w:r w:rsidRPr="000C7C2D" w:rsidR="00A15618">
        <w:t>Rcd</w:t>
      </w:r>
      <w:r w:rsidRPr="000C7C2D" w:rsidR="00A15618">
        <w:t xml:space="preserve"> 16072, 16072-73 (2001).  This is a multi-station, multi-market transaction</w:t>
      </w:r>
      <w:r w:rsidRPr="000C7C2D" w:rsidR="003B3C52">
        <w:t>;</w:t>
      </w:r>
      <w:r w:rsidRPr="000C7C2D" w:rsidR="00A15618">
        <w:t xml:space="preserve"> there are no pending basic qualification issues</w:t>
      </w:r>
      <w:r w:rsidRPr="000C7C2D" w:rsidR="003B3C52">
        <w:t>;</w:t>
      </w:r>
      <w:r w:rsidRPr="000C7C2D" w:rsidR="00A15618">
        <w:t xml:space="preserve"> and Gray has agreed to stand in the stead of the current licensees consistent with </w:t>
      </w:r>
      <w:r w:rsidRPr="000C7C2D" w:rsidR="00A15618">
        <w:rPr>
          <w:i/>
          <w:iCs/>
        </w:rPr>
        <w:t>Shareholders of CBS Corporation</w:t>
      </w:r>
      <w:r w:rsidRPr="000C7C2D" w:rsidR="00A15618">
        <w:t>.  Comprehensive Exhibit at 31.</w:t>
      </w:r>
      <w:r w:rsidRPr="000C7C2D" w:rsidR="00CA6B2A">
        <w:t xml:space="preserve">  In addition, we note </w:t>
      </w:r>
      <w:r w:rsidRPr="000C7C2D" w:rsidR="001C6E56">
        <w:t>the first step of th</w:t>
      </w:r>
      <w:r w:rsidRPr="000C7C2D" w:rsidR="00F87B0E">
        <w:t>is</w:t>
      </w:r>
      <w:r w:rsidRPr="000C7C2D" w:rsidR="001C6E56">
        <w:t xml:space="preserve"> </w:t>
      </w:r>
      <w:r w:rsidRPr="000C7C2D" w:rsidR="00D911C9">
        <w:t xml:space="preserve">two-step </w:t>
      </w:r>
      <w:r w:rsidRPr="000C7C2D" w:rsidR="001C6E56">
        <w:t>Transaction</w:t>
      </w:r>
      <w:r w:rsidRPr="000C7C2D" w:rsidR="00D911C9">
        <w:t xml:space="preserve"> is a long-form transfer of control</w:t>
      </w:r>
      <w:r w:rsidRPr="000C7C2D" w:rsidR="00DB5A0F">
        <w:t xml:space="preserve"> even though the A</w:t>
      </w:r>
      <w:r w:rsidRPr="000C7C2D" w:rsidR="00D911C9">
        <w:t>pplications were filed on an assignment application</w:t>
      </w:r>
      <w:r w:rsidRPr="000C7C2D" w:rsidR="00934134">
        <w:t xml:space="preserve">.  Accordingly, application of </w:t>
      </w:r>
      <w:r w:rsidRPr="000C7C2D" w:rsidR="00934134">
        <w:rPr>
          <w:i/>
          <w:iCs/>
        </w:rPr>
        <w:t>Shareholders of CBS Corporation</w:t>
      </w:r>
      <w:r w:rsidRPr="000C7C2D" w:rsidR="00934134">
        <w:t xml:space="preserve"> is appropriate</w:t>
      </w:r>
      <w:r w:rsidRPr="000C7C2D" w:rsidR="00F04D0E">
        <w:t xml:space="preserve"> in this case</w:t>
      </w:r>
      <w:r w:rsidRPr="000C7C2D" w:rsidR="00934134">
        <w:t xml:space="preserve">.  </w:t>
      </w:r>
      <w:r w:rsidRPr="000C7C2D" w:rsidR="00934134">
        <w:rPr>
          <w:i/>
          <w:iCs/>
        </w:rPr>
        <w:t>See</w:t>
      </w:r>
      <w:r w:rsidRPr="000C7C2D" w:rsidR="00C17FEC">
        <w:rPr>
          <w:i/>
          <w:iCs/>
        </w:rPr>
        <w:t>, e.g.</w:t>
      </w:r>
      <w:r w:rsidRPr="000C7C2D" w:rsidR="00C17FEC">
        <w:t xml:space="preserve">, </w:t>
      </w:r>
      <w:r w:rsidRPr="000C7C2D" w:rsidR="00F87B0E">
        <w:t>Gray-</w:t>
      </w:r>
      <w:r w:rsidRPr="000C7C2D" w:rsidR="00F95CAB">
        <w:t>Quincy</w:t>
      </w:r>
      <w:r w:rsidRPr="000C7C2D" w:rsidR="00F87B0E">
        <w:t xml:space="preserve"> Assignment Application, LMS File No. </w:t>
      </w:r>
      <w:r w:rsidRPr="000C7C2D" w:rsidR="00E52B0C">
        <w:t>0000136236</w:t>
      </w:r>
      <w:r w:rsidRPr="000C7C2D" w:rsidR="00F87B0E">
        <w:t xml:space="preserve"> (</w:t>
      </w:r>
      <w:r w:rsidRPr="000C7C2D" w:rsidR="00BF122A">
        <w:t>granted July</w:t>
      </w:r>
      <w:r w:rsidRPr="000C7C2D" w:rsidR="00654B4D">
        <w:t xml:space="preserve"> </w:t>
      </w:r>
      <w:r w:rsidRPr="000C7C2D" w:rsidR="00BF122A">
        <w:t>30</w:t>
      </w:r>
      <w:r w:rsidRPr="000C7C2D" w:rsidR="00654B4D">
        <w:t>, 2021</w:t>
      </w:r>
      <w:r w:rsidRPr="000C7C2D" w:rsidR="00F87B0E">
        <w:t>).</w:t>
      </w:r>
    </w:p>
  </w:footnote>
  <w:footnote w:id="70">
    <w:p w:rsidR="005954CC" w:rsidRPr="000C7C2D" w:rsidP="000C7C2D" w14:paraId="28C9BE5B" w14:textId="7D216665">
      <w:pPr>
        <w:pStyle w:val="FootnoteText"/>
        <w:spacing w:after="120"/>
      </w:pPr>
      <w:r w:rsidRPr="000C7C2D">
        <w:rPr>
          <w:rStyle w:val="FootnoteReference"/>
        </w:rPr>
        <w:footnoteRef/>
      </w:r>
      <w:r w:rsidRPr="000C7C2D">
        <w:t xml:space="preserve"> 47 U.S.C. § 310(d).</w:t>
      </w:r>
    </w:p>
  </w:footnote>
  <w:footnote w:id="71">
    <w:p w:rsidR="005954CC" w:rsidRPr="000C7C2D" w:rsidP="000C7C2D" w14:paraId="7CA2EE21" w14:textId="1AD82C3A">
      <w:pPr>
        <w:pStyle w:val="FootnoteText"/>
        <w:spacing w:after="120"/>
      </w:pPr>
      <w:r w:rsidRPr="000C7C2D">
        <w:rPr>
          <w:rStyle w:val="FootnoteReference"/>
        </w:rPr>
        <w:footnoteRef/>
      </w:r>
      <w:r w:rsidRPr="000C7C2D">
        <w:t xml:space="preserve"> These actions are taken pursuant to </w:t>
      </w:r>
      <w:r w:rsidRPr="000C7C2D" w:rsidR="0019683D">
        <w:t>s</w:t>
      </w:r>
      <w:r w:rsidRPr="000C7C2D">
        <w:t>ection</w:t>
      </w:r>
      <w:r w:rsidRPr="000C7C2D" w:rsidR="0019683D">
        <w:t>s</w:t>
      </w:r>
      <w:r w:rsidRPr="000C7C2D">
        <w:t xml:space="preserve"> 0.61 and 0.283 of the Commission’s rules, 47 CFR §§ 0.61, 0.283, and </w:t>
      </w:r>
      <w:r w:rsidRPr="000C7C2D" w:rsidR="0019683D">
        <w:t>s</w:t>
      </w:r>
      <w:r w:rsidRPr="000C7C2D">
        <w:t>ections 154(</w:t>
      </w:r>
      <w:r w:rsidRPr="000C7C2D">
        <w:t>i</w:t>
      </w:r>
      <w:r w:rsidRPr="000C7C2D">
        <w:t>) and (j), and 310(d) of the Communications Act of 1934, as amended, 47 U.S.C. §§ 154(</w:t>
      </w:r>
      <w:r w:rsidRPr="000C7C2D">
        <w:t>i</w:t>
      </w:r>
      <w:r w:rsidRPr="000C7C2D">
        <w:t xml:space="preserve">), 154(j), 310(d).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54CC" w14:paraId="69AF0450" w14:textId="7EF824D9">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5954CC" w:rsidP="001333F1" w14:paraId="7A457190" w14:textId="77777777">
    <w:pPr>
      <w:tabs>
        <w:tab w:val="center" w:pos="4680"/>
        <w:tab w:val="left" w:pos="8400"/>
      </w:tabs>
    </w:pPr>
    <w:r>
      <w:rPr>
        <w:rFonts w:ascii="CG Times (W1)" w:hAnsi="CG Times (W1)"/>
        <w:sz w:val="28"/>
      </w:rPr>
      <w:tab/>
      <w:t>Washington, D.C. 20554</w:t>
    </w:r>
    <w:r>
      <w:rPr>
        <w:rFonts w:ascii="CG Times (W1)" w:hAnsi="CG Times (W1)"/>
        <w:sz w:val="28"/>
      </w:rPr>
      <w:tab/>
    </w:r>
  </w:p>
  <w:p w:rsidR="005954CC" w14:paraId="55228EDB" w14:textId="77777777">
    <w:pPr>
      <w:pStyle w:val="Header"/>
      <w:tabs>
        <w:tab w:val="clear" w:pos="4320"/>
      </w:tabs>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D943C4"/>
    <w:multiLevelType w:val="hybridMultilevel"/>
    <w:tmpl w:val="D0246D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61182925"/>
    <w:multiLevelType w:val="singleLevel"/>
    <w:tmpl w:val="A9EE9842"/>
    <w:lvl w:ilvl="0">
      <w:start w:val="1"/>
      <w:numFmt w:val="decimal"/>
      <w:lvlText w:val="%1."/>
      <w:lvlJc w:val="left"/>
      <w:pPr>
        <w:tabs>
          <w:tab w:val="num" w:pos="1080"/>
        </w:tabs>
        <w:ind w:left="0" w:firstLine="720"/>
      </w:pPr>
    </w:lvl>
  </w:abstractNum>
  <w:abstractNum w:abstractNumId="2">
    <w:nsid w:val="71494994"/>
    <w:multiLevelType w:val="hybridMultilevel"/>
    <w:tmpl w:val="FDB4ADA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79B27188"/>
    <w:multiLevelType w:val="hybridMultilevel"/>
    <w:tmpl w:val="96442F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D2"/>
    <w:rsid w:val="0000113E"/>
    <w:rsid w:val="000037EF"/>
    <w:rsid w:val="000042C2"/>
    <w:rsid w:val="000107B9"/>
    <w:rsid w:val="00011EB6"/>
    <w:rsid w:val="00012202"/>
    <w:rsid w:val="0001289E"/>
    <w:rsid w:val="00014211"/>
    <w:rsid w:val="00014415"/>
    <w:rsid w:val="000145B3"/>
    <w:rsid w:val="000157D5"/>
    <w:rsid w:val="00015D7B"/>
    <w:rsid w:val="00016048"/>
    <w:rsid w:val="00016209"/>
    <w:rsid w:val="00017DAB"/>
    <w:rsid w:val="00021BC4"/>
    <w:rsid w:val="00021D2D"/>
    <w:rsid w:val="00021E71"/>
    <w:rsid w:val="0002221F"/>
    <w:rsid w:val="000227A9"/>
    <w:rsid w:val="00023715"/>
    <w:rsid w:val="00025C9B"/>
    <w:rsid w:val="0002666D"/>
    <w:rsid w:val="00027D3B"/>
    <w:rsid w:val="00027F8C"/>
    <w:rsid w:val="0003067A"/>
    <w:rsid w:val="00031109"/>
    <w:rsid w:val="00031164"/>
    <w:rsid w:val="000327C5"/>
    <w:rsid w:val="000341DB"/>
    <w:rsid w:val="00034384"/>
    <w:rsid w:val="00034B59"/>
    <w:rsid w:val="00035040"/>
    <w:rsid w:val="0003585A"/>
    <w:rsid w:val="00035EA3"/>
    <w:rsid w:val="0003664A"/>
    <w:rsid w:val="0004151D"/>
    <w:rsid w:val="00043181"/>
    <w:rsid w:val="00043C7E"/>
    <w:rsid w:val="0004748D"/>
    <w:rsid w:val="00047581"/>
    <w:rsid w:val="00047E10"/>
    <w:rsid w:val="000524C5"/>
    <w:rsid w:val="0005268E"/>
    <w:rsid w:val="0005450C"/>
    <w:rsid w:val="0005670F"/>
    <w:rsid w:val="0005692D"/>
    <w:rsid w:val="00056A55"/>
    <w:rsid w:val="000577E8"/>
    <w:rsid w:val="00057FF7"/>
    <w:rsid w:val="00060122"/>
    <w:rsid w:val="000601C1"/>
    <w:rsid w:val="00060A24"/>
    <w:rsid w:val="00061B34"/>
    <w:rsid w:val="00062729"/>
    <w:rsid w:val="000627C4"/>
    <w:rsid w:val="00062AE4"/>
    <w:rsid w:val="00064202"/>
    <w:rsid w:val="00070F28"/>
    <w:rsid w:val="00071F11"/>
    <w:rsid w:val="00072E19"/>
    <w:rsid w:val="00076EAB"/>
    <w:rsid w:val="00077AB8"/>
    <w:rsid w:val="00080555"/>
    <w:rsid w:val="00086E1B"/>
    <w:rsid w:val="00087EAB"/>
    <w:rsid w:val="0009064F"/>
    <w:rsid w:val="00090971"/>
    <w:rsid w:val="000916FA"/>
    <w:rsid w:val="000924B7"/>
    <w:rsid w:val="0009273C"/>
    <w:rsid w:val="0009350B"/>
    <w:rsid w:val="00094414"/>
    <w:rsid w:val="00094E5B"/>
    <w:rsid w:val="0009569E"/>
    <w:rsid w:val="00095AF6"/>
    <w:rsid w:val="000963A4"/>
    <w:rsid w:val="0009743F"/>
    <w:rsid w:val="000A4754"/>
    <w:rsid w:val="000A6FF5"/>
    <w:rsid w:val="000A7331"/>
    <w:rsid w:val="000B00DA"/>
    <w:rsid w:val="000B02F1"/>
    <w:rsid w:val="000B0826"/>
    <w:rsid w:val="000B2D89"/>
    <w:rsid w:val="000B2E63"/>
    <w:rsid w:val="000B38E6"/>
    <w:rsid w:val="000B470C"/>
    <w:rsid w:val="000B577D"/>
    <w:rsid w:val="000B5966"/>
    <w:rsid w:val="000B6CDC"/>
    <w:rsid w:val="000C15DC"/>
    <w:rsid w:val="000C759B"/>
    <w:rsid w:val="000C7C2D"/>
    <w:rsid w:val="000C7CD9"/>
    <w:rsid w:val="000D2A84"/>
    <w:rsid w:val="000D2B7F"/>
    <w:rsid w:val="000D556C"/>
    <w:rsid w:val="000D57AB"/>
    <w:rsid w:val="000D5E08"/>
    <w:rsid w:val="000D5F00"/>
    <w:rsid w:val="000D6EDA"/>
    <w:rsid w:val="000E0ACE"/>
    <w:rsid w:val="000E0B55"/>
    <w:rsid w:val="000E1411"/>
    <w:rsid w:val="000E1C4F"/>
    <w:rsid w:val="000E1CC4"/>
    <w:rsid w:val="000E1DC9"/>
    <w:rsid w:val="000E221C"/>
    <w:rsid w:val="000E2FA8"/>
    <w:rsid w:val="000E4902"/>
    <w:rsid w:val="000E4E59"/>
    <w:rsid w:val="000E4F0C"/>
    <w:rsid w:val="000E52D0"/>
    <w:rsid w:val="000E5360"/>
    <w:rsid w:val="000E6125"/>
    <w:rsid w:val="000F05AD"/>
    <w:rsid w:val="000F06D0"/>
    <w:rsid w:val="000F0A98"/>
    <w:rsid w:val="000F0DE0"/>
    <w:rsid w:val="000F2246"/>
    <w:rsid w:val="000F3CA4"/>
    <w:rsid w:val="000F3F98"/>
    <w:rsid w:val="000F45F8"/>
    <w:rsid w:val="000F468D"/>
    <w:rsid w:val="000F6DB1"/>
    <w:rsid w:val="000F76E6"/>
    <w:rsid w:val="00100192"/>
    <w:rsid w:val="00100381"/>
    <w:rsid w:val="00100914"/>
    <w:rsid w:val="00101A83"/>
    <w:rsid w:val="00102462"/>
    <w:rsid w:val="001037BF"/>
    <w:rsid w:val="001043AB"/>
    <w:rsid w:val="00105529"/>
    <w:rsid w:val="001067E8"/>
    <w:rsid w:val="00107552"/>
    <w:rsid w:val="00107C91"/>
    <w:rsid w:val="00110BA2"/>
    <w:rsid w:val="00110FA7"/>
    <w:rsid w:val="0011157C"/>
    <w:rsid w:val="001242A2"/>
    <w:rsid w:val="001302F1"/>
    <w:rsid w:val="00130360"/>
    <w:rsid w:val="00131989"/>
    <w:rsid w:val="00131CF8"/>
    <w:rsid w:val="00131FDE"/>
    <w:rsid w:val="00132BC0"/>
    <w:rsid w:val="001333F1"/>
    <w:rsid w:val="001336C9"/>
    <w:rsid w:val="00133C00"/>
    <w:rsid w:val="0013400D"/>
    <w:rsid w:val="001352F0"/>
    <w:rsid w:val="001355DA"/>
    <w:rsid w:val="00135F01"/>
    <w:rsid w:val="00135FEC"/>
    <w:rsid w:val="00137E2D"/>
    <w:rsid w:val="001401DB"/>
    <w:rsid w:val="00140E4F"/>
    <w:rsid w:val="001457D4"/>
    <w:rsid w:val="00146087"/>
    <w:rsid w:val="001460FE"/>
    <w:rsid w:val="00150871"/>
    <w:rsid w:val="00152BEA"/>
    <w:rsid w:val="00153932"/>
    <w:rsid w:val="00156025"/>
    <w:rsid w:val="00160856"/>
    <w:rsid w:val="001649C0"/>
    <w:rsid w:val="00164EDF"/>
    <w:rsid w:val="00166158"/>
    <w:rsid w:val="0016666A"/>
    <w:rsid w:val="00166A18"/>
    <w:rsid w:val="00170200"/>
    <w:rsid w:val="00171D9A"/>
    <w:rsid w:val="00171FD0"/>
    <w:rsid w:val="00172549"/>
    <w:rsid w:val="00173513"/>
    <w:rsid w:val="0017385E"/>
    <w:rsid w:val="00173998"/>
    <w:rsid w:val="00175EAB"/>
    <w:rsid w:val="0017664E"/>
    <w:rsid w:val="00177B86"/>
    <w:rsid w:val="00180345"/>
    <w:rsid w:val="00183039"/>
    <w:rsid w:val="001837EA"/>
    <w:rsid w:val="00184117"/>
    <w:rsid w:val="00184441"/>
    <w:rsid w:val="00186766"/>
    <w:rsid w:val="00186977"/>
    <w:rsid w:val="001869E9"/>
    <w:rsid w:val="00186CDD"/>
    <w:rsid w:val="00186DC4"/>
    <w:rsid w:val="001923F1"/>
    <w:rsid w:val="00192D61"/>
    <w:rsid w:val="0019381B"/>
    <w:rsid w:val="0019683D"/>
    <w:rsid w:val="0019747D"/>
    <w:rsid w:val="001A0236"/>
    <w:rsid w:val="001A0BCE"/>
    <w:rsid w:val="001A14E5"/>
    <w:rsid w:val="001A19ED"/>
    <w:rsid w:val="001A2AC9"/>
    <w:rsid w:val="001A33CC"/>
    <w:rsid w:val="001A3E46"/>
    <w:rsid w:val="001A553E"/>
    <w:rsid w:val="001A571C"/>
    <w:rsid w:val="001A580B"/>
    <w:rsid w:val="001A58AA"/>
    <w:rsid w:val="001B06C5"/>
    <w:rsid w:val="001B1625"/>
    <w:rsid w:val="001B6A85"/>
    <w:rsid w:val="001B72D4"/>
    <w:rsid w:val="001B7D8C"/>
    <w:rsid w:val="001C04DC"/>
    <w:rsid w:val="001C07F7"/>
    <w:rsid w:val="001C09C2"/>
    <w:rsid w:val="001C254D"/>
    <w:rsid w:val="001C2B63"/>
    <w:rsid w:val="001C2F4B"/>
    <w:rsid w:val="001C31B3"/>
    <w:rsid w:val="001C4E53"/>
    <w:rsid w:val="001C4E67"/>
    <w:rsid w:val="001C526D"/>
    <w:rsid w:val="001C6E56"/>
    <w:rsid w:val="001D25BF"/>
    <w:rsid w:val="001D4FF1"/>
    <w:rsid w:val="001D5241"/>
    <w:rsid w:val="001D54D2"/>
    <w:rsid w:val="001D7781"/>
    <w:rsid w:val="001D7E87"/>
    <w:rsid w:val="001E4BEE"/>
    <w:rsid w:val="001E523F"/>
    <w:rsid w:val="001E5973"/>
    <w:rsid w:val="001E5BA8"/>
    <w:rsid w:val="001E622B"/>
    <w:rsid w:val="001E7D40"/>
    <w:rsid w:val="001F41AC"/>
    <w:rsid w:val="001F46D5"/>
    <w:rsid w:val="001F4B4C"/>
    <w:rsid w:val="001F4F25"/>
    <w:rsid w:val="001F5370"/>
    <w:rsid w:val="001F58E0"/>
    <w:rsid w:val="001F677F"/>
    <w:rsid w:val="001F718A"/>
    <w:rsid w:val="00202AE9"/>
    <w:rsid w:val="00203CD3"/>
    <w:rsid w:val="00204A1C"/>
    <w:rsid w:val="00204CE3"/>
    <w:rsid w:val="002051FD"/>
    <w:rsid w:val="0020619D"/>
    <w:rsid w:val="00210FDF"/>
    <w:rsid w:val="002138D9"/>
    <w:rsid w:val="00213EEC"/>
    <w:rsid w:val="00214089"/>
    <w:rsid w:val="0021640C"/>
    <w:rsid w:val="002164D7"/>
    <w:rsid w:val="0021680E"/>
    <w:rsid w:val="002175B0"/>
    <w:rsid w:val="00220AB6"/>
    <w:rsid w:val="002215B3"/>
    <w:rsid w:val="0022242B"/>
    <w:rsid w:val="002240AC"/>
    <w:rsid w:val="002253C9"/>
    <w:rsid w:val="00231948"/>
    <w:rsid w:val="00234246"/>
    <w:rsid w:val="002365DC"/>
    <w:rsid w:val="00237546"/>
    <w:rsid w:val="0024005D"/>
    <w:rsid w:val="0024017A"/>
    <w:rsid w:val="00240438"/>
    <w:rsid w:val="00240449"/>
    <w:rsid w:val="0024159A"/>
    <w:rsid w:val="00241C73"/>
    <w:rsid w:val="00242DCF"/>
    <w:rsid w:val="00242F61"/>
    <w:rsid w:val="00245A3F"/>
    <w:rsid w:val="00246342"/>
    <w:rsid w:val="00246D84"/>
    <w:rsid w:val="002474DF"/>
    <w:rsid w:val="0025063C"/>
    <w:rsid w:val="00250921"/>
    <w:rsid w:val="002531B5"/>
    <w:rsid w:val="00253FC9"/>
    <w:rsid w:val="002540C4"/>
    <w:rsid w:val="00254F2F"/>
    <w:rsid w:val="00254FCB"/>
    <w:rsid w:val="002559CA"/>
    <w:rsid w:val="00257772"/>
    <w:rsid w:val="00257992"/>
    <w:rsid w:val="00257EDF"/>
    <w:rsid w:val="002609D1"/>
    <w:rsid w:val="002616BB"/>
    <w:rsid w:val="00263BCF"/>
    <w:rsid w:val="00263DE4"/>
    <w:rsid w:val="00264B55"/>
    <w:rsid w:val="00265180"/>
    <w:rsid w:val="002709FE"/>
    <w:rsid w:val="0027280F"/>
    <w:rsid w:val="0027347E"/>
    <w:rsid w:val="00273AD0"/>
    <w:rsid w:val="00274A59"/>
    <w:rsid w:val="00275927"/>
    <w:rsid w:val="002759DB"/>
    <w:rsid w:val="0027673B"/>
    <w:rsid w:val="002802CF"/>
    <w:rsid w:val="002817B6"/>
    <w:rsid w:val="00284D38"/>
    <w:rsid w:val="002853C8"/>
    <w:rsid w:val="002854DD"/>
    <w:rsid w:val="00286268"/>
    <w:rsid w:val="00286F1F"/>
    <w:rsid w:val="00291E95"/>
    <w:rsid w:val="002928AB"/>
    <w:rsid w:val="002933A3"/>
    <w:rsid w:val="00295DF4"/>
    <w:rsid w:val="00296478"/>
    <w:rsid w:val="00297F18"/>
    <w:rsid w:val="002A30F5"/>
    <w:rsid w:val="002A3A41"/>
    <w:rsid w:val="002A3A87"/>
    <w:rsid w:val="002A4236"/>
    <w:rsid w:val="002A701E"/>
    <w:rsid w:val="002B015F"/>
    <w:rsid w:val="002B05E6"/>
    <w:rsid w:val="002B083E"/>
    <w:rsid w:val="002B0FD2"/>
    <w:rsid w:val="002B125D"/>
    <w:rsid w:val="002B1393"/>
    <w:rsid w:val="002B178D"/>
    <w:rsid w:val="002B1F49"/>
    <w:rsid w:val="002B25AE"/>
    <w:rsid w:val="002B299A"/>
    <w:rsid w:val="002B3606"/>
    <w:rsid w:val="002B5456"/>
    <w:rsid w:val="002B54DB"/>
    <w:rsid w:val="002B5DE0"/>
    <w:rsid w:val="002B629D"/>
    <w:rsid w:val="002B7DB9"/>
    <w:rsid w:val="002C0B8B"/>
    <w:rsid w:val="002C1C65"/>
    <w:rsid w:val="002C2171"/>
    <w:rsid w:val="002C2345"/>
    <w:rsid w:val="002C2EE0"/>
    <w:rsid w:val="002C34F3"/>
    <w:rsid w:val="002C429D"/>
    <w:rsid w:val="002C6031"/>
    <w:rsid w:val="002D0BA8"/>
    <w:rsid w:val="002D2608"/>
    <w:rsid w:val="002D30BA"/>
    <w:rsid w:val="002D32AD"/>
    <w:rsid w:val="002D390B"/>
    <w:rsid w:val="002D3EEB"/>
    <w:rsid w:val="002D4491"/>
    <w:rsid w:val="002D5378"/>
    <w:rsid w:val="002E0900"/>
    <w:rsid w:val="002E1378"/>
    <w:rsid w:val="002E3111"/>
    <w:rsid w:val="002E3A7E"/>
    <w:rsid w:val="002E4016"/>
    <w:rsid w:val="002E4D5C"/>
    <w:rsid w:val="002E4DBB"/>
    <w:rsid w:val="002E51E2"/>
    <w:rsid w:val="002F3E67"/>
    <w:rsid w:val="002F49AB"/>
    <w:rsid w:val="002F4A4B"/>
    <w:rsid w:val="002F6DA7"/>
    <w:rsid w:val="002F7835"/>
    <w:rsid w:val="0030049C"/>
    <w:rsid w:val="00300D46"/>
    <w:rsid w:val="00301FDF"/>
    <w:rsid w:val="00302610"/>
    <w:rsid w:val="003027B8"/>
    <w:rsid w:val="0030468D"/>
    <w:rsid w:val="00304E53"/>
    <w:rsid w:val="00306C6E"/>
    <w:rsid w:val="003077C5"/>
    <w:rsid w:val="003109D8"/>
    <w:rsid w:val="00311858"/>
    <w:rsid w:val="003121D3"/>
    <w:rsid w:val="003125EE"/>
    <w:rsid w:val="003146AD"/>
    <w:rsid w:val="00314B9B"/>
    <w:rsid w:val="00315705"/>
    <w:rsid w:val="0031642D"/>
    <w:rsid w:val="003168F5"/>
    <w:rsid w:val="00317344"/>
    <w:rsid w:val="00317532"/>
    <w:rsid w:val="0031778C"/>
    <w:rsid w:val="003178F0"/>
    <w:rsid w:val="00322828"/>
    <w:rsid w:val="00322C22"/>
    <w:rsid w:val="00322F48"/>
    <w:rsid w:val="00323B55"/>
    <w:rsid w:val="00323CCE"/>
    <w:rsid w:val="00323E59"/>
    <w:rsid w:val="00324A8B"/>
    <w:rsid w:val="00326486"/>
    <w:rsid w:val="00327F07"/>
    <w:rsid w:val="00330554"/>
    <w:rsid w:val="00330752"/>
    <w:rsid w:val="00331E20"/>
    <w:rsid w:val="00332003"/>
    <w:rsid w:val="00332C22"/>
    <w:rsid w:val="00334722"/>
    <w:rsid w:val="003349EB"/>
    <w:rsid w:val="00335941"/>
    <w:rsid w:val="00341B05"/>
    <w:rsid w:val="00341F24"/>
    <w:rsid w:val="00342514"/>
    <w:rsid w:val="003436D0"/>
    <w:rsid w:val="00346FB4"/>
    <w:rsid w:val="0034745F"/>
    <w:rsid w:val="00347613"/>
    <w:rsid w:val="00350588"/>
    <w:rsid w:val="003528BB"/>
    <w:rsid w:val="003532AC"/>
    <w:rsid w:val="00353A2E"/>
    <w:rsid w:val="003545D8"/>
    <w:rsid w:val="00355FAC"/>
    <w:rsid w:val="00357DDD"/>
    <w:rsid w:val="00357F94"/>
    <w:rsid w:val="0036114C"/>
    <w:rsid w:val="003612B8"/>
    <w:rsid w:val="00361462"/>
    <w:rsid w:val="0036161B"/>
    <w:rsid w:val="0036169B"/>
    <w:rsid w:val="0036182A"/>
    <w:rsid w:val="00364657"/>
    <w:rsid w:val="00364BED"/>
    <w:rsid w:val="00364DA5"/>
    <w:rsid w:val="00366472"/>
    <w:rsid w:val="00367750"/>
    <w:rsid w:val="00371CF4"/>
    <w:rsid w:val="00372E7D"/>
    <w:rsid w:val="00375236"/>
    <w:rsid w:val="00376402"/>
    <w:rsid w:val="003776ED"/>
    <w:rsid w:val="003777AA"/>
    <w:rsid w:val="00377909"/>
    <w:rsid w:val="00380362"/>
    <w:rsid w:val="003809A6"/>
    <w:rsid w:val="00382136"/>
    <w:rsid w:val="003827E2"/>
    <w:rsid w:val="00383C58"/>
    <w:rsid w:val="003847BD"/>
    <w:rsid w:val="00385E52"/>
    <w:rsid w:val="00386029"/>
    <w:rsid w:val="003870CB"/>
    <w:rsid w:val="00387BE6"/>
    <w:rsid w:val="00387E1D"/>
    <w:rsid w:val="0039049E"/>
    <w:rsid w:val="00393828"/>
    <w:rsid w:val="00393C56"/>
    <w:rsid w:val="003946ED"/>
    <w:rsid w:val="003965E4"/>
    <w:rsid w:val="00396E43"/>
    <w:rsid w:val="003A0016"/>
    <w:rsid w:val="003A001D"/>
    <w:rsid w:val="003A06A7"/>
    <w:rsid w:val="003A0EFC"/>
    <w:rsid w:val="003A12A5"/>
    <w:rsid w:val="003A158D"/>
    <w:rsid w:val="003A189D"/>
    <w:rsid w:val="003A1CC4"/>
    <w:rsid w:val="003A2F1F"/>
    <w:rsid w:val="003A3B36"/>
    <w:rsid w:val="003A6287"/>
    <w:rsid w:val="003A6A30"/>
    <w:rsid w:val="003A7ACA"/>
    <w:rsid w:val="003B098F"/>
    <w:rsid w:val="003B1075"/>
    <w:rsid w:val="003B34BD"/>
    <w:rsid w:val="003B3C52"/>
    <w:rsid w:val="003B4B36"/>
    <w:rsid w:val="003B5641"/>
    <w:rsid w:val="003B60BE"/>
    <w:rsid w:val="003B7986"/>
    <w:rsid w:val="003B7B14"/>
    <w:rsid w:val="003C02BD"/>
    <w:rsid w:val="003C2736"/>
    <w:rsid w:val="003C4EEF"/>
    <w:rsid w:val="003D078F"/>
    <w:rsid w:val="003D082F"/>
    <w:rsid w:val="003D097A"/>
    <w:rsid w:val="003D1B70"/>
    <w:rsid w:val="003D2595"/>
    <w:rsid w:val="003D310A"/>
    <w:rsid w:val="003D3957"/>
    <w:rsid w:val="003D53D4"/>
    <w:rsid w:val="003E1E52"/>
    <w:rsid w:val="003E3A92"/>
    <w:rsid w:val="003E4939"/>
    <w:rsid w:val="003E4ABF"/>
    <w:rsid w:val="003E561F"/>
    <w:rsid w:val="003E7478"/>
    <w:rsid w:val="003F207C"/>
    <w:rsid w:val="003F2488"/>
    <w:rsid w:val="003F7E83"/>
    <w:rsid w:val="00402F7A"/>
    <w:rsid w:val="00403163"/>
    <w:rsid w:val="004043F9"/>
    <w:rsid w:val="004045EE"/>
    <w:rsid w:val="00405881"/>
    <w:rsid w:val="004066E0"/>
    <w:rsid w:val="004102DD"/>
    <w:rsid w:val="00411619"/>
    <w:rsid w:val="00411E5A"/>
    <w:rsid w:val="00412670"/>
    <w:rsid w:val="0041328D"/>
    <w:rsid w:val="00413BA7"/>
    <w:rsid w:val="004143ED"/>
    <w:rsid w:val="00415E40"/>
    <w:rsid w:val="00417076"/>
    <w:rsid w:val="00417699"/>
    <w:rsid w:val="00417D56"/>
    <w:rsid w:val="0042043E"/>
    <w:rsid w:val="00420F69"/>
    <w:rsid w:val="00421810"/>
    <w:rsid w:val="0042196D"/>
    <w:rsid w:val="00421C7D"/>
    <w:rsid w:val="00422A45"/>
    <w:rsid w:val="00424B60"/>
    <w:rsid w:val="004250A1"/>
    <w:rsid w:val="00425E65"/>
    <w:rsid w:val="00425E77"/>
    <w:rsid w:val="00432DC9"/>
    <w:rsid w:val="0043401E"/>
    <w:rsid w:val="00435CFC"/>
    <w:rsid w:val="00436D8F"/>
    <w:rsid w:val="0043722E"/>
    <w:rsid w:val="0043765F"/>
    <w:rsid w:val="004412B6"/>
    <w:rsid w:val="00441709"/>
    <w:rsid w:val="00441E2C"/>
    <w:rsid w:val="004421FE"/>
    <w:rsid w:val="00442944"/>
    <w:rsid w:val="00442F51"/>
    <w:rsid w:val="00446434"/>
    <w:rsid w:val="0044724F"/>
    <w:rsid w:val="0044787D"/>
    <w:rsid w:val="0045024D"/>
    <w:rsid w:val="00451055"/>
    <w:rsid w:val="00453160"/>
    <w:rsid w:val="00454ADD"/>
    <w:rsid w:val="004557FE"/>
    <w:rsid w:val="0045647B"/>
    <w:rsid w:val="0045680D"/>
    <w:rsid w:val="004575F9"/>
    <w:rsid w:val="00460330"/>
    <w:rsid w:val="00460941"/>
    <w:rsid w:val="00467139"/>
    <w:rsid w:val="00467B0C"/>
    <w:rsid w:val="00467CD6"/>
    <w:rsid w:val="00467DC2"/>
    <w:rsid w:val="0047140C"/>
    <w:rsid w:val="0047284A"/>
    <w:rsid w:val="00472C2A"/>
    <w:rsid w:val="00472EF2"/>
    <w:rsid w:val="00473046"/>
    <w:rsid w:val="00473706"/>
    <w:rsid w:val="00473840"/>
    <w:rsid w:val="0047460B"/>
    <w:rsid w:val="00475721"/>
    <w:rsid w:val="0047748C"/>
    <w:rsid w:val="00483E09"/>
    <w:rsid w:val="004868F8"/>
    <w:rsid w:val="00487BFB"/>
    <w:rsid w:val="0049028D"/>
    <w:rsid w:val="004902D0"/>
    <w:rsid w:val="004920AF"/>
    <w:rsid w:val="00492DB2"/>
    <w:rsid w:val="00492F63"/>
    <w:rsid w:val="00492F7E"/>
    <w:rsid w:val="004948EB"/>
    <w:rsid w:val="00494CA9"/>
    <w:rsid w:val="004A073B"/>
    <w:rsid w:val="004A3192"/>
    <w:rsid w:val="004A6BB8"/>
    <w:rsid w:val="004B385C"/>
    <w:rsid w:val="004B406D"/>
    <w:rsid w:val="004B485C"/>
    <w:rsid w:val="004B501B"/>
    <w:rsid w:val="004B54F8"/>
    <w:rsid w:val="004B6BD2"/>
    <w:rsid w:val="004B78D8"/>
    <w:rsid w:val="004C05D9"/>
    <w:rsid w:val="004C0C01"/>
    <w:rsid w:val="004C1216"/>
    <w:rsid w:val="004C2E87"/>
    <w:rsid w:val="004C365A"/>
    <w:rsid w:val="004C509A"/>
    <w:rsid w:val="004C5BF1"/>
    <w:rsid w:val="004C6220"/>
    <w:rsid w:val="004C69DC"/>
    <w:rsid w:val="004D14D5"/>
    <w:rsid w:val="004D1EC9"/>
    <w:rsid w:val="004D37FC"/>
    <w:rsid w:val="004D3B53"/>
    <w:rsid w:val="004D3F6F"/>
    <w:rsid w:val="004D4B3C"/>
    <w:rsid w:val="004D72D0"/>
    <w:rsid w:val="004E0318"/>
    <w:rsid w:val="004E11A1"/>
    <w:rsid w:val="004E1CD1"/>
    <w:rsid w:val="004E1E0E"/>
    <w:rsid w:val="004E3FA7"/>
    <w:rsid w:val="004E4D82"/>
    <w:rsid w:val="004E5049"/>
    <w:rsid w:val="004E5B2E"/>
    <w:rsid w:val="004E5DE4"/>
    <w:rsid w:val="004E6976"/>
    <w:rsid w:val="004E7024"/>
    <w:rsid w:val="004E7133"/>
    <w:rsid w:val="004F0ED8"/>
    <w:rsid w:val="004F2FF4"/>
    <w:rsid w:val="004F4486"/>
    <w:rsid w:val="004F4802"/>
    <w:rsid w:val="004F480A"/>
    <w:rsid w:val="004F4EEC"/>
    <w:rsid w:val="004F6C5A"/>
    <w:rsid w:val="00500908"/>
    <w:rsid w:val="00503370"/>
    <w:rsid w:val="00503FBC"/>
    <w:rsid w:val="00505D8F"/>
    <w:rsid w:val="00505F89"/>
    <w:rsid w:val="005063F1"/>
    <w:rsid w:val="00506B73"/>
    <w:rsid w:val="005116A6"/>
    <w:rsid w:val="005151A8"/>
    <w:rsid w:val="00517E40"/>
    <w:rsid w:val="00521049"/>
    <w:rsid w:val="005253AC"/>
    <w:rsid w:val="005263A9"/>
    <w:rsid w:val="00526EA3"/>
    <w:rsid w:val="00530DDA"/>
    <w:rsid w:val="00532278"/>
    <w:rsid w:val="00532F4B"/>
    <w:rsid w:val="00533498"/>
    <w:rsid w:val="005336F5"/>
    <w:rsid w:val="0053504F"/>
    <w:rsid w:val="005358C3"/>
    <w:rsid w:val="00535A4F"/>
    <w:rsid w:val="005414CD"/>
    <w:rsid w:val="00543C71"/>
    <w:rsid w:val="005444A4"/>
    <w:rsid w:val="00545647"/>
    <w:rsid w:val="00547193"/>
    <w:rsid w:val="00547FCB"/>
    <w:rsid w:val="00551021"/>
    <w:rsid w:val="00553448"/>
    <w:rsid w:val="00560F80"/>
    <w:rsid w:val="005619F3"/>
    <w:rsid w:val="0056261F"/>
    <w:rsid w:val="00562B76"/>
    <w:rsid w:val="005631F9"/>
    <w:rsid w:val="005658DA"/>
    <w:rsid w:val="00565FAF"/>
    <w:rsid w:val="00566469"/>
    <w:rsid w:val="00566A6A"/>
    <w:rsid w:val="0056703D"/>
    <w:rsid w:val="00570A62"/>
    <w:rsid w:val="00572E62"/>
    <w:rsid w:val="005732E9"/>
    <w:rsid w:val="005737D5"/>
    <w:rsid w:val="00574876"/>
    <w:rsid w:val="00574C8C"/>
    <w:rsid w:val="005766F3"/>
    <w:rsid w:val="0057675C"/>
    <w:rsid w:val="0057758D"/>
    <w:rsid w:val="005775D7"/>
    <w:rsid w:val="005866A2"/>
    <w:rsid w:val="00586D69"/>
    <w:rsid w:val="0058761D"/>
    <w:rsid w:val="005902D5"/>
    <w:rsid w:val="00592B16"/>
    <w:rsid w:val="005946D5"/>
    <w:rsid w:val="0059491A"/>
    <w:rsid w:val="005954CC"/>
    <w:rsid w:val="0059642C"/>
    <w:rsid w:val="00597CE8"/>
    <w:rsid w:val="005A03CF"/>
    <w:rsid w:val="005A2104"/>
    <w:rsid w:val="005A3388"/>
    <w:rsid w:val="005A3B40"/>
    <w:rsid w:val="005A64B0"/>
    <w:rsid w:val="005A6EE3"/>
    <w:rsid w:val="005A6EF4"/>
    <w:rsid w:val="005B0ECE"/>
    <w:rsid w:val="005B27C3"/>
    <w:rsid w:val="005B4007"/>
    <w:rsid w:val="005B46A9"/>
    <w:rsid w:val="005B733E"/>
    <w:rsid w:val="005C10B5"/>
    <w:rsid w:val="005C2068"/>
    <w:rsid w:val="005C2C7A"/>
    <w:rsid w:val="005C4A6F"/>
    <w:rsid w:val="005C4FD4"/>
    <w:rsid w:val="005C6D38"/>
    <w:rsid w:val="005D05F9"/>
    <w:rsid w:val="005D0971"/>
    <w:rsid w:val="005D11F8"/>
    <w:rsid w:val="005D2F59"/>
    <w:rsid w:val="005D4061"/>
    <w:rsid w:val="005D5AF5"/>
    <w:rsid w:val="005D675F"/>
    <w:rsid w:val="005D78A2"/>
    <w:rsid w:val="005E1C04"/>
    <w:rsid w:val="005E2CDB"/>
    <w:rsid w:val="005E35D6"/>
    <w:rsid w:val="005E3981"/>
    <w:rsid w:val="005E39DD"/>
    <w:rsid w:val="005E42EB"/>
    <w:rsid w:val="005E4CDE"/>
    <w:rsid w:val="005F061C"/>
    <w:rsid w:val="005F0F30"/>
    <w:rsid w:val="005F1893"/>
    <w:rsid w:val="005F2A8E"/>
    <w:rsid w:val="005F3A29"/>
    <w:rsid w:val="005F3FFE"/>
    <w:rsid w:val="005F4670"/>
    <w:rsid w:val="005F5639"/>
    <w:rsid w:val="005F59B3"/>
    <w:rsid w:val="005F68AA"/>
    <w:rsid w:val="005F776F"/>
    <w:rsid w:val="00600323"/>
    <w:rsid w:val="0060075E"/>
    <w:rsid w:val="0060089D"/>
    <w:rsid w:val="006009B6"/>
    <w:rsid w:val="00602323"/>
    <w:rsid w:val="00603059"/>
    <w:rsid w:val="00604DCB"/>
    <w:rsid w:val="006055A1"/>
    <w:rsid w:val="006058F9"/>
    <w:rsid w:val="00605A0A"/>
    <w:rsid w:val="006067C0"/>
    <w:rsid w:val="006071D5"/>
    <w:rsid w:val="00610B5F"/>
    <w:rsid w:val="00610D2E"/>
    <w:rsid w:val="00610E41"/>
    <w:rsid w:val="006115DF"/>
    <w:rsid w:val="006118EA"/>
    <w:rsid w:val="00611AF5"/>
    <w:rsid w:val="00611DBE"/>
    <w:rsid w:val="0061270D"/>
    <w:rsid w:val="00612AA5"/>
    <w:rsid w:val="0061369C"/>
    <w:rsid w:val="00614A0B"/>
    <w:rsid w:val="00614A94"/>
    <w:rsid w:val="00615629"/>
    <w:rsid w:val="006174E7"/>
    <w:rsid w:val="0061751A"/>
    <w:rsid w:val="006207B6"/>
    <w:rsid w:val="0062089C"/>
    <w:rsid w:val="00620D9D"/>
    <w:rsid w:val="00622975"/>
    <w:rsid w:val="00622C82"/>
    <w:rsid w:val="00623E5A"/>
    <w:rsid w:val="006240BD"/>
    <w:rsid w:val="006244AD"/>
    <w:rsid w:val="00624B0B"/>
    <w:rsid w:val="00624E93"/>
    <w:rsid w:val="0062562C"/>
    <w:rsid w:val="00626960"/>
    <w:rsid w:val="00630410"/>
    <w:rsid w:val="00631F22"/>
    <w:rsid w:val="0063227D"/>
    <w:rsid w:val="00633192"/>
    <w:rsid w:val="00634E8F"/>
    <w:rsid w:val="00635631"/>
    <w:rsid w:val="00636687"/>
    <w:rsid w:val="006372C9"/>
    <w:rsid w:val="0064039B"/>
    <w:rsid w:val="00641C4B"/>
    <w:rsid w:val="00643878"/>
    <w:rsid w:val="00645FB7"/>
    <w:rsid w:val="00647BEE"/>
    <w:rsid w:val="00651338"/>
    <w:rsid w:val="006513C4"/>
    <w:rsid w:val="00653506"/>
    <w:rsid w:val="0065362C"/>
    <w:rsid w:val="00653666"/>
    <w:rsid w:val="00654B4D"/>
    <w:rsid w:val="00654D89"/>
    <w:rsid w:val="00656E6A"/>
    <w:rsid w:val="00657DD2"/>
    <w:rsid w:val="006605B4"/>
    <w:rsid w:val="00660D71"/>
    <w:rsid w:val="0066234F"/>
    <w:rsid w:val="00662451"/>
    <w:rsid w:val="00663432"/>
    <w:rsid w:val="00663528"/>
    <w:rsid w:val="00664EAC"/>
    <w:rsid w:val="00667093"/>
    <w:rsid w:val="006678D6"/>
    <w:rsid w:val="00671178"/>
    <w:rsid w:val="006753E0"/>
    <w:rsid w:val="00675C53"/>
    <w:rsid w:val="00676B20"/>
    <w:rsid w:val="00677D76"/>
    <w:rsid w:val="006801EB"/>
    <w:rsid w:val="00680232"/>
    <w:rsid w:val="00680312"/>
    <w:rsid w:val="006805BA"/>
    <w:rsid w:val="006816EE"/>
    <w:rsid w:val="00682747"/>
    <w:rsid w:val="00684859"/>
    <w:rsid w:val="00684BF6"/>
    <w:rsid w:val="00684DA5"/>
    <w:rsid w:val="0068537B"/>
    <w:rsid w:val="00686D77"/>
    <w:rsid w:val="00690113"/>
    <w:rsid w:val="006912B9"/>
    <w:rsid w:val="00691C9D"/>
    <w:rsid w:val="00692BF6"/>
    <w:rsid w:val="00695411"/>
    <w:rsid w:val="006957FE"/>
    <w:rsid w:val="00695B66"/>
    <w:rsid w:val="00696DF3"/>
    <w:rsid w:val="00697548"/>
    <w:rsid w:val="006A247F"/>
    <w:rsid w:val="006A270C"/>
    <w:rsid w:val="006A7507"/>
    <w:rsid w:val="006B3A8E"/>
    <w:rsid w:val="006B3B8D"/>
    <w:rsid w:val="006B3F21"/>
    <w:rsid w:val="006B4240"/>
    <w:rsid w:val="006B443E"/>
    <w:rsid w:val="006B5C71"/>
    <w:rsid w:val="006C2323"/>
    <w:rsid w:val="006C2FD6"/>
    <w:rsid w:val="006C35B1"/>
    <w:rsid w:val="006C3CDD"/>
    <w:rsid w:val="006C5F3D"/>
    <w:rsid w:val="006C62AC"/>
    <w:rsid w:val="006C63A4"/>
    <w:rsid w:val="006C68E6"/>
    <w:rsid w:val="006D0570"/>
    <w:rsid w:val="006D23E8"/>
    <w:rsid w:val="006D24F3"/>
    <w:rsid w:val="006D335F"/>
    <w:rsid w:val="006D3F8B"/>
    <w:rsid w:val="006D4C0B"/>
    <w:rsid w:val="006D5F72"/>
    <w:rsid w:val="006D654B"/>
    <w:rsid w:val="006E0841"/>
    <w:rsid w:val="006E1443"/>
    <w:rsid w:val="006E14FE"/>
    <w:rsid w:val="006E1D9B"/>
    <w:rsid w:val="006E34EF"/>
    <w:rsid w:val="006E5BD2"/>
    <w:rsid w:val="006E79F1"/>
    <w:rsid w:val="006F0DEE"/>
    <w:rsid w:val="006F0F05"/>
    <w:rsid w:val="006F1116"/>
    <w:rsid w:val="006F1F12"/>
    <w:rsid w:val="006F3D9C"/>
    <w:rsid w:val="006F4401"/>
    <w:rsid w:val="006F4CBA"/>
    <w:rsid w:val="006F76E0"/>
    <w:rsid w:val="00702494"/>
    <w:rsid w:val="0070328B"/>
    <w:rsid w:val="00703649"/>
    <w:rsid w:val="00704C4D"/>
    <w:rsid w:val="00711379"/>
    <w:rsid w:val="00711ED1"/>
    <w:rsid w:val="00713B70"/>
    <w:rsid w:val="00716306"/>
    <w:rsid w:val="0072138C"/>
    <w:rsid w:val="00722953"/>
    <w:rsid w:val="00722A86"/>
    <w:rsid w:val="0072417D"/>
    <w:rsid w:val="00724E05"/>
    <w:rsid w:val="007254B9"/>
    <w:rsid w:val="00725C49"/>
    <w:rsid w:val="0072637F"/>
    <w:rsid w:val="007263F6"/>
    <w:rsid w:val="00727FC7"/>
    <w:rsid w:val="0073103C"/>
    <w:rsid w:val="00731E3B"/>
    <w:rsid w:val="00734045"/>
    <w:rsid w:val="007342A8"/>
    <w:rsid w:val="00735026"/>
    <w:rsid w:val="007375D2"/>
    <w:rsid w:val="00740114"/>
    <w:rsid w:val="00740A87"/>
    <w:rsid w:val="00740DEF"/>
    <w:rsid w:val="007435B6"/>
    <w:rsid w:val="00743D9B"/>
    <w:rsid w:val="00751B08"/>
    <w:rsid w:val="0075432A"/>
    <w:rsid w:val="00755673"/>
    <w:rsid w:val="00755F10"/>
    <w:rsid w:val="007573B0"/>
    <w:rsid w:val="00760461"/>
    <w:rsid w:val="00760536"/>
    <w:rsid w:val="007606C9"/>
    <w:rsid w:val="00760DFC"/>
    <w:rsid w:val="00762C4D"/>
    <w:rsid w:val="007633C6"/>
    <w:rsid w:val="00763626"/>
    <w:rsid w:val="00763ABF"/>
    <w:rsid w:val="00764045"/>
    <w:rsid w:val="00764111"/>
    <w:rsid w:val="00767BA7"/>
    <w:rsid w:val="007703A4"/>
    <w:rsid w:val="00770977"/>
    <w:rsid w:val="00770EA1"/>
    <w:rsid w:val="007724A0"/>
    <w:rsid w:val="00772BBB"/>
    <w:rsid w:val="00773408"/>
    <w:rsid w:val="00782E09"/>
    <w:rsid w:val="00783021"/>
    <w:rsid w:val="00783035"/>
    <w:rsid w:val="007832A6"/>
    <w:rsid w:val="0078421B"/>
    <w:rsid w:val="00785FB9"/>
    <w:rsid w:val="007915E8"/>
    <w:rsid w:val="00792377"/>
    <w:rsid w:val="007932E9"/>
    <w:rsid w:val="00794071"/>
    <w:rsid w:val="00794A02"/>
    <w:rsid w:val="00796D3E"/>
    <w:rsid w:val="0079722E"/>
    <w:rsid w:val="0079723D"/>
    <w:rsid w:val="00797C96"/>
    <w:rsid w:val="007A0E96"/>
    <w:rsid w:val="007A119F"/>
    <w:rsid w:val="007A1ED8"/>
    <w:rsid w:val="007A2ABB"/>
    <w:rsid w:val="007A2F2E"/>
    <w:rsid w:val="007A3862"/>
    <w:rsid w:val="007A4FDB"/>
    <w:rsid w:val="007A5383"/>
    <w:rsid w:val="007A5C80"/>
    <w:rsid w:val="007B0559"/>
    <w:rsid w:val="007B075E"/>
    <w:rsid w:val="007B234B"/>
    <w:rsid w:val="007B2B66"/>
    <w:rsid w:val="007B2DBA"/>
    <w:rsid w:val="007B2EB5"/>
    <w:rsid w:val="007B3930"/>
    <w:rsid w:val="007B3F32"/>
    <w:rsid w:val="007B6AD2"/>
    <w:rsid w:val="007B7575"/>
    <w:rsid w:val="007B77E5"/>
    <w:rsid w:val="007B7884"/>
    <w:rsid w:val="007B7F85"/>
    <w:rsid w:val="007C04BD"/>
    <w:rsid w:val="007C4550"/>
    <w:rsid w:val="007C5EA0"/>
    <w:rsid w:val="007C7B69"/>
    <w:rsid w:val="007D2089"/>
    <w:rsid w:val="007D3A61"/>
    <w:rsid w:val="007D3F59"/>
    <w:rsid w:val="007D57A4"/>
    <w:rsid w:val="007D5907"/>
    <w:rsid w:val="007D5EBB"/>
    <w:rsid w:val="007D75DE"/>
    <w:rsid w:val="007D79E4"/>
    <w:rsid w:val="007E374E"/>
    <w:rsid w:val="007E4439"/>
    <w:rsid w:val="007E5AAF"/>
    <w:rsid w:val="007E7051"/>
    <w:rsid w:val="007F0080"/>
    <w:rsid w:val="007F0EDE"/>
    <w:rsid w:val="007F285C"/>
    <w:rsid w:val="0080017B"/>
    <w:rsid w:val="00800DE8"/>
    <w:rsid w:val="00804B02"/>
    <w:rsid w:val="00805EA6"/>
    <w:rsid w:val="0081308D"/>
    <w:rsid w:val="008144BE"/>
    <w:rsid w:val="00814A6B"/>
    <w:rsid w:val="0081512B"/>
    <w:rsid w:val="00815B0C"/>
    <w:rsid w:val="008203AC"/>
    <w:rsid w:val="00820914"/>
    <w:rsid w:val="00820B12"/>
    <w:rsid w:val="00822FFA"/>
    <w:rsid w:val="0082307F"/>
    <w:rsid w:val="00824E61"/>
    <w:rsid w:val="00825C9C"/>
    <w:rsid w:val="00825EFB"/>
    <w:rsid w:val="00826100"/>
    <w:rsid w:val="00826D48"/>
    <w:rsid w:val="0083036E"/>
    <w:rsid w:val="00832B91"/>
    <w:rsid w:val="008330DC"/>
    <w:rsid w:val="00833C40"/>
    <w:rsid w:val="0083572F"/>
    <w:rsid w:val="0084039F"/>
    <w:rsid w:val="008407D0"/>
    <w:rsid w:val="00840956"/>
    <w:rsid w:val="0084098A"/>
    <w:rsid w:val="0084188C"/>
    <w:rsid w:val="00843D03"/>
    <w:rsid w:val="00845900"/>
    <w:rsid w:val="00845EFB"/>
    <w:rsid w:val="00846B19"/>
    <w:rsid w:val="00850272"/>
    <w:rsid w:val="00850A3F"/>
    <w:rsid w:val="00850BA1"/>
    <w:rsid w:val="00851603"/>
    <w:rsid w:val="0085192C"/>
    <w:rsid w:val="008520B0"/>
    <w:rsid w:val="00853194"/>
    <w:rsid w:val="008556CA"/>
    <w:rsid w:val="00857EC8"/>
    <w:rsid w:val="0086001E"/>
    <w:rsid w:val="00860CF8"/>
    <w:rsid w:val="008616CD"/>
    <w:rsid w:val="00861826"/>
    <w:rsid w:val="008619C6"/>
    <w:rsid w:val="00862B13"/>
    <w:rsid w:val="00862F6B"/>
    <w:rsid w:val="0086377D"/>
    <w:rsid w:val="0086572A"/>
    <w:rsid w:val="00865A9A"/>
    <w:rsid w:val="00866726"/>
    <w:rsid w:val="00867590"/>
    <w:rsid w:val="008676A4"/>
    <w:rsid w:val="00867B2C"/>
    <w:rsid w:val="00871158"/>
    <w:rsid w:val="00871332"/>
    <w:rsid w:val="00872BC9"/>
    <w:rsid w:val="0087510D"/>
    <w:rsid w:val="008759A7"/>
    <w:rsid w:val="00875E3A"/>
    <w:rsid w:val="00876886"/>
    <w:rsid w:val="0088041A"/>
    <w:rsid w:val="008808FE"/>
    <w:rsid w:val="00880E1B"/>
    <w:rsid w:val="00881096"/>
    <w:rsid w:val="00881671"/>
    <w:rsid w:val="008828CF"/>
    <w:rsid w:val="00884BB7"/>
    <w:rsid w:val="008859CB"/>
    <w:rsid w:val="00893E3A"/>
    <w:rsid w:val="00894C5C"/>
    <w:rsid w:val="00894CA0"/>
    <w:rsid w:val="00897389"/>
    <w:rsid w:val="00897C1B"/>
    <w:rsid w:val="008A045F"/>
    <w:rsid w:val="008A0A08"/>
    <w:rsid w:val="008A1649"/>
    <w:rsid w:val="008A4437"/>
    <w:rsid w:val="008A540C"/>
    <w:rsid w:val="008A5A60"/>
    <w:rsid w:val="008A71F2"/>
    <w:rsid w:val="008B181D"/>
    <w:rsid w:val="008B4255"/>
    <w:rsid w:val="008B5126"/>
    <w:rsid w:val="008B543E"/>
    <w:rsid w:val="008B6F3B"/>
    <w:rsid w:val="008C0EE2"/>
    <w:rsid w:val="008C1697"/>
    <w:rsid w:val="008C2613"/>
    <w:rsid w:val="008C4108"/>
    <w:rsid w:val="008C6378"/>
    <w:rsid w:val="008C6A67"/>
    <w:rsid w:val="008C6D7D"/>
    <w:rsid w:val="008C780B"/>
    <w:rsid w:val="008C7933"/>
    <w:rsid w:val="008C7A67"/>
    <w:rsid w:val="008D063F"/>
    <w:rsid w:val="008D1608"/>
    <w:rsid w:val="008D2820"/>
    <w:rsid w:val="008D35A0"/>
    <w:rsid w:val="008D37BF"/>
    <w:rsid w:val="008D4218"/>
    <w:rsid w:val="008D68D8"/>
    <w:rsid w:val="008D6A00"/>
    <w:rsid w:val="008D758D"/>
    <w:rsid w:val="008E0F3B"/>
    <w:rsid w:val="008E17A5"/>
    <w:rsid w:val="008E1F81"/>
    <w:rsid w:val="008E38CB"/>
    <w:rsid w:val="008E422F"/>
    <w:rsid w:val="008E4A5B"/>
    <w:rsid w:val="008E5B19"/>
    <w:rsid w:val="008E6D50"/>
    <w:rsid w:val="008E732C"/>
    <w:rsid w:val="008E7B6B"/>
    <w:rsid w:val="008F1346"/>
    <w:rsid w:val="008F213D"/>
    <w:rsid w:val="008F6CE4"/>
    <w:rsid w:val="00901FF5"/>
    <w:rsid w:val="0090421A"/>
    <w:rsid w:val="00904B14"/>
    <w:rsid w:val="0090727C"/>
    <w:rsid w:val="0091040E"/>
    <w:rsid w:val="00911515"/>
    <w:rsid w:val="00912B1C"/>
    <w:rsid w:val="00912B8F"/>
    <w:rsid w:val="00913968"/>
    <w:rsid w:val="0092212C"/>
    <w:rsid w:val="00922281"/>
    <w:rsid w:val="0092297D"/>
    <w:rsid w:val="00922C9C"/>
    <w:rsid w:val="0092355C"/>
    <w:rsid w:val="00925592"/>
    <w:rsid w:val="0092624D"/>
    <w:rsid w:val="00930221"/>
    <w:rsid w:val="00930A58"/>
    <w:rsid w:val="00930EDF"/>
    <w:rsid w:val="00934134"/>
    <w:rsid w:val="00935432"/>
    <w:rsid w:val="00935F26"/>
    <w:rsid w:val="00936A56"/>
    <w:rsid w:val="00937DB5"/>
    <w:rsid w:val="00941010"/>
    <w:rsid w:val="0094160D"/>
    <w:rsid w:val="00941C0C"/>
    <w:rsid w:val="00942547"/>
    <w:rsid w:val="00942E2A"/>
    <w:rsid w:val="00943E64"/>
    <w:rsid w:val="00944308"/>
    <w:rsid w:val="009443AF"/>
    <w:rsid w:val="009447F8"/>
    <w:rsid w:val="00946625"/>
    <w:rsid w:val="00946977"/>
    <w:rsid w:val="0095013D"/>
    <w:rsid w:val="009502D9"/>
    <w:rsid w:val="00950509"/>
    <w:rsid w:val="009508C1"/>
    <w:rsid w:val="00951A23"/>
    <w:rsid w:val="0095426E"/>
    <w:rsid w:val="00955FE8"/>
    <w:rsid w:val="0095735C"/>
    <w:rsid w:val="009603AC"/>
    <w:rsid w:val="009608AE"/>
    <w:rsid w:val="0096356F"/>
    <w:rsid w:val="00963DC0"/>
    <w:rsid w:val="00963FC3"/>
    <w:rsid w:val="00963FCE"/>
    <w:rsid w:val="009644C3"/>
    <w:rsid w:val="009652AD"/>
    <w:rsid w:val="00966E51"/>
    <w:rsid w:val="0097034E"/>
    <w:rsid w:val="0097087E"/>
    <w:rsid w:val="00971B0C"/>
    <w:rsid w:val="00973695"/>
    <w:rsid w:val="009768DA"/>
    <w:rsid w:val="00976B53"/>
    <w:rsid w:val="00981405"/>
    <w:rsid w:val="009815A7"/>
    <w:rsid w:val="00981FA4"/>
    <w:rsid w:val="0098214E"/>
    <w:rsid w:val="00982179"/>
    <w:rsid w:val="00986848"/>
    <w:rsid w:val="0098717C"/>
    <w:rsid w:val="00990D1D"/>
    <w:rsid w:val="0099199F"/>
    <w:rsid w:val="00992575"/>
    <w:rsid w:val="009928BA"/>
    <w:rsid w:val="00992D61"/>
    <w:rsid w:val="00993655"/>
    <w:rsid w:val="00994901"/>
    <w:rsid w:val="00996B31"/>
    <w:rsid w:val="00996E52"/>
    <w:rsid w:val="00997022"/>
    <w:rsid w:val="00997FF5"/>
    <w:rsid w:val="009A17DA"/>
    <w:rsid w:val="009A2118"/>
    <w:rsid w:val="009A38C0"/>
    <w:rsid w:val="009A429B"/>
    <w:rsid w:val="009A434A"/>
    <w:rsid w:val="009B0881"/>
    <w:rsid w:val="009B18C3"/>
    <w:rsid w:val="009B1ECB"/>
    <w:rsid w:val="009B3F2D"/>
    <w:rsid w:val="009B4434"/>
    <w:rsid w:val="009B62E6"/>
    <w:rsid w:val="009B6424"/>
    <w:rsid w:val="009B6B38"/>
    <w:rsid w:val="009B79A2"/>
    <w:rsid w:val="009C02AF"/>
    <w:rsid w:val="009C0C48"/>
    <w:rsid w:val="009C1278"/>
    <w:rsid w:val="009C1630"/>
    <w:rsid w:val="009C29AF"/>
    <w:rsid w:val="009C38FB"/>
    <w:rsid w:val="009C4A13"/>
    <w:rsid w:val="009C770F"/>
    <w:rsid w:val="009C7BF2"/>
    <w:rsid w:val="009D1C32"/>
    <w:rsid w:val="009D1FD1"/>
    <w:rsid w:val="009D27F5"/>
    <w:rsid w:val="009D2CD2"/>
    <w:rsid w:val="009D4038"/>
    <w:rsid w:val="009D6507"/>
    <w:rsid w:val="009D67DA"/>
    <w:rsid w:val="009D6875"/>
    <w:rsid w:val="009E00AE"/>
    <w:rsid w:val="009E386D"/>
    <w:rsid w:val="009E67B7"/>
    <w:rsid w:val="009E74D8"/>
    <w:rsid w:val="009E74F8"/>
    <w:rsid w:val="009F09F7"/>
    <w:rsid w:val="009F1EDB"/>
    <w:rsid w:val="009F2FC7"/>
    <w:rsid w:val="009F5531"/>
    <w:rsid w:val="009F5823"/>
    <w:rsid w:val="009F6F39"/>
    <w:rsid w:val="009F74FF"/>
    <w:rsid w:val="00A00E74"/>
    <w:rsid w:val="00A015B0"/>
    <w:rsid w:val="00A027F9"/>
    <w:rsid w:val="00A02C2B"/>
    <w:rsid w:val="00A03155"/>
    <w:rsid w:val="00A048E8"/>
    <w:rsid w:val="00A050FE"/>
    <w:rsid w:val="00A0616B"/>
    <w:rsid w:val="00A10803"/>
    <w:rsid w:val="00A10E83"/>
    <w:rsid w:val="00A15618"/>
    <w:rsid w:val="00A16400"/>
    <w:rsid w:val="00A173B9"/>
    <w:rsid w:val="00A20BE4"/>
    <w:rsid w:val="00A25E89"/>
    <w:rsid w:val="00A30604"/>
    <w:rsid w:val="00A321CD"/>
    <w:rsid w:val="00A32D3E"/>
    <w:rsid w:val="00A354EE"/>
    <w:rsid w:val="00A35B2B"/>
    <w:rsid w:val="00A41EB3"/>
    <w:rsid w:val="00A428AC"/>
    <w:rsid w:val="00A42A85"/>
    <w:rsid w:val="00A43015"/>
    <w:rsid w:val="00A43B7A"/>
    <w:rsid w:val="00A45292"/>
    <w:rsid w:val="00A45C9B"/>
    <w:rsid w:val="00A47C83"/>
    <w:rsid w:val="00A50756"/>
    <w:rsid w:val="00A50ABF"/>
    <w:rsid w:val="00A512AF"/>
    <w:rsid w:val="00A524C9"/>
    <w:rsid w:val="00A526A2"/>
    <w:rsid w:val="00A52CFC"/>
    <w:rsid w:val="00A53623"/>
    <w:rsid w:val="00A53A67"/>
    <w:rsid w:val="00A53B60"/>
    <w:rsid w:val="00A53C90"/>
    <w:rsid w:val="00A5487E"/>
    <w:rsid w:val="00A55F5B"/>
    <w:rsid w:val="00A55F64"/>
    <w:rsid w:val="00A56C34"/>
    <w:rsid w:val="00A579A0"/>
    <w:rsid w:val="00A6050D"/>
    <w:rsid w:val="00A61028"/>
    <w:rsid w:val="00A61224"/>
    <w:rsid w:val="00A61DA3"/>
    <w:rsid w:val="00A67540"/>
    <w:rsid w:val="00A67FB9"/>
    <w:rsid w:val="00A721E9"/>
    <w:rsid w:val="00A722E1"/>
    <w:rsid w:val="00A72F0E"/>
    <w:rsid w:val="00A72F96"/>
    <w:rsid w:val="00A73203"/>
    <w:rsid w:val="00A73595"/>
    <w:rsid w:val="00A747C2"/>
    <w:rsid w:val="00A76119"/>
    <w:rsid w:val="00A807BA"/>
    <w:rsid w:val="00A813D5"/>
    <w:rsid w:val="00A83767"/>
    <w:rsid w:val="00A8460A"/>
    <w:rsid w:val="00A84A10"/>
    <w:rsid w:val="00A85983"/>
    <w:rsid w:val="00A85A86"/>
    <w:rsid w:val="00A86BFD"/>
    <w:rsid w:val="00A8730B"/>
    <w:rsid w:val="00A91455"/>
    <w:rsid w:val="00A92B84"/>
    <w:rsid w:val="00A93A27"/>
    <w:rsid w:val="00A950B5"/>
    <w:rsid w:val="00A9590A"/>
    <w:rsid w:val="00A96A90"/>
    <w:rsid w:val="00A972DC"/>
    <w:rsid w:val="00AA22DB"/>
    <w:rsid w:val="00AA31EA"/>
    <w:rsid w:val="00AA4557"/>
    <w:rsid w:val="00AA5646"/>
    <w:rsid w:val="00AA5CA1"/>
    <w:rsid w:val="00AA73D4"/>
    <w:rsid w:val="00AB1E40"/>
    <w:rsid w:val="00AB2994"/>
    <w:rsid w:val="00AB322D"/>
    <w:rsid w:val="00AB5542"/>
    <w:rsid w:val="00AB5DAA"/>
    <w:rsid w:val="00AB702A"/>
    <w:rsid w:val="00AB71D1"/>
    <w:rsid w:val="00AB7E14"/>
    <w:rsid w:val="00AB7E20"/>
    <w:rsid w:val="00AC02D9"/>
    <w:rsid w:val="00AC17AD"/>
    <w:rsid w:val="00AC2B19"/>
    <w:rsid w:val="00AC3514"/>
    <w:rsid w:val="00AC3740"/>
    <w:rsid w:val="00AC3958"/>
    <w:rsid w:val="00AC400E"/>
    <w:rsid w:val="00AC4E77"/>
    <w:rsid w:val="00AD0D9F"/>
    <w:rsid w:val="00AD1862"/>
    <w:rsid w:val="00AD3148"/>
    <w:rsid w:val="00AD31E8"/>
    <w:rsid w:val="00AD5B61"/>
    <w:rsid w:val="00AD7DB5"/>
    <w:rsid w:val="00AE0579"/>
    <w:rsid w:val="00AE1B08"/>
    <w:rsid w:val="00AE5C17"/>
    <w:rsid w:val="00AE5CB7"/>
    <w:rsid w:val="00AE629E"/>
    <w:rsid w:val="00AE670B"/>
    <w:rsid w:val="00AE6A65"/>
    <w:rsid w:val="00AF1B32"/>
    <w:rsid w:val="00AF2396"/>
    <w:rsid w:val="00AF2BC2"/>
    <w:rsid w:val="00AF2F39"/>
    <w:rsid w:val="00AF4C6E"/>
    <w:rsid w:val="00AF571D"/>
    <w:rsid w:val="00AF5E6D"/>
    <w:rsid w:val="00AF65B6"/>
    <w:rsid w:val="00AF78DC"/>
    <w:rsid w:val="00B00941"/>
    <w:rsid w:val="00B01277"/>
    <w:rsid w:val="00B017B8"/>
    <w:rsid w:val="00B037FF"/>
    <w:rsid w:val="00B04863"/>
    <w:rsid w:val="00B050E4"/>
    <w:rsid w:val="00B07243"/>
    <w:rsid w:val="00B1069A"/>
    <w:rsid w:val="00B10E0F"/>
    <w:rsid w:val="00B123E8"/>
    <w:rsid w:val="00B131B8"/>
    <w:rsid w:val="00B1407A"/>
    <w:rsid w:val="00B149CC"/>
    <w:rsid w:val="00B14FD6"/>
    <w:rsid w:val="00B15004"/>
    <w:rsid w:val="00B155BA"/>
    <w:rsid w:val="00B167A4"/>
    <w:rsid w:val="00B167F0"/>
    <w:rsid w:val="00B17723"/>
    <w:rsid w:val="00B200D7"/>
    <w:rsid w:val="00B200E5"/>
    <w:rsid w:val="00B22A58"/>
    <w:rsid w:val="00B23A4F"/>
    <w:rsid w:val="00B246AB"/>
    <w:rsid w:val="00B24958"/>
    <w:rsid w:val="00B24C4A"/>
    <w:rsid w:val="00B25D16"/>
    <w:rsid w:val="00B27D9D"/>
    <w:rsid w:val="00B319D2"/>
    <w:rsid w:val="00B322FF"/>
    <w:rsid w:val="00B33430"/>
    <w:rsid w:val="00B35555"/>
    <w:rsid w:val="00B35EEB"/>
    <w:rsid w:val="00B36A3F"/>
    <w:rsid w:val="00B4125F"/>
    <w:rsid w:val="00B46F9E"/>
    <w:rsid w:val="00B4714E"/>
    <w:rsid w:val="00B47DBB"/>
    <w:rsid w:val="00B52966"/>
    <w:rsid w:val="00B54280"/>
    <w:rsid w:val="00B5464E"/>
    <w:rsid w:val="00B54AA6"/>
    <w:rsid w:val="00B54D36"/>
    <w:rsid w:val="00B558C9"/>
    <w:rsid w:val="00B55D71"/>
    <w:rsid w:val="00B56379"/>
    <w:rsid w:val="00B604DC"/>
    <w:rsid w:val="00B6065F"/>
    <w:rsid w:val="00B61216"/>
    <w:rsid w:val="00B61F1A"/>
    <w:rsid w:val="00B63969"/>
    <w:rsid w:val="00B63DA2"/>
    <w:rsid w:val="00B648B6"/>
    <w:rsid w:val="00B651F9"/>
    <w:rsid w:val="00B65FAD"/>
    <w:rsid w:val="00B662FF"/>
    <w:rsid w:val="00B7029A"/>
    <w:rsid w:val="00B71CCB"/>
    <w:rsid w:val="00B743FA"/>
    <w:rsid w:val="00B74ABC"/>
    <w:rsid w:val="00B750C1"/>
    <w:rsid w:val="00B820CF"/>
    <w:rsid w:val="00B833C0"/>
    <w:rsid w:val="00B83A15"/>
    <w:rsid w:val="00B83DA8"/>
    <w:rsid w:val="00B84BF1"/>
    <w:rsid w:val="00B85E3D"/>
    <w:rsid w:val="00B8616F"/>
    <w:rsid w:val="00B86325"/>
    <w:rsid w:val="00B86741"/>
    <w:rsid w:val="00B86A66"/>
    <w:rsid w:val="00B86C27"/>
    <w:rsid w:val="00B911FF"/>
    <w:rsid w:val="00B9181C"/>
    <w:rsid w:val="00B91AB5"/>
    <w:rsid w:val="00B94195"/>
    <w:rsid w:val="00B94198"/>
    <w:rsid w:val="00B963F3"/>
    <w:rsid w:val="00BA0DBD"/>
    <w:rsid w:val="00BA33CB"/>
    <w:rsid w:val="00BA3464"/>
    <w:rsid w:val="00BA4167"/>
    <w:rsid w:val="00BA5D51"/>
    <w:rsid w:val="00BA6AD6"/>
    <w:rsid w:val="00BB0694"/>
    <w:rsid w:val="00BB0C07"/>
    <w:rsid w:val="00BB1162"/>
    <w:rsid w:val="00BB189A"/>
    <w:rsid w:val="00BB1F37"/>
    <w:rsid w:val="00BB292D"/>
    <w:rsid w:val="00BB2ACB"/>
    <w:rsid w:val="00BB2CE7"/>
    <w:rsid w:val="00BB5915"/>
    <w:rsid w:val="00BB6065"/>
    <w:rsid w:val="00BC0F12"/>
    <w:rsid w:val="00BC1C55"/>
    <w:rsid w:val="00BC1E34"/>
    <w:rsid w:val="00BC24EC"/>
    <w:rsid w:val="00BC3EA7"/>
    <w:rsid w:val="00BC42EF"/>
    <w:rsid w:val="00BC739F"/>
    <w:rsid w:val="00BD04B0"/>
    <w:rsid w:val="00BD04FB"/>
    <w:rsid w:val="00BD05CD"/>
    <w:rsid w:val="00BD0AE8"/>
    <w:rsid w:val="00BD182D"/>
    <w:rsid w:val="00BD6B58"/>
    <w:rsid w:val="00BE0640"/>
    <w:rsid w:val="00BE2660"/>
    <w:rsid w:val="00BE50C6"/>
    <w:rsid w:val="00BE56DB"/>
    <w:rsid w:val="00BE6717"/>
    <w:rsid w:val="00BE7A29"/>
    <w:rsid w:val="00BF02B5"/>
    <w:rsid w:val="00BF06F0"/>
    <w:rsid w:val="00BF122A"/>
    <w:rsid w:val="00BF128B"/>
    <w:rsid w:val="00BF4C58"/>
    <w:rsid w:val="00BF54E4"/>
    <w:rsid w:val="00BF5F32"/>
    <w:rsid w:val="00BF7AD7"/>
    <w:rsid w:val="00C00DCD"/>
    <w:rsid w:val="00C0510D"/>
    <w:rsid w:val="00C06C55"/>
    <w:rsid w:val="00C10CFB"/>
    <w:rsid w:val="00C1196F"/>
    <w:rsid w:val="00C11D2E"/>
    <w:rsid w:val="00C11DA9"/>
    <w:rsid w:val="00C11E8D"/>
    <w:rsid w:val="00C12357"/>
    <w:rsid w:val="00C13616"/>
    <w:rsid w:val="00C15CE9"/>
    <w:rsid w:val="00C15DE4"/>
    <w:rsid w:val="00C15DE7"/>
    <w:rsid w:val="00C16A18"/>
    <w:rsid w:val="00C17FEC"/>
    <w:rsid w:val="00C22080"/>
    <w:rsid w:val="00C22D94"/>
    <w:rsid w:val="00C23B84"/>
    <w:rsid w:val="00C241D0"/>
    <w:rsid w:val="00C24346"/>
    <w:rsid w:val="00C24401"/>
    <w:rsid w:val="00C2525B"/>
    <w:rsid w:val="00C258F6"/>
    <w:rsid w:val="00C25C49"/>
    <w:rsid w:val="00C25ED5"/>
    <w:rsid w:val="00C303C3"/>
    <w:rsid w:val="00C3060E"/>
    <w:rsid w:val="00C327F1"/>
    <w:rsid w:val="00C359F2"/>
    <w:rsid w:val="00C36336"/>
    <w:rsid w:val="00C36D34"/>
    <w:rsid w:val="00C375F1"/>
    <w:rsid w:val="00C377C0"/>
    <w:rsid w:val="00C41627"/>
    <w:rsid w:val="00C42F04"/>
    <w:rsid w:val="00C44B65"/>
    <w:rsid w:val="00C450C6"/>
    <w:rsid w:val="00C47E54"/>
    <w:rsid w:val="00C512B7"/>
    <w:rsid w:val="00C5198A"/>
    <w:rsid w:val="00C524A1"/>
    <w:rsid w:val="00C53556"/>
    <w:rsid w:val="00C5379E"/>
    <w:rsid w:val="00C54200"/>
    <w:rsid w:val="00C54705"/>
    <w:rsid w:val="00C55CB5"/>
    <w:rsid w:val="00C565FF"/>
    <w:rsid w:val="00C61865"/>
    <w:rsid w:val="00C61A0A"/>
    <w:rsid w:val="00C624A7"/>
    <w:rsid w:val="00C625D8"/>
    <w:rsid w:val="00C6319F"/>
    <w:rsid w:val="00C661FD"/>
    <w:rsid w:val="00C66296"/>
    <w:rsid w:val="00C67DE6"/>
    <w:rsid w:val="00C73C7A"/>
    <w:rsid w:val="00C75685"/>
    <w:rsid w:val="00C75A8C"/>
    <w:rsid w:val="00C75DE1"/>
    <w:rsid w:val="00C76C22"/>
    <w:rsid w:val="00C76FC0"/>
    <w:rsid w:val="00C77597"/>
    <w:rsid w:val="00C80EDA"/>
    <w:rsid w:val="00C819B1"/>
    <w:rsid w:val="00C8273F"/>
    <w:rsid w:val="00C82E70"/>
    <w:rsid w:val="00C83985"/>
    <w:rsid w:val="00C83D58"/>
    <w:rsid w:val="00C8419A"/>
    <w:rsid w:val="00C84F02"/>
    <w:rsid w:val="00C84F46"/>
    <w:rsid w:val="00C8504F"/>
    <w:rsid w:val="00C85C15"/>
    <w:rsid w:val="00C86454"/>
    <w:rsid w:val="00C864C0"/>
    <w:rsid w:val="00C86747"/>
    <w:rsid w:val="00C902A8"/>
    <w:rsid w:val="00C91441"/>
    <w:rsid w:val="00C92A88"/>
    <w:rsid w:val="00C964A1"/>
    <w:rsid w:val="00C970A1"/>
    <w:rsid w:val="00CA50BD"/>
    <w:rsid w:val="00CA522E"/>
    <w:rsid w:val="00CA53F8"/>
    <w:rsid w:val="00CA5C07"/>
    <w:rsid w:val="00CA6B2A"/>
    <w:rsid w:val="00CA7A06"/>
    <w:rsid w:val="00CB1E01"/>
    <w:rsid w:val="00CB23D0"/>
    <w:rsid w:val="00CB25DA"/>
    <w:rsid w:val="00CB4A5B"/>
    <w:rsid w:val="00CB4DCE"/>
    <w:rsid w:val="00CB6148"/>
    <w:rsid w:val="00CC5A90"/>
    <w:rsid w:val="00CC5F2A"/>
    <w:rsid w:val="00CC7068"/>
    <w:rsid w:val="00CD0714"/>
    <w:rsid w:val="00CD09CB"/>
    <w:rsid w:val="00CD1BBA"/>
    <w:rsid w:val="00CD3DB2"/>
    <w:rsid w:val="00CD484B"/>
    <w:rsid w:val="00CD4B93"/>
    <w:rsid w:val="00CD51BA"/>
    <w:rsid w:val="00CD559B"/>
    <w:rsid w:val="00CD649C"/>
    <w:rsid w:val="00CD77D0"/>
    <w:rsid w:val="00CD7B23"/>
    <w:rsid w:val="00CE07B6"/>
    <w:rsid w:val="00CE2E40"/>
    <w:rsid w:val="00CE5908"/>
    <w:rsid w:val="00CE5EF1"/>
    <w:rsid w:val="00CE603A"/>
    <w:rsid w:val="00CE7382"/>
    <w:rsid w:val="00CE779D"/>
    <w:rsid w:val="00CE77B1"/>
    <w:rsid w:val="00CF26FD"/>
    <w:rsid w:val="00CF29F4"/>
    <w:rsid w:val="00CF327C"/>
    <w:rsid w:val="00CF4510"/>
    <w:rsid w:val="00CF4EE5"/>
    <w:rsid w:val="00CF595D"/>
    <w:rsid w:val="00CF6FEB"/>
    <w:rsid w:val="00D05090"/>
    <w:rsid w:val="00D05F41"/>
    <w:rsid w:val="00D06316"/>
    <w:rsid w:val="00D1090A"/>
    <w:rsid w:val="00D11129"/>
    <w:rsid w:val="00D11E84"/>
    <w:rsid w:val="00D155DE"/>
    <w:rsid w:val="00D15EB2"/>
    <w:rsid w:val="00D16AD8"/>
    <w:rsid w:val="00D176DB"/>
    <w:rsid w:val="00D17712"/>
    <w:rsid w:val="00D21262"/>
    <w:rsid w:val="00D226B7"/>
    <w:rsid w:val="00D23651"/>
    <w:rsid w:val="00D24348"/>
    <w:rsid w:val="00D24386"/>
    <w:rsid w:val="00D25CE4"/>
    <w:rsid w:val="00D31AC8"/>
    <w:rsid w:val="00D326DE"/>
    <w:rsid w:val="00D3318C"/>
    <w:rsid w:val="00D36443"/>
    <w:rsid w:val="00D369BE"/>
    <w:rsid w:val="00D36CFD"/>
    <w:rsid w:val="00D37CA3"/>
    <w:rsid w:val="00D37F2E"/>
    <w:rsid w:val="00D40130"/>
    <w:rsid w:val="00D423AC"/>
    <w:rsid w:val="00D43F26"/>
    <w:rsid w:val="00D45EDE"/>
    <w:rsid w:val="00D465C5"/>
    <w:rsid w:val="00D501C7"/>
    <w:rsid w:val="00D503DB"/>
    <w:rsid w:val="00D5058A"/>
    <w:rsid w:val="00D509EE"/>
    <w:rsid w:val="00D50C77"/>
    <w:rsid w:val="00D54CEC"/>
    <w:rsid w:val="00D555E6"/>
    <w:rsid w:val="00D55999"/>
    <w:rsid w:val="00D56792"/>
    <w:rsid w:val="00D56E33"/>
    <w:rsid w:val="00D5725F"/>
    <w:rsid w:val="00D573BB"/>
    <w:rsid w:val="00D6079E"/>
    <w:rsid w:val="00D60A18"/>
    <w:rsid w:val="00D61DB5"/>
    <w:rsid w:val="00D621A4"/>
    <w:rsid w:val="00D641F8"/>
    <w:rsid w:val="00D64287"/>
    <w:rsid w:val="00D64649"/>
    <w:rsid w:val="00D67793"/>
    <w:rsid w:val="00D70DD6"/>
    <w:rsid w:val="00D72B5E"/>
    <w:rsid w:val="00D736B1"/>
    <w:rsid w:val="00D739AA"/>
    <w:rsid w:val="00D746E6"/>
    <w:rsid w:val="00D749C8"/>
    <w:rsid w:val="00D80D15"/>
    <w:rsid w:val="00D80D91"/>
    <w:rsid w:val="00D81273"/>
    <w:rsid w:val="00D83963"/>
    <w:rsid w:val="00D8412D"/>
    <w:rsid w:val="00D85729"/>
    <w:rsid w:val="00D85F22"/>
    <w:rsid w:val="00D865E3"/>
    <w:rsid w:val="00D87955"/>
    <w:rsid w:val="00D87D9A"/>
    <w:rsid w:val="00D911C9"/>
    <w:rsid w:val="00D9137A"/>
    <w:rsid w:val="00D928B4"/>
    <w:rsid w:val="00D93420"/>
    <w:rsid w:val="00D949B6"/>
    <w:rsid w:val="00D97D5D"/>
    <w:rsid w:val="00DA1024"/>
    <w:rsid w:val="00DA1635"/>
    <w:rsid w:val="00DA2C07"/>
    <w:rsid w:val="00DA30D7"/>
    <w:rsid w:val="00DA343A"/>
    <w:rsid w:val="00DA3996"/>
    <w:rsid w:val="00DA4377"/>
    <w:rsid w:val="00DA45CE"/>
    <w:rsid w:val="00DA4B7E"/>
    <w:rsid w:val="00DA533E"/>
    <w:rsid w:val="00DA5487"/>
    <w:rsid w:val="00DA6A60"/>
    <w:rsid w:val="00DA799E"/>
    <w:rsid w:val="00DB0412"/>
    <w:rsid w:val="00DB0D55"/>
    <w:rsid w:val="00DB225A"/>
    <w:rsid w:val="00DB3ECC"/>
    <w:rsid w:val="00DB430E"/>
    <w:rsid w:val="00DB5A0F"/>
    <w:rsid w:val="00DB6814"/>
    <w:rsid w:val="00DB6BE6"/>
    <w:rsid w:val="00DB749A"/>
    <w:rsid w:val="00DC054B"/>
    <w:rsid w:val="00DC1F7C"/>
    <w:rsid w:val="00DC3976"/>
    <w:rsid w:val="00DC4574"/>
    <w:rsid w:val="00DC6D77"/>
    <w:rsid w:val="00DD4100"/>
    <w:rsid w:val="00DD6D4D"/>
    <w:rsid w:val="00DD74B7"/>
    <w:rsid w:val="00DE0BD5"/>
    <w:rsid w:val="00DE21F0"/>
    <w:rsid w:val="00DE2574"/>
    <w:rsid w:val="00DE2815"/>
    <w:rsid w:val="00DE3910"/>
    <w:rsid w:val="00DE4074"/>
    <w:rsid w:val="00DE5757"/>
    <w:rsid w:val="00DE694E"/>
    <w:rsid w:val="00DE6A53"/>
    <w:rsid w:val="00DE6E1C"/>
    <w:rsid w:val="00DE7146"/>
    <w:rsid w:val="00DF1AF6"/>
    <w:rsid w:val="00DF4312"/>
    <w:rsid w:val="00DF463A"/>
    <w:rsid w:val="00E0007A"/>
    <w:rsid w:val="00E02AB2"/>
    <w:rsid w:val="00E04ACC"/>
    <w:rsid w:val="00E06E16"/>
    <w:rsid w:val="00E100D9"/>
    <w:rsid w:val="00E1041C"/>
    <w:rsid w:val="00E10A37"/>
    <w:rsid w:val="00E11860"/>
    <w:rsid w:val="00E11B5F"/>
    <w:rsid w:val="00E149E1"/>
    <w:rsid w:val="00E14D73"/>
    <w:rsid w:val="00E15A7A"/>
    <w:rsid w:val="00E15FF4"/>
    <w:rsid w:val="00E16C91"/>
    <w:rsid w:val="00E171EF"/>
    <w:rsid w:val="00E1799D"/>
    <w:rsid w:val="00E22BA5"/>
    <w:rsid w:val="00E22EBD"/>
    <w:rsid w:val="00E23206"/>
    <w:rsid w:val="00E23BE0"/>
    <w:rsid w:val="00E250F6"/>
    <w:rsid w:val="00E31AB4"/>
    <w:rsid w:val="00E332A1"/>
    <w:rsid w:val="00E337CE"/>
    <w:rsid w:val="00E33926"/>
    <w:rsid w:val="00E339B5"/>
    <w:rsid w:val="00E33BD0"/>
    <w:rsid w:val="00E345A9"/>
    <w:rsid w:val="00E3482E"/>
    <w:rsid w:val="00E3490A"/>
    <w:rsid w:val="00E35274"/>
    <w:rsid w:val="00E363C0"/>
    <w:rsid w:val="00E36530"/>
    <w:rsid w:val="00E36CAD"/>
    <w:rsid w:val="00E36F5B"/>
    <w:rsid w:val="00E371E3"/>
    <w:rsid w:val="00E40729"/>
    <w:rsid w:val="00E40F5D"/>
    <w:rsid w:val="00E4147F"/>
    <w:rsid w:val="00E41EB0"/>
    <w:rsid w:val="00E432F4"/>
    <w:rsid w:val="00E433D3"/>
    <w:rsid w:val="00E45711"/>
    <w:rsid w:val="00E46315"/>
    <w:rsid w:val="00E467F8"/>
    <w:rsid w:val="00E50319"/>
    <w:rsid w:val="00E50899"/>
    <w:rsid w:val="00E51F48"/>
    <w:rsid w:val="00E52B0C"/>
    <w:rsid w:val="00E52EE2"/>
    <w:rsid w:val="00E53D1F"/>
    <w:rsid w:val="00E54ED1"/>
    <w:rsid w:val="00E60DCD"/>
    <w:rsid w:val="00E6278C"/>
    <w:rsid w:val="00E62EFF"/>
    <w:rsid w:val="00E63526"/>
    <w:rsid w:val="00E65ACD"/>
    <w:rsid w:val="00E672D8"/>
    <w:rsid w:val="00E729DE"/>
    <w:rsid w:val="00E72AAD"/>
    <w:rsid w:val="00E73AE9"/>
    <w:rsid w:val="00E73EAC"/>
    <w:rsid w:val="00E74947"/>
    <w:rsid w:val="00E76694"/>
    <w:rsid w:val="00E77C3E"/>
    <w:rsid w:val="00E80558"/>
    <w:rsid w:val="00E81040"/>
    <w:rsid w:val="00E813E4"/>
    <w:rsid w:val="00E83FA2"/>
    <w:rsid w:val="00E84D55"/>
    <w:rsid w:val="00E84D80"/>
    <w:rsid w:val="00E8564F"/>
    <w:rsid w:val="00E85D61"/>
    <w:rsid w:val="00E85E13"/>
    <w:rsid w:val="00E876E7"/>
    <w:rsid w:val="00E907DE"/>
    <w:rsid w:val="00E9132F"/>
    <w:rsid w:val="00E91C42"/>
    <w:rsid w:val="00E927A7"/>
    <w:rsid w:val="00E9283F"/>
    <w:rsid w:val="00E92B09"/>
    <w:rsid w:val="00E9332C"/>
    <w:rsid w:val="00E9363E"/>
    <w:rsid w:val="00E93FBF"/>
    <w:rsid w:val="00E95500"/>
    <w:rsid w:val="00E95E32"/>
    <w:rsid w:val="00E95FC9"/>
    <w:rsid w:val="00E97B36"/>
    <w:rsid w:val="00EA0B00"/>
    <w:rsid w:val="00EA1750"/>
    <w:rsid w:val="00EA1D18"/>
    <w:rsid w:val="00EA22EF"/>
    <w:rsid w:val="00EA23FD"/>
    <w:rsid w:val="00EA2B6F"/>
    <w:rsid w:val="00EA31A5"/>
    <w:rsid w:val="00EA5398"/>
    <w:rsid w:val="00EA794A"/>
    <w:rsid w:val="00EA7BF8"/>
    <w:rsid w:val="00EB0F0D"/>
    <w:rsid w:val="00EB1594"/>
    <w:rsid w:val="00EB1639"/>
    <w:rsid w:val="00EB2C1B"/>
    <w:rsid w:val="00EB429B"/>
    <w:rsid w:val="00EB4621"/>
    <w:rsid w:val="00EB53FC"/>
    <w:rsid w:val="00EB642C"/>
    <w:rsid w:val="00EB7302"/>
    <w:rsid w:val="00EC0E62"/>
    <w:rsid w:val="00EC0FC7"/>
    <w:rsid w:val="00EC3FAF"/>
    <w:rsid w:val="00EC564C"/>
    <w:rsid w:val="00EC577E"/>
    <w:rsid w:val="00EC6AE4"/>
    <w:rsid w:val="00EC755E"/>
    <w:rsid w:val="00ED39A3"/>
    <w:rsid w:val="00ED4737"/>
    <w:rsid w:val="00ED55DE"/>
    <w:rsid w:val="00ED5EBE"/>
    <w:rsid w:val="00ED5EC1"/>
    <w:rsid w:val="00EE0E7C"/>
    <w:rsid w:val="00EE14AD"/>
    <w:rsid w:val="00EE2F1B"/>
    <w:rsid w:val="00EE38A4"/>
    <w:rsid w:val="00EE3F74"/>
    <w:rsid w:val="00EF4A4C"/>
    <w:rsid w:val="00EF4B8A"/>
    <w:rsid w:val="00EF6753"/>
    <w:rsid w:val="00EF7C5B"/>
    <w:rsid w:val="00F0056D"/>
    <w:rsid w:val="00F0108D"/>
    <w:rsid w:val="00F01E41"/>
    <w:rsid w:val="00F020DA"/>
    <w:rsid w:val="00F02C11"/>
    <w:rsid w:val="00F04D0E"/>
    <w:rsid w:val="00F066AF"/>
    <w:rsid w:val="00F10485"/>
    <w:rsid w:val="00F10887"/>
    <w:rsid w:val="00F14707"/>
    <w:rsid w:val="00F229D2"/>
    <w:rsid w:val="00F22EBA"/>
    <w:rsid w:val="00F25916"/>
    <w:rsid w:val="00F25DDB"/>
    <w:rsid w:val="00F272F8"/>
    <w:rsid w:val="00F30A73"/>
    <w:rsid w:val="00F315A2"/>
    <w:rsid w:val="00F3164B"/>
    <w:rsid w:val="00F32572"/>
    <w:rsid w:val="00F32815"/>
    <w:rsid w:val="00F363AC"/>
    <w:rsid w:val="00F37157"/>
    <w:rsid w:val="00F40A1B"/>
    <w:rsid w:val="00F40D39"/>
    <w:rsid w:val="00F4124A"/>
    <w:rsid w:val="00F41B3C"/>
    <w:rsid w:val="00F4334D"/>
    <w:rsid w:val="00F44CB1"/>
    <w:rsid w:val="00F457F1"/>
    <w:rsid w:val="00F45A6F"/>
    <w:rsid w:val="00F515BF"/>
    <w:rsid w:val="00F518F3"/>
    <w:rsid w:val="00F546A7"/>
    <w:rsid w:val="00F54A6F"/>
    <w:rsid w:val="00F54D69"/>
    <w:rsid w:val="00F5778D"/>
    <w:rsid w:val="00F60565"/>
    <w:rsid w:val="00F609CA"/>
    <w:rsid w:val="00F60F7A"/>
    <w:rsid w:val="00F610D1"/>
    <w:rsid w:val="00F611F1"/>
    <w:rsid w:val="00F61DBB"/>
    <w:rsid w:val="00F623DD"/>
    <w:rsid w:val="00F62C76"/>
    <w:rsid w:val="00F63B4D"/>
    <w:rsid w:val="00F64CED"/>
    <w:rsid w:val="00F65BA3"/>
    <w:rsid w:val="00F66FAA"/>
    <w:rsid w:val="00F67B0D"/>
    <w:rsid w:val="00F726C4"/>
    <w:rsid w:val="00F7348D"/>
    <w:rsid w:val="00F7487D"/>
    <w:rsid w:val="00F74B71"/>
    <w:rsid w:val="00F74DD5"/>
    <w:rsid w:val="00F76131"/>
    <w:rsid w:val="00F761BB"/>
    <w:rsid w:val="00F765B1"/>
    <w:rsid w:val="00F77300"/>
    <w:rsid w:val="00F773C6"/>
    <w:rsid w:val="00F82184"/>
    <w:rsid w:val="00F82227"/>
    <w:rsid w:val="00F843D5"/>
    <w:rsid w:val="00F8485A"/>
    <w:rsid w:val="00F85EB3"/>
    <w:rsid w:val="00F865E8"/>
    <w:rsid w:val="00F86FA4"/>
    <w:rsid w:val="00F872AE"/>
    <w:rsid w:val="00F87B0E"/>
    <w:rsid w:val="00F906EE"/>
    <w:rsid w:val="00F90EE6"/>
    <w:rsid w:val="00F91B6A"/>
    <w:rsid w:val="00F92574"/>
    <w:rsid w:val="00F92A10"/>
    <w:rsid w:val="00F93CB1"/>
    <w:rsid w:val="00F94E72"/>
    <w:rsid w:val="00F95CAB"/>
    <w:rsid w:val="00F96210"/>
    <w:rsid w:val="00F974A9"/>
    <w:rsid w:val="00FA109A"/>
    <w:rsid w:val="00FA22FA"/>
    <w:rsid w:val="00FA2C4C"/>
    <w:rsid w:val="00FA34FA"/>
    <w:rsid w:val="00FA3C33"/>
    <w:rsid w:val="00FA789C"/>
    <w:rsid w:val="00FB0D5E"/>
    <w:rsid w:val="00FB4BB8"/>
    <w:rsid w:val="00FB6203"/>
    <w:rsid w:val="00FB6455"/>
    <w:rsid w:val="00FB6DDC"/>
    <w:rsid w:val="00FC2EBB"/>
    <w:rsid w:val="00FC5FBC"/>
    <w:rsid w:val="00FC73A3"/>
    <w:rsid w:val="00FC757E"/>
    <w:rsid w:val="00FD0993"/>
    <w:rsid w:val="00FD138C"/>
    <w:rsid w:val="00FD417F"/>
    <w:rsid w:val="00FD509E"/>
    <w:rsid w:val="00FD5704"/>
    <w:rsid w:val="00FE06B1"/>
    <w:rsid w:val="00FE0AC4"/>
    <w:rsid w:val="00FE158B"/>
    <w:rsid w:val="00FE1F30"/>
    <w:rsid w:val="00FE3BD2"/>
    <w:rsid w:val="00FE3C32"/>
    <w:rsid w:val="00FE5A42"/>
    <w:rsid w:val="00FE6053"/>
    <w:rsid w:val="00FE6C9E"/>
    <w:rsid w:val="00FE7222"/>
    <w:rsid w:val="00FE7A2B"/>
    <w:rsid w:val="00FF0E49"/>
    <w:rsid w:val="00FF2843"/>
    <w:rsid w:val="00FF2C4D"/>
    <w:rsid w:val="00FF57CA"/>
    <w:rsid w:val="00FF59D1"/>
    <w:rsid w:val="00FF601D"/>
    <w:rsid w:val="00FF65EA"/>
    <w:rsid w:val="00FF7CC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1AD5CB8E"/>
  <w15:chartTrackingRefBased/>
  <w15:docId w15:val="{21CDF0BD-3BA6-499B-A1F3-08432517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basedOn w:val="Normal"/>
    <w:link w:val="FootnoteTextChar"/>
    <w:unhideWhenUsed/>
    <w:rsid w:val="00783021"/>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basedOn w:val="DefaultParagraphFont"/>
    <w:link w:val="FootnoteText"/>
    <w:rsid w:val="00783021"/>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83021"/>
    <w:rPr>
      <w:rFonts w:ascii="Times New Roman" w:hAnsi="Times New Roman"/>
      <w:dstrike w:val="0"/>
      <w:color w:val="auto"/>
      <w:sz w:val="20"/>
      <w:vertAlign w:val="superscript"/>
    </w:rPr>
  </w:style>
  <w:style w:type="paragraph" w:customStyle="1" w:styleId="ParaNum">
    <w:name w:val="ParaNum"/>
    <w:basedOn w:val="Normal"/>
    <w:link w:val="ParaNumChar"/>
    <w:rsid w:val="00E332A1"/>
    <w:pPr>
      <w:widowControl w:val="0"/>
      <w:spacing w:after="120"/>
    </w:pPr>
    <w:rPr>
      <w:snapToGrid w:val="0"/>
      <w:kern w:val="28"/>
      <w:sz w:val="22"/>
    </w:rPr>
  </w:style>
  <w:style w:type="character" w:customStyle="1" w:styleId="FooterChar">
    <w:name w:val="Footer Char"/>
    <w:basedOn w:val="DefaultParagraphFont"/>
    <w:link w:val="Footer"/>
    <w:uiPriority w:val="99"/>
    <w:rsid w:val="00346FB4"/>
  </w:style>
  <w:style w:type="character" w:customStyle="1" w:styleId="ParaNumChar">
    <w:name w:val="ParaNum Char"/>
    <w:link w:val="ParaNum"/>
    <w:rsid w:val="00453160"/>
    <w:rPr>
      <w:snapToGrid w:val="0"/>
      <w:kern w:val="28"/>
      <w:sz w:val="22"/>
    </w:rPr>
  </w:style>
  <w:style w:type="character" w:styleId="CommentReference">
    <w:name w:val="annotation reference"/>
    <w:uiPriority w:val="99"/>
    <w:semiHidden/>
    <w:unhideWhenUsed/>
    <w:rsid w:val="00090971"/>
    <w:rPr>
      <w:sz w:val="16"/>
      <w:szCs w:val="16"/>
    </w:rPr>
  </w:style>
  <w:style w:type="paragraph" w:styleId="CommentText">
    <w:name w:val="annotation text"/>
    <w:basedOn w:val="Normal"/>
    <w:link w:val="CommentTextChar"/>
    <w:uiPriority w:val="99"/>
    <w:semiHidden/>
    <w:unhideWhenUsed/>
    <w:rsid w:val="00090971"/>
  </w:style>
  <w:style w:type="character" w:customStyle="1" w:styleId="CommentTextChar">
    <w:name w:val="Comment Text Char"/>
    <w:basedOn w:val="DefaultParagraphFont"/>
    <w:link w:val="CommentText"/>
    <w:uiPriority w:val="99"/>
    <w:semiHidden/>
    <w:rsid w:val="00090971"/>
  </w:style>
  <w:style w:type="paragraph" w:styleId="CommentSubject">
    <w:name w:val="annotation subject"/>
    <w:basedOn w:val="CommentText"/>
    <w:next w:val="CommentText"/>
    <w:link w:val="CommentSubjectChar"/>
    <w:uiPriority w:val="99"/>
    <w:semiHidden/>
    <w:unhideWhenUsed/>
    <w:rsid w:val="00090971"/>
    <w:rPr>
      <w:b/>
      <w:bCs/>
    </w:rPr>
  </w:style>
  <w:style w:type="character" w:customStyle="1" w:styleId="CommentSubjectChar">
    <w:name w:val="Comment Subject Char"/>
    <w:link w:val="CommentSubject"/>
    <w:uiPriority w:val="99"/>
    <w:semiHidden/>
    <w:rsid w:val="00090971"/>
    <w:rPr>
      <w:b/>
      <w:bCs/>
    </w:rPr>
  </w:style>
  <w:style w:type="character" w:customStyle="1" w:styleId="UnresolvedMention">
    <w:name w:val="Unresolved Mention"/>
    <w:uiPriority w:val="99"/>
    <w:unhideWhenUsed/>
    <w:rsid w:val="00090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www.westlaw.com/Link/Document/FullText?findType=Y&amp;serNum=1987133410&amp;pubNum=0000350&amp;originatingDoc=I459ba2ed066d11e99a6efc60af1b5d9c&amp;refType=RP&amp;fi=co_pp_sp_350_181&amp;originationContext=document&amp;vr=3.0&amp;rs=cblt1.0&amp;transitionType=DocumentItem&amp;contextData=(sc.Search)" TargetMode="External" /><Relationship Id="rId2" Type="http://schemas.openxmlformats.org/officeDocument/2006/relationships/hyperlink" Target="http://www.westlaw.com/Link/Document/FullText?findType=Y&amp;serNum=1988122452&amp;pubNum=0000350&amp;originatingDoc=I459ba2ed066d11e99a6efc60af1b5d9c&amp;refType=RP&amp;fi=co_pp_sp_350_1561&amp;originationContext=document&amp;vr=3.0&amp;rs=cblt1.0&amp;transitionType=DocumentItem&amp;contextData=(sc.Search)" TargetMode="External" /><Relationship Id="rId3" Type="http://schemas.openxmlformats.org/officeDocument/2006/relationships/hyperlink" Target="http://www.westlaw.com/Link/Document/FullText?findType=L&amp;pubNum=1000546&amp;cite=47USCAS309&amp;originatingDoc=I459ba2ed066d11e99a6efc60af1b5d9c&amp;refType=RB&amp;originationContext=document&amp;vr=3.0&amp;rs=cblt1.0&amp;transitionType=DocumentItem&amp;contextData=(sc.Search)" TargetMode="External" /><Relationship Id="rId4" Type="http://schemas.openxmlformats.org/officeDocument/2006/relationships/hyperlink" Target="http://www.westlaw.com/Link/Document/FullText?findType=Y&amp;serNum=1996056508&amp;pubNum=0000506&amp;originatingDoc=I459ba2ed066d11e99a6efc60af1b5d9c&amp;refType=RP&amp;fi=co_pp_sp_506_1410&amp;originationContext=document&amp;vr=3.0&amp;rs=cblt1.0&amp;transitionType=DocumentItem&amp;contextData=(sc.Search)" TargetMode="External" /><Relationship Id="rId5" Type="http://schemas.openxmlformats.org/officeDocument/2006/relationships/hyperlink" Target="http://www.westlaw.com/Link/Document/FullText?findType=Y&amp;serNum=1985152904&amp;pubNum=0000350&amp;originatingDoc=I459ba2ed066d11e99a6efc60af1b5d9c&amp;refType=RP&amp;fi=co_pp_sp_350_394&amp;originationContext=document&amp;vr=3.0&amp;rs=cblt1.0&amp;transitionType=DocumentItem&amp;contextData=(sc.Search)"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